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5B053" w14:textId="77777777" w:rsidR="00D83EE8" w:rsidRDefault="00D83EE8" w:rsidP="00D83EE8">
      <w:pPr>
        <w:spacing w:after="120"/>
        <w:jc w:val="center"/>
      </w:pPr>
      <w:r>
        <w:rPr>
          <w:rFonts w:cs="Arial"/>
          <w:b/>
          <w:bCs/>
          <w:color w:val="1F4E79"/>
          <w:sz w:val="36"/>
          <w:szCs w:val="36"/>
        </w:rPr>
        <w:t>Response to Reviewer Comments</w:t>
      </w:r>
    </w:p>
    <w:p w14:paraId="7C6A6200" w14:textId="77777777" w:rsidR="00D83EE8" w:rsidRDefault="00D83EE8" w:rsidP="00D83EE8">
      <w:pPr>
        <w:spacing w:after="80"/>
        <w:jc w:val="center"/>
      </w:pPr>
      <w:r>
        <w:rPr>
          <w:rFonts w:cs="Arial"/>
          <w:i/>
          <w:iCs/>
          <w:color w:val="404040"/>
        </w:rPr>
        <w:t xml:space="preserve">Manuscript: </w:t>
      </w:r>
      <w:proofErr w:type="spellStart"/>
      <w:r w:rsidRPr="00062218">
        <w:rPr>
          <w:rFonts w:cs="Arial"/>
          <w:i/>
          <w:iCs/>
          <w:color w:val="404040"/>
        </w:rPr>
        <w:t>GRANet</w:t>
      </w:r>
      <w:proofErr w:type="spellEnd"/>
      <w:r w:rsidRPr="00062218">
        <w:rPr>
          <w:rFonts w:cs="Arial"/>
          <w:i/>
          <w:iCs/>
          <w:color w:val="404040"/>
        </w:rPr>
        <w:t>-Lite: A Lightweight Ghost-Residual Attention Network for Breast Cancer Classification with Comprehensive Histopathological Preprocessing Analysis</w:t>
      </w:r>
    </w:p>
    <w:p w14:paraId="183E91F7" w14:textId="77777777" w:rsidR="00D83EE8" w:rsidRDefault="00D83EE8" w:rsidP="00D83EE8">
      <w:pPr>
        <w:spacing w:before="200" w:after="200"/>
        <w:jc w:val="both"/>
        <w:rPr>
          <w:rFonts w:cs="Arial"/>
          <w:color w:val="1A1A1A"/>
        </w:rPr>
      </w:pPr>
      <w:r>
        <w:rPr>
          <w:rFonts w:cs="Arial"/>
          <w:color w:val="1A1A1A"/>
        </w:rPr>
        <w:t>We sincerely thank the reviewers for their thorough and constructive feedback. All concerns have been carefully addressed. Below, we provide point-by-point responses. Reviewer comments appear in italics; our responses and the corresponding manuscript additions follow each comment.</w:t>
      </w:r>
    </w:p>
    <w:p w14:paraId="415B73F7" w14:textId="77777777" w:rsidR="00D83EE8" w:rsidRDefault="00D83EE8" w:rsidP="00D83EE8">
      <w:pPr>
        <w:spacing w:before="200" w:after="200"/>
        <w:jc w:val="both"/>
        <w:rPr>
          <w:rFonts w:cs="Arial"/>
          <w:color w:val="1A1A1A"/>
        </w:rPr>
      </w:pPr>
    </w:p>
    <w:p w14:paraId="04384CEC" w14:textId="1DE1C959" w:rsidR="00D83EE8" w:rsidRPr="00D83EE8" w:rsidRDefault="00D83EE8" w:rsidP="00D83EE8">
      <w:pPr>
        <w:spacing w:before="200" w:after="200"/>
        <w:jc w:val="both"/>
        <w:rPr>
          <w:rFonts w:cs="Arial"/>
          <w:b/>
          <w:bCs/>
          <w:color w:val="1A1A1A"/>
          <w:sz w:val="28"/>
          <w:szCs w:val="28"/>
        </w:rPr>
      </w:pPr>
      <w:r w:rsidRPr="00D83EE8">
        <w:rPr>
          <w:rFonts w:cs="Arial"/>
          <w:b/>
          <w:bCs/>
          <w:color w:val="1A1A1A"/>
          <w:sz w:val="28"/>
          <w:szCs w:val="28"/>
        </w:rPr>
        <w:t>Reviewer #1</w:t>
      </w:r>
    </w:p>
    <w:p w14:paraId="34379470" w14:textId="77777777" w:rsidR="00D83EE8" w:rsidRDefault="00D83EE8" w:rsidP="00D83EE8">
      <w:pPr>
        <w:spacing w:before="200" w:after="200"/>
        <w:jc w:val="both"/>
        <w:rPr>
          <w:sz w:val="24"/>
          <w:szCs w:val="24"/>
        </w:rPr>
      </w:pPr>
      <w:r w:rsidRPr="00D83EE8">
        <w:rPr>
          <w:b/>
          <w:bCs/>
          <w:color w:val="EE0000"/>
          <w:sz w:val="24"/>
          <w:szCs w:val="24"/>
        </w:rPr>
        <w:t>Weakness 1:</w:t>
      </w:r>
      <w:r w:rsidRPr="00D83EE8">
        <w:rPr>
          <w:color w:val="EE0000"/>
          <w:sz w:val="24"/>
          <w:szCs w:val="24"/>
        </w:rPr>
        <w:t xml:space="preserve"> </w:t>
      </w:r>
      <w:r w:rsidRPr="00D83EE8">
        <w:rPr>
          <w:sz w:val="24"/>
          <w:szCs w:val="24"/>
        </w:rPr>
        <w:t>Ambiguity Regarding Patient-Level Data Splitting (Critical Data Leakage Risk)</w:t>
      </w:r>
    </w:p>
    <w:p w14:paraId="3EE145EA" w14:textId="36859AAC" w:rsidR="00D83EE8" w:rsidRPr="00D83EE8" w:rsidRDefault="00D83EE8" w:rsidP="00D83EE8">
      <w:pPr>
        <w:spacing w:before="200" w:after="200"/>
        <w:jc w:val="both"/>
        <w:rPr>
          <w:color w:val="000000" w:themeColor="text1"/>
          <w:sz w:val="24"/>
          <w:szCs w:val="24"/>
          <w:u w:val="single"/>
        </w:rPr>
      </w:pPr>
      <w:r w:rsidRPr="00D83EE8">
        <w:rPr>
          <w:color w:val="000000" w:themeColor="text1"/>
          <w:sz w:val="24"/>
          <w:szCs w:val="24"/>
          <w:u w:val="single"/>
        </w:rPr>
        <w:t>Reviewer Comment:</w:t>
      </w:r>
    </w:p>
    <w:p w14:paraId="3149333F" w14:textId="77777777" w:rsidR="00D83EE8" w:rsidRDefault="00D83EE8" w:rsidP="00D83EE8">
      <w:pPr>
        <w:spacing w:before="60" w:after="60"/>
        <w:ind w:left="360"/>
        <w:jc w:val="both"/>
        <w:rPr>
          <w:rFonts w:cs="Arial"/>
          <w:i/>
          <w:iCs/>
          <w:color w:val="404040"/>
        </w:rPr>
      </w:pPr>
      <w:r>
        <w:rPr>
          <w:rFonts w:cs="Arial"/>
          <w:i/>
          <w:iCs/>
          <w:color w:val="404040"/>
        </w:rPr>
        <w:t>The methodology details the dataset splitting (80% Train, 10% Validation, 10% Testing) and class-balancing augmentation, but it does not explicitly state whether the splits were conducted at the patient level or strictly at the patch/image level. In histopathological image classification, randomly splitting image patches from the same patient into both training and testing sets introduces severe data leakage. The authors must clarify their splitting strategy and ensure all evaluations are patient-disjoint to prove the model's actual generalization ability.</w:t>
      </w:r>
    </w:p>
    <w:p w14:paraId="24E70BD7" w14:textId="77777777" w:rsidR="00D83EE8" w:rsidRDefault="00D83EE8" w:rsidP="00D83EE8">
      <w:pPr>
        <w:spacing w:before="60" w:after="60"/>
        <w:ind w:left="360"/>
        <w:jc w:val="both"/>
      </w:pPr>
    </w:p>
    <w:p w14:paraId="26319C83" w14:textId="5F44FD95" w:rsidR="00D83EE8" w:rsidRPr="00D83EE8" w:rsidRDefault="00D83EE8" w:rsidP="00D83EE8">
      <w:pPr>
        <w:spacing w:before="160" w:after="60"/>
        <w:jc w:val="both"/>
        <w:rPr>
          <w:rFonts w:cs="Arial"/>
          <w:color w:val="000000" w:themeColor="text1"/>
          <w:u w:val="single"/>
        </w:rPr>
      </w:pPr>
      <w:r w:rsidRPr="00D83EE8">
        <w:rPr>
          <w:rFonts w:cs="Arial"/>
          <w:color w:val="000000" w:themeColor="text1"/>
          <w:u w:val="single"/>
        </w:rPr>
        <w:t>Author Response:</w:t>
      </w:r>
    </w:p>
    <w:p w14:paraId="0399291F" w14:textId="77777777" w:rsidR="00D83EE8" w:rsidRDefault="00D83EE8" w:rsidP="00D83EE8">
      <w:pPr>
        <w:spacing w:before="60" w:after="60"/>
        <w:ind w:left="360"/>
        <w:jc w:val="both"/>
      </w:pPr>
      <w:r>
        <w:rPr>
          <w:rFonts w:cs="Arial"/>
          <w:color w:val="1A1A1A"/>
        </w:rPr>
        <w:t>We thank the reviewer for raising this critical point. We confirm that patient-level splitting was indeed employed throughout all experiments — this detail was unfortunately omitted from the original manuscript. We have now added a dedicated subsection to clarify this, and the relevant figure has also been updated to reflect the patient-disjoint partitioning strategy. The added text reads as follows:</w:t>
      </w:r>
    </w:p>
    <w:p w14:paraId="26C22522" w14:textId="77777777" w:rsidR="00D83EE8" w:rsidRPr="00D83EE8" w:rsidRDefault="00D83EE8" w:rsidP="00D83EE8">
      <w:pPr>
        <w:spacing w:before="200" w:after="200"/>
        <w:ind w:left="360"/>
        <w:jc w:val="both"/>
      </w:pPr>
      <w:r w:rsidRPr="00D83EE8">
        <w:rPr>
          <w:b/>
          <w:bCs/>
        </w:rPr>
        <w:t>Added Section (Patient-Level Dataset Partitioning):</w:t>
      </w:r>
    </w:p>
    <w:p w14:paraId="011741C7" w14:textId="77777777" w:rsidR="00D83EE8" w:rsidRPr="00D83EE8" w:rsidRDefault="00D83EE8" w:rsidP="00D83EE8">
      <w:pPr>
        <w:spacing w:before="200" w:after="200"/>
        <w:ind w:left="360"/>
        <w:jc w:val="both"/>
      </w:pPr>
      <w:r w:rsidRPr="00D83EE8">
        <w:t xml:space="preserve">To ensure reliable evaluation, dataset partitioning was performed at the patient level to prevent data leakage. The </w:t>
      </w:r>
      <w:proofErr w:type="spellStart"/>
      <w:r w:rsidRPr="00D83EE8">
        <w:t>BreaKHis</w:t>
      </w:r>
      <w:proofErr w:type="spellEnd"/>
      <w:r w:rsidRPr="00D83EE8">
        <w:t xml:space="preserve"> dataset contains multiple images from the same biopsy at different magnifications; therefore, splitting the data at the image level could place images from the same patient in both training and testing sets, leading to overly optimistic performance estimates.</w:t>
      </w:r>
    </w:p>
    <w:p w14:paraId="74431A26" w14:textId="77777777" w:rsidR="00D83EE8" w:rsidRPr="00D83EE8" w:rsidRDefault="00D83EE8" w:rsidP="00D83EE8">
      <w:pPr>
        <w:spacing w:before="200" w:after="200"/>
        <w:ind w:left="360"/>
        <w:jc w:val="both"/>
      </w:pPr>
      <w:r w:rsidRPr="00D83EE8">
        <w:t>The dataset includes 82 patients in total. One patient was excluded due to incomplete magnification coverage, leaving 81 patients for the experiments. Patient-level partitioning assigned 64 patients to the training set, 8 patients to the validation set, and 9 patients to the test set. The same partitioning was maintained across all magnification levels (</w:t>
      </w:r>
      <w:proofErr w:type="spellStart"/>
      <w:r w:rsidRPr="00D83EE8">
        <w:t>40x</w:t>
      </w:r>
      <w:proofErr w:type="spellEnd"/>
      <w:r w:rsidRPr="00D83EE8">
        <w:t xml:space="preserve">, </w:t>
      </w:r>
      <w:proofErr w:type="spellStart"/>
      <w:r w:rsidRPr="00D83EE8">
        <w:t>100x</w:t>
      </w:r>
      <w:proofErr w:type="spellEnd"/>
      <w:r w:rsidRPr="00D83EE8">
        <w:t xml:space="preserve">, </w:t>
      </w:r>
      <w:proofErr w:type="spellStart"/>
      <w:r w:rsidRPr="00D83EE8">
        <w:t>200x</w:t>
      </w:r>
      <w:proofErr w:type="spellEnd"/>
      <w:r w:rsidRPr="00D83EE8">
        <w:t xml:space="preserve">, and </w:t>
      </w:r>
      <w:proofErr w:type="spellStart"/>
      <w:r w:rsidRPr="00D83EE8">
        <w:t>400x</w:t>
      </w:r>
      <w:proofErr w:type="spellEnd"/>
      <w:r w:rsidRPr="00D83EE8">
        <w:t>) and across all preprocessing branches. Consequently, all images belonging to a patient were assigned to a single partition, ensuring that the training, validation, and test sets were completely patient-disjoint.</w:t>
      </w:r>
    </w:p>
    <w:p w14:paraId="1565C765" w14:textId="77777777" w:rsidR="00D83EE8" w:rsidRDefault="00D83EE8" w:rsidP="00D83EE8">
      <w:pPr>
        <w:spacing w:before="200" w:after="200"/>
        <w:jc w:val="both"/>
        <w:rPr>
          <w:b/>
          <w:bCs/>
          <w:sz w:val="24"/>
          <w:szCs w:val="24"/>
        </w:rPr>
      </w:pPr>
    </w:p>
    <w:p w14:paraId="01662DAD" w14:textId="77777777" w:rsidR="00D83EE8" w:rsidRDefault="00D83EE8" w:rsidP="00D83EE8">
      <w:pPr>
        <w:spacing w:before="200" w:after="200"/>
        <w:jc w:val="both"/>
        <w:rPr>
          <w:b/>
          <w:bCs/>
          <w:sz w:val="24"/>
          <w:szCs w:val="24"/>
        </w:rPr>
      </w:pPr>
    </w:p>
    <w:p w14:paraId="58275EE2" w14:textId="77777777" w:rsidR="00D83EE8" w:rsidRDefault="00D83EE8" w:rsidP="00D83EE8">
      <w:pPr>
        <w:spacing w:before="200" w:after="200"/>
        <w:jc w:val="both"/>
        <w:rPr>
          <w:b/>
          <w:bCs/>
          <w:sz w:val="24"/>
          <w:szCs w:val="24"/>
        </w:rPr>
      </w:pPr>
    </w:p>
    <w:p w14:paraId="7F41AACE" w14:textId="456894F5" w:rsidR="00D83EE8" w:rsidRPr="00D83EE8" w:rsidRDefault="00D83EE8" w:rsidP="00D83EE8">
      <w:pPr>
        <w:spacing w:before="200" w:after="200"/>
        <w:jc w:val="both"/>
        <w:rPr>
          <w:sz w:val="24"/>
          <w:szCs w:val="24"/>
        </w:rPr>
      </w:pPr>
      <w:r w:rsidRPr="00D83EE8">
        <w:rPr>
          <w:b/>
          <w:bCs/>
          <w:color w:val="EE0000"/>
          <w:sz w:val="24"/>
          <w:szCs w:val="24"/>
        </w:rPr>
        <w:lastRenderedPageBreak/>
        <w:t xml:space="preserve">Weakness 2: </w:t>
      </w:r>
      <w:r w:rsidRPr="00D83EE8">
        <w:rPr>
          <w:sz w:val="24"/>
          <w:szCs w:val="24"/>
        </w:rPr>
        <w:t>Inconsistent Baseline Comparisons</w:t>
      </w:r>
    </w:p>
    <w:p w14:paraId="15428AB6" w14:textId="77777777" w:rsidR="00D83EE8" w:rsidRPr="00D83EE8" w:rsidRDefault="00D83EE8" w:rsidP="00D83EE8">
      <w:pPr>
        <w:spacing w:before="200" w:after="200"/>
        <w:jc w:val="both"/>
        <w:rPr>
          <w:sz w:val="24"/>
          <w:szCs w:val="24"/>
          <w:u w:val="single"/>
        </w:rPr>
      </w:pPr>
      <w:r w:rsidRPr="00D83EE8">
        <w:rPr>
          <w:sz w:val="24"/>
          <w:szCs w:val="24"/>
          <w:u w:val="single"/>
        </w:rPr>
        <w:t>Reviewer Comment:</w:t>
      </w:r>
    </w:p>
    <w:p w14:paraId="328AFC2E" w14:textId="097E605E" w:rsidR="00D83EE8" w:rsidRPr="00D83EE8" w:rsidRDefault="00D83EE8" w:rsidP="00D83EE8">
      <w:pPr>
        <w:spacing w:before="200" w:after="200"/>
        <w:ind w:left="432"/>
        <w:jc w:val="both"/>
      </w:pPr>
      <w:r w:rsidRPr="00D83EE8">
        <w:rPr>
          <w:i/>
          <w:iCs/>
        </w:rPr>
        <w:t xml:space="preserve">In Table 3, the authors compare </w:t>
      </w:r>
      <w:proofErr w:type="spellStart"/>
      <w:r w:rsidRPr="00D83EE8">
        <w:rPr>
          <w:i/>
          <w:iCs/>
        </w:rPr>
        <w:t>GRANet</w:t>
      </w:r>
      <w:proofErr w:type="spellEnd"/>
      <w:r w:rsidRPr="00D83EE8">
        <w:rPr>
          <w:i/>
          <w:iCs/>
        </w:rPr>
        <w:t xml:space="preserve">-Lite against architectures evaluated on varying datasets (e.g., Kaggle IDC, ICIAR-BACH) or different task formulations (e.g., 8-class vs. binary). This is not a direct or fair comparison. To effectively demonstrate architectural superiority, the authors should evaluate well-established lightweight baselines (e.g., </w:t>
      </w:r>
      <w:proofErr w:type="spellStart"/>
      <w:r w:rsidRPr="00D83EE8">
        <w:rPr>
          <w:i/>
          <w:iCs/>
        </w:rPr>
        <w:t>MobileNetV3</w:t>
      </w:r>
      <w:proofErr w:type="spellEnd"/>
      <w:r w:rsidRPr="00D83EE8">
        <w:rPr>
          <w:i/>
          <w:iCs/>
        </w:rPr>
        <w:t xml:space="preserve">, </w:t>
      </w:r>
      <w:proofErr w:type="spellStart"/>
      <w:r w:rsidRPr="00D83EE8">
        <w:rPr>
          <w:i/>
          <w:iCs/>
        </w:rPr>
        <w:t>EfficientNet-B0</w:t>
      </w:r>
      <w:proofErr w:type="spellEnd"/>
      <w:r w:rsidRPr="00D83EE8">
        <w:rPr>
          <w:i/>
          <w:iCs/>
        </w:rPr>
        <w:t xml:space="preserve">) using the exact same </w:t>
      </w:r>
      <w:proofErr w:type="spellStart"/>
      <w:r w:rsidRPr="00D83EE8">
        <w:rPr>
          <w:i/>
          <w:iCs/>
        </w:rPr>
        <w:t>BreaKHis</w:t>
      </w:r>
      <w:proofErr w:type="spellEnd"/>
      <w:r w:rsidRPr="00D83EE8">
        <w:rPr>
          <w:i/>
          <w:iCs/>
        </w:rPr>
        <w:t xml:space="preserve"> dataset, Otsu-preprocessing pipeline, and augmentation strategy.</w:t>
      </w:r>
    </w:p>
    <w:p w14:paraId="18F93E44" w14:textId="77777777" w:rsidR="00D83EE8" w:rsidRPr="00D83EE8" w:rsidRDefault="00D83EE8" w:rsidP="00D83EE8">
      <w:pPr>
        <w:spacing w:before="200" w:after="200"/>
        <w:jc w:val="both"/>
        <w:rPr>
          <w:sz w:val="24"/>
          <w:szCs w:val="24"/>
          <w:u w:val="single"/>
        </w:rPr>
      </w:pPr>
      <w:r w:rsidRPr="00D83EE8">
        <w:rPr>
          <w:sz w:val="24"/>
          <w:szCs w:val="24"/>
          <w:u w:val="single"/>
        </w:rPr>
        <w:t>Author Response:</w:t>
      </w:r>
    </w:p>
    <w:p w14:paraId="2CD66A1B" w14:textId="554CF713" w:rsidR="00D83EE8" w:rsidRPr="00D83EE8" w:rsidRDefault="00D83EE8" w:rsidP="00D83EE8">
      <w:pPr>
        <w:spacing w:before="200" w:after="200"/>
        <w:ind w:left="432"/>
        <w:jc w:val="both"/>
      </w:pPr>
      <w:r w:rsidRPr="00D83EE8">
        <w:t>We agree that the original comparison included architectures evaluated under differing conditions, which limits fair interpretation. We have addressed this by conducting controlled experiments with established lightweight baselines</w:t>
      </w:r>
      <w:r>
        <w:t>, such as</w:t>
      </w:r>
      <w:r w:rsidRPr="00D83EE8">
        <w:t xml:space="preserve"> </w:t>
      </w:r>
      <w:proofErr w:type="spellStart"/>
      <w:r w:rsidRPr="00D83EE8">
        <w:t>EfficientNetV2-B0</w:t>
      </w:r>
      <w:proofErr w:type="spellEnd"/>
      <w:r w:rsidRPr="00D83EE8">
        <w:t xml:space="preserve">, </w:t>
      </w:r>
      <w:proofErr w:type="spellStart"/>
      <w:r w:rsidRPr="00D83EE8">
        <w:t>MobileNetV3</w:t>
      </w:r>
      <w:proofErr w:type="spellEnd"/>
      <w:r w:rsidRPr="00D83EE8">
        <w:t xml:space="preserve">-Large, and </w:t>
      </w:r>
      <w:proofErr w:type="spellStart"/>
      <w:r w:rsidRPr="00D83EE8">
        <w:t>NASNetMobile</w:t>
      </w:r>
      <w:proofErr w:type="spellEnd"/>
      <w:r>
        <w:t xml:space="preserve">, </w:t>
      </w:r>
      <w:r w:rsidRPr="00D83EE8">
        <w:t xml:space="preserve">trained from scratch under the exact same </w:t>
      </w:r>
      <w:proofErr w:type="spellStart"/>
      <w:r w:rsidRPr="00D83EE8">
        <w:t>BreaKHis</w:t>
      </w:r>
      <w:proofErr w:type="spellEnd"/>
      <w:r w:rsidRPr="00D83EE8">
        <w:t xml:space="preserve"> dataset, Otsu-preprocessing pipeline, and augmentation strategy. </w:t>
      </w:r>
      <w:proofErr w:type="spellStart"/>
      <w:r w:rsidRPr="00D83EE8">
        <w:t>GRANet</w:t>
      </w:r>
      <w:proofErr w:type="spellEnd"/>
      <w:r w:rsidRPr="00D83EE8">
        <w:t>-Lite consistently outperformed all these baselines while using substantially fewer parameters. The following text has been added</w:t>
      </w:r>
      <w:r>
        <w:t>.</w:t>
      </w:r>
    </w:p>
    <w:p w14:paraId="3FBD247B" w14:textId="21625999" w:rsidR="00D83EE8" w:rsidRDefault="00D83EE8" w:rsidP="00D83EE8">
      <w:pPr>
        <w:spacing w:before="200" w:after="200"/>
        <w:ind w:left="432"/>
        <w:jc w:val="both"/>
      </w:pPr>
      <w:r w:rsidRPr="00D83EE8">
        <w:rPr>
          <w:b/>
          <w:bCs/>
        </w:rPr>
        <w:t>Added Text (</w:t>
      </w:r>
      <w:r>
        <w:rPr>
          <w:b/>
          <w:bCs/>
        </w:rPr>
        <w:t>Result</w:t>
      </w:r>
      <w:r w:rsidRPr="00D83EE8">
        <w:rPr>
          <w:b/>
          <w:bCs/>
        </w:rPr>
        <w:t xml:space="preserve"> Section):</w:t>
      </w:r>
    </w:p>
    <w:p w14:paraId="4158097D" w14:textId="77777777" w:rsidR="00D83EE8" w:rsidRPr="00D83EE8" w:rsidRDefault="00D83EE8" w:rsidP="00D83EE8">
      <w:pPr>
        <w:spacing w:before="100" w:beforeAutospacing="1" w:after="100" w:afterAutospacing="1"/>
        <w:ind w:left="432"/>
        <w:jc w:val="both"/>
      </w:pPr>
      <w:r w:rsidRPr="00D83EE8">
        <w:t xml:space="preserve">To evaluate the effectiveness of the proposed architecture, </w:t>
      </w:r>
      <w:proofErr w:type="spellStart"/>
      <w:r w:rsidRPr="00D83EE8">
        <w:t>GRANet</w:t>
      </w:r>
      <w:proofErr w:type="spellEnd"/>
      <w:r w:rsidRPr="00D83EE8">
        <w:t xml:space="preserve">-Lite was compared with three established lightweight convolutional networks: </w:t>
      </w:r>
      <w:proofErr w:type="spellStart"/>
      <w:r w:rsidRPr="00D83EE8">
        <w:t>EfficientNetV2-B0</w:t>
      </w:r>
      <w:proofErr w:type="spellEnd"/>
      <w:r w:rsidRPr="00D83EE8">
        <w:t xml:space="preserve">, </w:t>
      </w:r>
      <w:proofErr w:type="spellStart"/>
      <w:r w:rsidRPr="00D83EE8">
        <w:t>MobileNetV3</w:t>
      </w:r>
      <w:proofErr w:type="spellEnd"/>
      <w:r w:rsidRPr="00D83EE8">
        <w:t xml:space="preserve">-Large, and </w:t>
      </w:r>
      <w:proofErr w:type="spellStart"/>
      <w:r w:rsidRPr="00D83EE8">
        <w:t>NASNetMobile</w:t>
      </w:r>
      <w:proofErr w:type="spellEnd"/>
      <w:r w:rsidRPr="00D83EE8">
        <w:t xml:space="preserve">. All models were trained and evaluated under the same experimental protocol using the </w:t>
      </w:r>
      <w:proofErr w:type="spellStart"/>
      <w:r w:rsidRPr="00D83EE8">
        <w:t>BreaKHis</w:t>
      </w:r>
      <w:proofErr w:type="spellEnd"/>
      <w:r w:rsidRPr="00D83EE8">
        <w:t xml:space="preserve"> dataset for binary classification at 400× magnification. The preprocessing pipeline included Otsu-based tissue separation, and identical data augmentation and train/test splits were applied to ensure consistency.</w:t>
      </w:r>
    </w:p>
    <w:p w14:paraId="6970C92A" w14:textId="77777777" w:rsidR="00D83EE8" w:rsidRPr="00D83EE8" w:rsidRDefault="00D83EE8" w:rsidP="00D83EE8">
      <w:pPr>
        <w:spacing w:before="100" w:beforeAutospacing="1" w:after="100" w:afterAutospacing="1"/>
        <w:ind w:left="432"/>
        <w:jc w:val="both"/>
      </w:pPr>
      <w:r w:rsidRPr="00D83EE8">
        <w:t xml:space="preserve">All baseline networks were trained from scratch without pretrained weights so that the comparison reflects architectural capability rather than the influence of transfer learning. The results are summarized in Table 1. </w:t>
      </w:r>
      <w:proofErr w:type="spellStart"/>
      <w:r w:rsidRPr="00D83EE8">
        <w:t>GRANet</w:t>
      </w:r>
      <w:proofErr w:type="spellEnd"/>
      <w:r w:rsidRPr="00D83EE8">
        <w:t xml:space="preserve">-Lite achieves the best performance across all evaluation metrics, reaching 95.33% accuracy and 98.54% AUC while using only 1.72 million parameters. </w:t>
      </w:r>
      <w:proofErr w:type="spellStart"/>
      <w:r w:rsidRPr="00D83EE8">
        <w:t>EfficientNetV2-B0</w:t>
      </w:r>
      <w:proofErr w:type="spellEnd"/>
      <w:r w:rsidRPr="00D83EE8">
        <w:t xml:space="preserve"> performs comparatively well with 89.33% accuracy and 96.80% AUC but requires substantially more parameters. </w:t>
      </w:r>
      <w:proofErr w:type="spellStart"/>
      <w:r w:rsidRPr="00D83EE8">
        <w:t>MobileNetV3</w:t>
      </w:r>
      <w:proofErr w:type="spellEnd"/>
      <w:r w:rsidRPr="00D83EE8">
        <w:t xml:space="preserve">-Large and </w:t>
      </w:r>
      <w:proofErr w:type="spellStart"/>
      <w:r w:rsidRPr="00D83EE8">
        <w:t>NASNetMobile</w:t>
      </w:r>
      <w:proofErr w:type="spellEnd"/>
      <w:r w:rsidRPr="00D83EE8">
        <w:t xml:space="preserve"> show lower performance under the same training conditions. These results demonstrate that the proposed </w:t>
      </w:r>
      <w:proofErr w:type="spellStart"/>
      <w:r w:rsidRPr="00D83EE8">
        <w:t>GRANet</w:t>
      </w:r>
      <w:proofErr w:type="spellEnd"/>
      <w:r w:rsidRPr="00D83EE8">
        <w:t>-Lite architecture provides a better balance between predictive performance and model efficiency.</w:t>
      </w:r>
    </w:p>
    <w:p w14:paraId="26E23869" w14:textId="77777777" w:rsidR="00D83EE8" w:rsidRPr="00D83EE8" w:rsidRDefault="00D83EE8" w:rsidP="00D83EE8">
      <w:pPr>
        <w:spacing w:before="100" w:beforeAutospacing="1" w:after="100" w:afterAutospacing="1"/>
        <w:ind w:left="432"/>
        <w:jc w:val="both"/>
        <w:rPr>
          <w:rFonts w:eastAsia="Times New Roman" w:cs="Arial"/>
        </w:rPr>
      </w:pPr>
      <w:r w:rsidRPr="00D83EE8">
        <w:rPr>
          <w:rFonts w:eastAsia="Times New Roman" w:cs="Arial"/>
        </w:rPr>
        <w:t xml:space="preserve">Table 1. Controlled comparison of </w:t>
      </w:r>
      <w:proofErr w:type="spellStart"/>
      <w:r w:rsidRPr="00D83EE8">
        <w:rPr>
          <w:rFonts w:eastAsia="Times New Roman" w:cs="Arial"/>
        </w:rPr>
        <w:t>GRANet</w:t>
      </w:r>
      <w:proofErr w:type="spellEnd"/>
      <w:r w:rsidRPr="00D83EE8">
        <w:rPr>
          <w:rFonts w:eastAsia="Times New Roman" w:cs="Arial"/>
        </w:rPr>
        <w:t>-Lite against lightweight baseline architectures under identical Otsu-preprocessing and augmentation conditions.</w:t>
      </w:r>
    </w:p>
    <w:tbl>
      <w:tblPr>
        <w:tblStyle w:val="GridTable2"/>
        <w:tblW w:w="0" w:type="auto"/>
        <w:tblInd w:w="540" w:type="dxa"/>
        <w:tblLook w:val="04A0" w:firstRow="1" w:lastRow="0" w:firstColumn="1" w:lastColumn="0" w:noHBand="0" w:noVBand="1"/>
      </w:tblPr>
      <w:tblGrid>
        <w:gridCol w:w="2161"/>
        <w:gridCol w:w="974"/>
        <w:gridCol w:w="1121"/>
        <w:gridCol w:w="1121"/>
        <w:gridCol w:w="1013"/>
        <w:gridCol w:w="1216"/>
        <w:gridCol w:w="874"/>
      </w:tblGrid>
      <w:tr w:rsidR="00D83EE8" w:rsidRPr="00D83EE8" w14:paraId="0153D7A8" w14:textId="77777777" w:rsidTr="00D83E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1" w:type="dxa"/>
            <w:hideMark/>
          </w:tcPr>
          <w:p w14:paraId="4F9ADA0D" w14:textId="77777777" w:rsidR="00D83EE8" w:rsidRPr="00D83EE8" w:rsidRDefault="00D83EE8" w:rsidP="00D83EE8">
            <w:pPr>
              <w:jc w:val="center"/>
              <w:rPr>
                <w:rFonts w:eastAsia="Times New Roman" w:cs="Arial"/>
                <w:b w:val="0"/>
                <w:bCs w:val="0"/>
              </w:rPr>
            </w:pPr>
            <w:r w:rsidRPr="00D83EE8">
              <w:rPr>
                <w:rFonts w:eastAsia="Times New Roman" w:cs="Arial"/>
                <w:b w:val="0"/>
                <w:bCs w:val="0"/>
              </w:rPr>
              <w:t>Model</w:t>
            </w:r>
          </w:p>
        </w:tc>
        <w:tc>
          <w:tcPr>
            <w:tcW w:w="974" w:type="dxa"/>
            <w:hideMark/>
          </w:tcPr>
          <w:p w14:paraId="02AC10A0" w14:textId="77777777" w:rsidR="00D83EE8" w:rsidRPr="00D83EE8" w:rsidRDefault="00D83EE8" w:rsidP="00D83EE8">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rPr>
            </w:pPr>
            <w:r w:rsidRPr="00D83EE8">
              <w:rPr>
                <w:rFonts w:eastAsia="Times New Roman" w:cs="Arial"/>
                <w:b w:val="0"/>
                <w:bCs w:val="0"/>
              </w:rPr>
              <w:t>Params (M)</w:t>
            </w:r>
          </w:p>
        </w:tc>
        <w:tc>
          <w:tcPr>
            <w:tcW w:w="1121" w:type="dxa"/>
            <w:hideMark/>
          </w:tcPr>
          <w:p w14:paraId="1E066CD2" w14:textId="77777777" w:rsidR="00D83EE8" w:rsidRPr="00D83EE8" w:rsidRDefault="00D83EE8" w:rsidP="00D83EE8">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rPr>
            </w:pPr>
            <w:r w:rsidRPr="00D83EE8">
              <w:rPr>
                <w:rFonts w:eastAsia="Times New Roman" w:cs="Arial"/>
                <w:b w:val="0"/>
                <w:bCs w:val="0"/>
              </w:rPr>
              <w:t>Accuracy (%)</w:t>
            </w:r>
          </w:p>
        </w:tc>
        <w:tc>
          <w:tcPr>
            <w:tcW w:w="1121" w:type="dxa"/>
            <w:hideMark/>
          </w:tcPr>
          <w:p w14:paraId="77896B96" w14:textId="77777777" w:rsidR="00D83EE8" w:rsidRPr="00D83EE8" w:rsidRDefault="00D83EE8" w:rsidP="00D83EE8">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rPr>
            </w:pPr>
            <w:r w:rsidRPr="00D83EE8">
              <w:rPr>
                <w:rFonts w:eastAsia="Times New Roman" w:cs="Arial"/>
                <w:b w:val="0"/>
                <w:bCs w:val="0"/>
              </w:rPr>
              <w:t>Precision (%)</w:t>
            </w:r>
          </w:p>
        </w:tc>
        <w:tc>
          <w:tcPr>
            <w:tcW w:w="1013" w:type="dxa"/>
            <w:hideMark/>
          </w:tcPr>
          <w:p w14:paraId="6DF14C48" w14:textId="77777777" w:rsidR="00D83EE8" w:rsidRPr="00D83EE8" w:rsidRDefault="00D83EE8" w:rsidP="00D83EE8">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rPr>
            </w:pPr>
            <w:r w:rsidRPr="00D83EE8">
              <w:rPr>
                <w:rFonts w:eastAsia="Times New Roman" w:cs="Arial"/>
                <w:b w:val="0"/>
                <w:bCs w:val="0"/>
              </w:rPr>
              <w:t>Recall (%)</w:t>
            </w:r>
          </w:p>
        </w:tc>
        <w:tc>
          <w:tcPr>
            <w:tcW w:w="1216" w:type="dxa"/>
            <w:hideMark/>
          </w:tcPr>
          <w:p w14:paraId="5D084A7C" w14:textId="77777777" w:rsidR="00D83EE8" w:rsidRPr="00D83EE8" w:rsidRDefault="00D83EE8" w:rsidP="00D83EE8">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rPr>
            </w:pPr>
            <w:proofErr w:type="spellStart"/>
            <w:r w:rsidRPr="00D83EE8">
              <w:rPr>
                <w:rFonts w:eastAsia="Times New Roman" w:cs="Arial"/>
                <w:b w:val="0"/>
                <w:bCs w:val="0"/>
              </w:rPr>
              <w:t>F1</w:t>
            </w:r>
            <w:proofErr w:type="spellEnd"/>
            <w:r w:rsidRPr="00D83EE8">
              <w:rPr>
                <w:rFonts w:eastAsia="Times New Roman" w:cs="Arial"/>
                <w:b w:val="0"/>
                <w:bCs w:val="0"/>
              </w:rPr>
              <w:t>-score (%)</w:t>
            </w:r>
          </w:p>
        </w:tc>
        <w:tc>
          <w:tcPr>
            <w:tcW w:w="0" w:type="auto"/>
            <w:hideMark/>
          </w:tcPr>
          <w:p w14:paraId="221E5948" w14:textId="77777777" w:rsidR="00D83EE8" w:rsidRPr="00D83EE8" w:rsidRDefault="00D83EE8" w:rsidP="00D83EE8">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rPr>
            </w:pPr>
            <w:r w:rsidRPr="00D83EE8">
              <w:rPr>
                <w:rFonts w:eastAsia="Times New Roman" w:cs="Arial"/>
                <w:b w:val="0"/>
                <w:bCs w:val="0"/>
              </w:rPr>
              <w:t>AUC (%)</w:t>
            </w:r>
          </w:p>
        </w:tc>
      </w:tr>
      <w:tr w:rsidR="00D83EE8" w:rsidRPr="00D83EE8" w14:paraId="1F900D82" w14:textId="77777777" w:rsidTr="00D83E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1" w:type="dxa"/>
            <w:hideMark/>
          </w:tcPr>
          <w:p w14:paraId="0884F9DD" w14:textId="77777777" w:rsidR="00D83EE8" w:rsidRPr="00D83EE8" w:rsidRDefault="00D83EE8" w:rsidP="00D83EE8">
            <w:pPr>
              <w:rPr>
                <w:rFonts w:eastAsia="Times New Roman" w:cs="Arial"/>
                <w:b w:val="0"/>
                <w:bCs w:val="0"/>
              </w:rPr>
            </w:pPr>
            <w:proofErr w:type="spellStart"/>
            <w:r w:rsidRPr="00D83EE8">
              <w:rPr>
                <w:rFonts w:eastAsia="Times New Roman" w:cs="Arial"/>
                <w:b w:val="0"/>
                <w:bCs w:val="0"/>
              </w:rPr>
              <w:t>MobileNetV3</w:t>
            </w:r>
            <w:proofErr w:type="spellEnd"/>
            <w:r w:rsidRPr="00D83EE8">
              <w:rPr>
                <w:rFonts w:eastAsia="Times New Roman" w:cs="Arial"/>
                <w:b w:val="0"/>
                <w:bCs w:val="0"/>
              </w:rPr>
              <w:t>-Large</w:t>
            </w:r>
          </w:p>
        </w:tc>
        <w:tc>
          <w:tcPr>
            <w:tcW w:w="974" w:type="dxa"/>
            <w:hideMark/>
          </w:tcPr>
          <w:p w14:paraId="70723EBE" w14:textId="77777777" w:rsidR="00D83EE8" w:rsidRPr="00D83EE8" w:rsidRDefault="00D83EE8" w:rsidP="00D83EE8">
            <w:pPr>
              <w:cnfStyle w:val="000000100000" w:firstRow="0" w:lastRow="0" w:firstColumn="0" w:lastColumn="0" w:oddVBand="0" w:evenVBand="0" w:oddHBand="1" w:evenHBand="0" w:firstRowFirstColumn="0" w:firstRowLastColumn="0" w:lastRowFirstColumn="0" w:lastRowLastColumn="0"/>
              <w:rPr>
                <w:rFonts w:eastAsia="Times New Roman" w:cs="Arial"/>
              </w:rPr>
            </w:pPr>
            <w:r w:rsidRPr="00D83EE8">
              <w:rPr>
                <w:rFonts w:eastAsia="Times New Roman" w:cs="Arial"/>
              </w:rPr>
              <w:t>5.40</w:t>
            </w:r>
          </w:p>
        </w:tc>
        <w:tc>
          <w:tcPr>
            <w:tcW w:w="1121" w:type="dxa"/>
            <w:hideMark/>
          </w:tcPr>
          <w:p w14:paraId="69DDF1D9" w14:textId="77777777" w:rsidR="00D83EE8" w:rsidRPr="00D83EE8" w:rsidRDefault="00D83EE8" w:rsidP="00D83EE8">
            <w:pPr>
              <w:cnfStyle w:val="000000100000" w:firstRow="0" w:lastRow="0" w:firstColumn="0" w:lastColumn="0" w:oddVBand="0" w:evenVBand="0" w:oddHBand="1" w:evenHBand="0" w:firstRowFirstColumn="0" w:firstRowLastColumn="0" w:lastRowFirstColumn="0" w:lastRowLastColumn="0"/>
              <w:rPr>
                <w:rFonts w:eastAsia="Times New Roman" w:cs="Arial"/>
              </w:rPr>
            </w:pPr>
            <w:r w:rsidRPr="00D83EE8">
              <w:rPr>
                <w:rFonts w:eastAsia="Times New Roman" w:cs="Arial"/>
              </w:rPr>
              <w:t>53.33</w:t>
            </w:r>
          </w:p>
        </w:tc>
        <w:tc>
          <w:tcPr>
            <w:tcW w:w="1121" w:type="dxa"/>
            <w:hideMark/>
          </w:tcPr>
          <w:p w14:paraId="02940CCB" w14:textId="77777777" w:rsidR="00D83EE8" w:rsidRPr="00D83EE8" w:rsidRDefault="00D83EE8" w:rsidP="00D83EE8">
            <w:pPr>
              <w:cnfStyle w:val="000000100000" w:firstRow="0" w:lastRow="0" w:firstColumn="0" w:lastColumn="0" w:oddVBand="0" w:evenVBand="0" w:oddHBand="1" w:evenHBand="0" w:firstRowFirstColumn="0" w:firstRowLastColumn="0" w:lastRowFirstColumn="0" w:lastRowLastColumn="0"/>
              <w:rPr>
                <w:rFonts w:eastAsia="Times New Roman" w:cs="Arial"/>
              </w:rPr>
            </w:pPr>
            <w:r w:rsidRPr="00D83EE8">
              <w:rPr>
                <w:rFonts w:eastAsia="Times New Roman" w:cs="Arial"/>
              </w:rPr>
              <w:t>51.91</w:t>
            </w:r>
          </w:p>
        </w:tc>
        <w:tc>
          <w:tcPr>
            <w:tcW w:w="1013" w:type="dxa"/>
            <w:hideMark/>
          </w:tcPr>
          <w:p w14:paraId="04BB7E00" w14:textId="77777777" w:rsidR="00D83EE8" w:rsidRPr="00D83EE8" w:rsidRDefault="00D83EE8" w:rsidP="00D83EE8">
            <w:pPr>
              <w:cnfStyle w:val="000000100000" w:firstRow="0" w:lastRow="0" w:firstColumn="0" w:lastColumn="0" w:oddVBand="0" w:evenVBand="0" w:oddHBand="1" w:evenHBand="0" w:firstRowFirstColumn="0" w:firstRowLastColumn="0" w:lastRowFirstColumn="0" w:lastRowLastColumn="0"/>
              <w:rPr>
                <w:rFonts w:eastAsia="Times New Roman" w:cs="Arial"/>
              </w:rPr>
            </w:pPr>
            <w:r w:rsidRPr="00D83EE8">
              <w:rPr>
                <w:rFonts w:eastAsia="Times New Roman" w:cs="Arial"/>
              </w:rPr>
              <w:t>90.67</w:t>
            </w:r>
          </w:p>
        </w:tc>
        <w:tc>
          <w:tcPr>
            <w:tcW w:w="1216" w:type="dxa"/>
            <w:hideMark/>
          </w:tcPr>
          <w:p w14:paraId="27DD6699" w14:textId="77777777" w:rsidR="00D83EE8" w:rsidRPr="00D83EE8" w:rsidRDefault="00D83EE8" w:rsidP="00D83EE8">
            <w:pPr>
              <w:cnfStyle w:val="000000100000" w:firstRow="0" w:lastRow="0" w:firstColumn="0" w:lastColumn="0" w:oddVBand="0" w:evenVBand="0" w:oddHBand="1" w:evenHBand="0" w:firstRowFirstColumn="0" w:firstRowLastColumn="0" w:lastRowFirstColumn="0" w:lastRowLastColumn="0"/>
              <w:rPr>
                <w:rFonts w:eastAsia="Times New Roman" w:cs="Arial"/>
              </w:rPr>
            </w:pPr>
            <w:r w:rsidRPr="00D83EE8">
              <w:rPr>
                <w:rFonts w:eastAsia="Times New Roman" w:cs="Arial"/>
              </w:rPr>
              <w:t>66.02</w:t>
            </w:r>
          </w:p>
        </w:tc>
        <w:tc>
          <w:tcPr>
            <w:tcW w:w="0" w:type="auto"/>
            <w:hideMark/>
          </w:tcPr>
          <w:p w14:paraId="73B5C694" w14:textId="77777777" w:rsidR="00D83EE8" w:rsidRPr="00D83EE8" w:rsidRDefault="00D83EE8" w:rsidP="00D83EE8">
            <w:pPr>
              <w:cnfStyle w:val="000000100000" w:firstRow="0" w:lastRow="0" w:firstColumn="0" w:lastColumn="0" w:oddVBand="0" w:evenVBand="0" w:oddHBand="1" w:evenHBand="0" w:firstRowFirstColumn="0" w:firstRowLastColumn="0" w:lastRowFirstColumn="0" w:lastRowLastColumn="0"/>
              <w:rPr>
                <w:rFonts w:eastAsia="Times New Roman" w:cs="Arial"/>
              </w:rPr>
            </w:pPr>
            <w:r w:rsidRPr="00D83EE8">
              <w:rPr>
                <w:rFonts w:eastAsia="Times New Roman" w:cs="Arial"/>
              </w:rPr>
              <w:t>67.18</w:t>
            </w:r>
          </w:p>
        </w:tc>
      </w:tr>
      <w:tr w:rsidR="00D83EE8" w:rsidRPr="00D83EE8" w14:paraId="42745C6A" w14:textId="77777777" w:rsidTr="00D83EE8">
        <w:tc>
          <w:tcPr>
            <w:cnfStyle w:val="001000000000" w:firstRow="0" w:lastRow="0" w:firstColumn="1" w:lastColumn="0" w:oddVBand="0" w:evenVBand="0" w:oddHBand="0" w:evenHBand="0" w:firstRowFirstColumn="0" w:firstRowLastColumn="0" w:lastRowFirstColumn="0" w:lastRowLastColumn="0"/>
            <w:tcW w:w="2161" w:type="dxa"/>
            <w:hideMark/>
          </w:tcPr>
          <w:p w14:paraId="746303B9" w14:textId="77777777" w:rsidR="00D83EE8" w:rsidRPr="00D83EE8" w:rsidRDefault="00D83EE8" w:rsidP="00D83EE8">
            <w:pPr>
              <w:rPr>
                <w:rFonts w:eastAsia="Times New Roman" w:cs="Arial"/>
                <w:b w:val="0"/>
                <w:bCs w:val="0"/>
              </w:rPr>
            </w:pPr>
            <w:proofErr w:type="spellStart"/>
            <w:r w:rsidRPr="00D83EE8">
              <w:rPr>
                <w:rFonts w:eastAsia="Times New Roman" w:cs="Arial"/>
                <w:b w:val="0"/>
                <w:bCs w:val="0"/>
              </w:rPr>
              <w:t>NASNetMobile</w:t>
            </w:r>
            <w:proofErr w:type="spellEnd"/>
          </w:p>
        </w:tc>
        <w:tc>
          <w:tcPr>
            <w:tcW w:w="974" w:type="dxa"/>
            <w:hideMark/>
          </w:tcPr>
          <w:p w14:paraId="1592C5B3" w14:textId="77777777" w:rsidR="00D83EE8" w:rsidRPr="00D83EE8" w:rsidRDefault="00D83EE8" w:rsidP="00D83EE8">
            <w:pPr>
              <w:cnfStyle w:val="000000000000" w:firstRow="0" w:lastRow="0" w:firstColumn="0" w:lastColumn="0" w:oddVBand="0" w:evenVBand="0" w:oddHBand="0" w:evenHBand="0" w:firstRowFirstColumn="0" w:firstRowLastColumn="0" w:lastRowFirstColumn="0" w:lastRowLastColumn="0"/>
              <w:rPr>
                <w:rFonts w:eastAsia="Times New Roman" w:cs="Arial"/>
              </w:rPr>
            </w:pPr>
            <w:r w:rsidRPr="00D83EE8">
              <w:rPr>
                <w:rFonts w:eastAsia="Times New Roman" w:cs="Arial"/>
              </w:rPr>
              <w:t>5.30</w:t>
            </w:r>
          </w:p>
        </w:tc>
        <w:tc>
          <w:tcPr>
            <w:tcW w:w="1121" w:type="dxa"/>
            <w:hideMark/>
          </w:tcPr>
          <w:p w14:paraId="3AB71050" w14:textId="77777777" w:rsidR="00D83EE8" w:rsidRPr="00D83EE8" w:rsidRDefault="00D83EE8" w:rsidP="00D83EE8">
            <w:pPr>
              <w:cnfStyle w:val="000000000000" w:firstRow="0" w:lastRow="0" w:firstColumn="0" w:lastColumn="0" w:oddVBand="0" w:evenVBand="0" w:oddHBand="0" w:evenHBand="0" w:firstRowFirstColumn="0" w:firstRowLastColumn="0" w:lastRowFirstColumn="0" w:lastRowLastColumn="0"/>
              <w:rPr>
                <w:rFonts w:eastAsia="Times New Roman" w:cs="Arial"/>
              </w:rPr>
            </w:pPr>
            <w:r w:rsidRPr="00D83EE8">
              <w:rPr>
                <w:rFonts w:eastAsia="Times New Roman" w:cs="Arial"/>
              </w:rPr>
              <w:t>66.33</w:t>
            </w:r>
          </w:p>
        </w:tc>
        <w:tc>
          <w:tcPr>
            <w:tcW w:w="1121" w:type="dxa"/>
            <w:hideMark/>
          </w:tcPr>
          <w:p w14:paraId="1BF98DF4" w14:textId="77777777" w:rsidR="00D83EE8" w:rsidRPr="00D83EE8" w:rsidRDefault="00D83EE8" w:rsidP="00D83EE8">
            <w:pPr>
              <w:cnfStyle w:val="000000000000" w:firstRow="0" w:lastRow="0" w:firstColumn="0" w:lastColumn="0" w:oddVBand="0" w:evenVBand="0" w:oddHBand="0" w:evenHBand="0" w:firstRowFirstColumn="0" w:firstRowLastColumn="0" w:lastRowFirstColumn="0" w:lastRowLastColumn="0"/>
              <w:rPr>
                <w:rFonts w:eastAsia="Times New Roman" w:cs="Arial"/>
              </w:rPr>
            </w:pPr>
            <w:r w:rsidRPr="00D83EE8">
              <w:rPr>
                <w:rFonts w:eastAsia="Times New Roman" w:cs="Arial"/>
              </w:rPr>
              <w:t>78.82</w:t>
            </w:r>
          </w:p>
        </w:tc>
        <w:tc>
          <w:tcPr>
            <w:tcW w:w="1013" w:type="dxa"/>
            <w:hideMark/>
          </w:tcPr>
          <w:p w14:paraId="4FC788A8" w14:textId="77777777" w:rsidR="00D83EE8" w:rsidRPr="00D83EE8" w:rsidRDefault="00D83EE8" w:rsidP="00D83EE8">
            <w:pPr>
              <w:cnfStyle w:val="000000000000" w:firstRow="0" w:lastRow="0" w:firstColumn="0" w:lastColumn="0" w:oddVBand="0" w:evenVBand="0" w:oddHBand="0" w:evenHBand="0" w:firstRowFirstColumn="0" w:firstRowLastColumn="0" w:lastRowFirstColumn="0" w:lastRowLastColumn="0"/>
              <w:rPr>
                <w:rFonts w:eastAsia="Times New Roman" w:cs="Arial"/>
              </w:rPr>
            </w:pPr>
            <w:r w:rsidRPr="00D83EE8">
              <w:rPr>
                <w:rFonts w:eastAsia="Times New Roman" w:cs="Arial"/>
              </w:rPr>
              <w:t>44.67</w:t>
            </w:r>
          </w:p>
        </w:tc>
        <w:tc>
          <w:tcPr>
            <w:tcW w:w="1216" w:type="dxa"/>
            <w:hideMark/>
          </w:tcPr>
          <w:p w14:paraId="34D265A8" w14:textId="77777777" w:rsidR="00D83EE8" w:rsidRPr="00D83EE8" w:rsidRDefault="00D83EE8" w:rsidP="00D83EE8">
            <w:pPr>
              <w:cnfStyle w:val="000000000000" w:firstRow="0" w:lastRow="0" w:firstColumn="0" w:lastColumn="0" w:oddVBand="0" w:evenVBand="0" w:oddHBand="0" w:evenHBand="0" w:firstRowFirstColumn="0" w:firstRowLastColumn="0" w:lastRowFirstColumn="0" w:lastRowLastColumn="0"/>
              <w:rPr>
                <w:rFonts w:eastAsia="Times New Roman" w:cs="Arial"/>
              </w:rPr>
            </w:pPr>
            <w:r w:rsidRPr="00D83EE8">
              <w:rPr>
                <w:rFonts w:eastAsia="Times New Roman" w:cs="Arial"/>
              </w:rPr>
              <w:t>57.02</w:t>
            </w:r>
          </w:p>
        </w:tc>
        <w:tc>
          <w:tcPr>
            <w:tcW w:w="0" w:type="auto"/>
            <w:hideMark/>
          </w:tcPr>
          <w:p w14:paraId="0692A298" w14:textId="77777777" w:rsidR="00D83EE8" w:rsidRPr="00D83EE8" w:rsidRDefault="00D83EE8" w:rsidP="00D83EE8">
            <w:pPr>
              <w:cnfStyle w:val="000000000000" w:firstRow="0" w:lastRow="0" w:firstColumn="0" w:lastColumn="0" w:oddVBand="0" w:evenVBand="0" w:oddHBand="0" w:evenHBand="0" w:firstRowFirstColumn="0" w:firstRowLastColumn="0" w:lastRowFirstColumn="0" w:lastRowLastColumn="0"/>
              <w:rPr>
                <w:rFonts w:eastAsia="Times New Roman" w:cs="Arial"/>
              </w:rPr>
            </w:pPr>
            <w:r w:rsidRPr="00D83EE8">
              <w:rPr>
                <w:rFonts w:eastAsia="Times New Roman" w:cs="Arial"/>
              </w:rPr>
              <w:t>74.07</w:t>
            </w:r>
          </w:p>
        </w:tc>
      </w:tr>
      <w:tr w:rsidR="00D83EE8" w:rsidRPr="00D83EE8" w14:paraId="26203F03" w14:textId="77777777" w:rsidTr="00D83E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1" w:type="dxa"/>
            <w:hideMark/>
          </w:tcPr>
          <w:p w14:paraId="050A1505" w14:textId="77777777" w:rsidR="00D83EE8" w:rsidRPr="00D83EE8" w:rsidRDefault="00D83EE8" w:rsidP="00D83EE8">
            <w:pPr>
              <w:rPr>
                <w:rFonts w:eastAsia="Times New Roman" w:cs="Arial"/>
                <w:b w:val="0"/>
                <w:bCs w:val="0"/>
              </w:rPr>
            </w:pPr>
            <w:proofErr w:type="spellStart"/>
            <w:r w:rsidRPr="00D83EE8">
              <w:rPr>
                <w:rFonts w:eastAsia="Times New Roman" w:cs="Arial"/>
                <w:b w:val="0"/>
                <w:bCs w:val="0"/>
              </w:rPr>
              <w:t>EfficientNetV2-B0</w:t>
            </w:r>
            <w:proofErr w:type="spellEnd"/>
          </w:p>
        </w:tc>
        <w:tc>
          <w:tcPr>
            <w:tcW w:w="974" w:type="dxa"/>
            <w:hideMark/>
          </w:tcPr>
          <w:p w14:paraId="6ED5115E" w14:textId="77777777" w:rsidR="00D83EE8" w:rsidRPr="00D83EE8" w:rsidRDefault="00D83EE8" w:rsidP="00D83EE8">
            <w:pPr>
              <w:cnfStyle w:val="000000100000" w:firstRow="0" w:lastRow="0" w:firstColumn="0" w:lastColumn="0" w:oddVBand="0" w:evenVBand="0" w:oddHBand="1" w:evenHBand="0" w:firstRowFirstColumn="0" w:firstRowLastColumn="0" w:lastRowFirstColumn="0" w:lastRowLastColumn="0"/>
              <w:rPr>
                <w:rFonts w:eastAsia="Times New Roman" w:cs="Arial"/>
              </w:rPr>
            </w:pPr>
            <w:r w:rsidRPr="00D83EE8">
              <w:rPr>
                <w:rFonts w:eastAsia="Times New Roman" w:cs="Arial"/>
              </w:rPr>
              <w:t>5.90</w:t>
            </w:r>
          </w:p>
        </w:tc>
        <w:tc>
          <w:tcPr>
            <w:tcW w:w="1121" w:type="dxa"/>
            <w:hideMark/>
          </w:tcPr>
          <w:p w14:paraId="7F0837F5" w14:textId="77777777" w:rsidR="00D83EE8" w:rsidRPr="00D83EE8" w:rsidRDefault="00D83EE8" w:rsidP="00D83EE8">
            <w:pPr>
              <w:cnfStyle w:val="000000100000" w:firstRow="0" w:lastRow="0" w:firstColumn="0" w:lastColumn="0" w:oddVBand="0" w:evenVBand="0" w:oddHBand="1" w:evenHBand="0" w:firstRowFirstColumn="0" w:firstRowLastColumn="0" w:lastRowFirstColumn="0" w:lastRowLastColumn="0"/>
              <w:rPr>
                <w:rFonts w:eastAsia="Times New Roman" w:cs="Arial"/>
              </w:rPr>
            </w:pPr>
            <w:r w:rsidRPr="00D83EE8">
              <w:rPr>
                <w:rFonts w:eastAsia="Times New Roman" w:cs="Arial"/>
              </w:rPr>
              <w:t>89.33</w:t>
            </w:r>
          </w:p>
        </w:tc>
        <w:tc>
          <w:tcPr>
            <w:tcW w:w="1121" w:type="dxa"/>
            <w:hideMark/>
          </w:tcPr>
          <w:p w14:paraId="7957B919" w14:textId="77777777" w:rsidR="00D83EE8" w:rsidRPr="00D83EE8" w:rsidRDefault="00D83EE8" w:rsidP="00D83EE8">
            <w:pPr>
              <w:cnfStyle w:val="000000100000" w:firstRow="0" w:lastRow="0" w:firstColumn="0" w:lastColumn="0" w:oddVBand="0" w:evenVBand="0" w:oddHBand="1" w:evenHBand="0" w:firstRowFirstColumn="0" w:firstRowLastColumn="0" w:lastRowFirstColumn="0" w:lastRowLastColumn="0"/>
              <w:rPr>
                <w:rFonts w:eastAsia="Times New Roman" w:cs="Arial"/>
              </w:rPr>
            </w:pPr>
            <w:r w:rsidRPr="00D83EE8">
              <w:rPr>
                <w:rFonts w:eastAsia="Times New Roman" w:cs="Arial"/>
              </w:rPr>
              <w:t>95.38</w:t>
            </w:r>
          </w:p>
        </w:tc>
        <w:tc>
          <w:tcPr>
            <w:tcW w:w="1013" w:type="dxa"/>
            <w:hideMark/>
          </w:tcPr>
          <w:p w14:paraId="3564E11B" w14:textId="77777777" w:rsidR="00D83EE8" w:rsidRPr="00D83EE8" w:rsidRDefault="00D83EE8" w:rsidP="00D83EE8">
            <w:pPr>
              <w:cnfStyle w:val="000000100000" w:firstRow="0" w:lastRow="0" w:firstColumn="0" w:lastColumn="0" w:oddVBand="0" w:evenVBand="0" w:oddHBand="1" w:evenHBand="0" w:firstRowFirstColumn="0" w:firstRowLastColumn="0" w:lastRowFirstColumn="0" w:lastRowLastColumn="0"/>
              <w:rPr>
                <w:rFonts w:eastAsia="Times New Roman" w:cs="Arial"/>
              </w:rPr>
            </w:pPr>
            <w:r w:rsidRPr="00D83EE8">
              <w:rPr>
                <w:rFonts w:eastAsia="Times New Roman" w:cs="Arial"/>
              </w:rPr>
              <w:t>82.67</w:t>
            </w:r>
          </w:p>
        </w:tc>
        <w:tc>
          <w:tcPr>
            <w:tcW w:w="1216" w:type="dxa"/>
            <w:hideMark/>
          </w:tcPr>
          <w:p w14:paraId="7A1C875F" w14:textId="77777777" w:rsidR="00D83EE8" w:rsidRPr="00D83EE8" w:rsidRDefault="00D83EE8" w:rsidP="00D83EE8">
            <w:pPr>
              <w:cnfStyle w:val="000000100000" w:firstRow="0" w:lastRow="0" w:firstColumn="0" w:lastColumn="0" w:oddVBand="0" w:evenVBand="0" w:oddHBand="1" w:evenHBand="0" w:firstRowFirstColumn="0" w:firstRowLastColumn="0" w:lastRowFirstColumn="0" w:lastRowLastColumn="0"/>
              <w:rPr>
                <w:rFonts w:eastAsia="Times New Roman" w:cs="Arial"/>
              </w:rPr>
            </w:pPr>
            <w:r w:rsidRPr="00D83EE8">
              <w:rPr>
                <w:rFonts w:eastAsia="Times New Roman" w:cs="Arial"/>
              </w:rPr>
              <w:t>88.57</w:t>
            </w:r>
          </w:p>
        </w:tc>
        <w:tc>
          <w:tcPr>
            <w:tcW w:w="0" w:type="auto"/>
            <w:hideMark/>
          </w:tcPr>
          <w:p w14:paraId="33823B0D" w14:textId="77777777" w:rsidR="00D83EE8" w:rsidRPr="00D83EE8" w:rsidRDefault="00D83EE8" w:rsidP="00D83EE8">
            <w:pPr>
              <w:cnfStyle w:val="000000100000" w:firstRow="0" w:lastRow="0" w:firstColumn="0" w:lastColumn="0" w:oddVBand="0" w:evenVBand="0" w:oddHBand="1" w:evenHBand="0" w:firstRowFirstColumn="0" w:firstRowLastColumn="0" w:lastRowFirstColumn="0" w:lastRowLastColumn="0"/>
              <w:rPr>
                <w:rFonts w:eastAsia="Times New Roman" w:cs="Arial"/>
              </w:rPr>
            </w:pPr>
            <w:r w:rsidRPr="00D83EE8">
              <w:rPr>
                <w:rFonts w:eastAsia="Times New Roman" w:cs="Arial"/>
              </w:rPr>
              <w:t>96.80</w:t>
            </w:r>
          </w:p>
        </w:tc>
      </w:tr>
      <w:tr w:rsidR="00D83EE8" w:rsidRPr="00D83EE8" w14:paraId="205304B0" w14:textId="77777777" w:rsidTr="00D83EE8">
        <w:tc>
          <w:tcPr>
            <w:cnfStyle w:val="001000000000" w:firstRow="0" w:lastRow="0" w:firstColumn="1" w:lastColumn="0" w:oddVBand="0" w:evenVBand="0" w:oddHBand="0" w:evenHBand="0" w:firstRowFirstColumn="0" w:firstRowLastColumn="0" w:lastRowFirstColumn="0" w:lastRowLastColumn="0"/>
            <w:tcW w:w="2161" w:type="dxa"/>
            <w:hideMark/>
          </w:tcPr>
          <w:p w14:paraId="3E1E0F09" w14:textId="61AEBB61" w:rsidR="00D83EE8" w:rsidRPr="00D83EE8" w:rsidRDefault="00D83EE8" w:rsidP="00D83EE8">
            <w:pPr>
              <w:rPr>
                <w:rFonts w:eastAsia="Times New Roman" w:cs="Arial"/>
                <w:b w:val="0"/>
                <w:bCs w:val="0"/>
              </w:rPr>
            </w:pPr>
            <w:proofErr w:type="spellStart"/>
            <w:r w:rsidRPr="00D83EE8">
              <w:rPr>
                <w:rFonts w:eastAsia="Times New Roman" w:cs="Arial"/>
                <w:b w:val="0"/>
                <w:bCs w:val="0"/>
              </w:rPr>
              <w:t>GRANet</w:t>
            </w:r>
            <w:proofErr w:type="spellEnd"/>
            <w:r w:rsidRPr="00D83EE8">
              <w:rPr>
                <w:rFonts w:eastAsia="Times New Roman" w:cs="Arial"/>
                <w:b w:val="0"/>
                <w:bCs w:val="0"/>
              </w:rPr>
              <w:t xml:space="preserve">-Lite </w:t>
            </w:r>
          </w:p>
        </w:tc>
        <w:tc>
          <w:tcPr>
            <w:tcW w:w="974" w:type="dxa"/>
            <w:hideMark/>
          </w:tcPr>
          <w:p w14:paraId="2233A7E9" w14:textId="77777777" w:rsidR="00D83EE8" w:rsidRPr="00D83EE8" w:rsidRDefault="00D83EE8" w:rsidP="00D83EE8">
            <w:pPr>
              <w:cnfStyle w:val="000000000000" w:firstRow="0" w:lastRow="0" w:firstColumn="0" w:lastColumn="0" w:oddVBand="0" w:evenVBand="0" w:oddHBand="0" w:evenHBand="0" w:firstRowFirstColumn="0" w:firstRowLastColumn="0" w:lastRowFirstColumn="0" w:lastRowLastColumn="0"/>
              <w:rPr>
                <w:rFonts w:eastAsia="Times New Roman" w:cs="Arial"/>
              </w:rPr>
            </w:pPr>
            <w:r w:rsidRPr="00D83EE8">
              <w:rPr>
                <w:rFonts w:eastAsia="Times New Roman" w:cs="Arial"/>
              </w:rPr>
              <w:t>1.72</w:t>
            </w:r>
          </w:p>
        </w:tc>
        <w:tc>
          <w:tcPr>
            <w:tcW w:w="1121" w:type="dxa"/>
            <w:hideMark/>
          </w:tcPr>
          <w:p w14:paraId="32BD4EBE" w14:textId="77777777" w:rsidR="00D83EE8" w:rsidRPr="00D83EE8" w:rsidRDefault="00D83EE8" w:rsidP="00D83EE8">
            <w:pPr>
              <w:cnfStyle w:val="000000000000" w:firstRow="0" w:lastRow="0" w:firstColumn="0" w:lastColumn="0" w:oddVBand="0" w:evenVBand="0" w:oddHBand="0" w:evenHBand="0" w:firstRowFirstColumn="0" w:firstRowLastColumn="0" w:lastRowFirstColumn="0" w:lastRowLastColumn="0"/>
              <w:rPr>
                <w:rFonts w:eastAsia="Times New Roman" w:cs="Arial"/>
              </w:rPr>
            </w:pPr>
            <w:r w:rsidRPr="00D83EE8">
              <w:rPr>
                <w:rFonts w:eastAsia="Times New Roman" w:cs="Arial"/>
              </w:rPr>
              <w:t>95.33</w:t>
            </w:r>
          </w:p>
        </w:tc>
        <w:tc>
          <w:tcPr>
            <w:tcW w:w="1121" w:type="dxa"/>
            <w:hideMark/>
          </w:tcPr>
          <w:p w14:paraId="2382923C" w14:textId="77777777" w:rsidR="00D83EE8" w:rsidRPr="00D83EE8" w:rsidRDefault="00D83EE8" w:rsidP="00D83EE8">
            <w:pPr>
              <w:cnfStyle w:val="000000000000" w:firstRow="0" w:lastRow="0" w:firstColumn="0" w:lastColumn="0" w:oddVBand="0" w:evenVBand="0" w:oddHBand="0" w:evenHBand="0" w:firstRowFirstColumn="0" w:firstRowLastColumn="0" w:lastRowFirstColumn="0" w:lastRowLastColumn="0"/>
              <w:rPr>
                <w:rFonts w:eastAsia="Times New Roman" w:cs="Arial"/>
              </w:rPr>
            </w:pPr>
            <w:r w:rsidRPr="00D83EE8">
              <w:rPr>
                <w:rFonts w:eastAsia="Times New Roman" w:cs="Arial"/>
              </w:rPr>
              <w:t>95.33</w:t>
            </w:r>
          </w:p>
        </w:tc>
        <w:tc>
          <w:tcPr>
            <w:tcW w:w="1013" w:type="dxa"/>
            <w:hideMark/>
          </w:tcPr>
          <w:p w14:paraId="6330DF03" w14:textId="77777777" w:rsidR="00D83EE8" w:rsidRPr="00D83EE8" w:rsidRDefault="00D83EE8" w:rsidP="00D83EE8">
            <w:pPr>
              <w:cnfStyle w:val="000000000000" w:firstRow="0" w:lastRow="0" w:firstColumn="0" w:lastColumn="0" w:oddVBand="0" w:evenVBand="0" w:oddHBand="0" w:evenHBand="0" w:firstRowFirstColumn="0" w:firstRowLastColumn="0" w:lastRowFirstColumn="0" w:lastRowLastColumn="0"/>
              <w:rPr>
                <w:rFonts w:eastAsia="Times New Roman" w:cs="Arial"/>
              </w:rPr>
            </w:pPr>
            <w:r w:rsidRPr="00D83EE8">
              <w:rPr>
                <w:rFonts w:eastAsia="Times New Roman" w:cs="Arial"/>
              </w:rPr>
              <w:t>95.33</w:t>
            </w:r>
          </w:p>
        </w:tc>
        <w:tc>
          <w:tcPr>
            <w:tcW w:w="1216" w:type="dxa"/>
            <w:hideMark/>
          </w:tcPr>
          <w:p w14:paraId="64E86069" w14:textId="77777777" w:rsidR="00D83EE8" w:rsidRPr="00D83EE8" w:rsidRDefault="00D83EE8" w:rsidP="00D83EE8">
            <w:pPr>
              <w:cnfStyle w:val="000000000000" w:firstRow="0" w:lastRow="0" w:firstColumn="0" w:lastColumn="0" w:oddVBand="0" w:evenVBand="0" w:oddHBand="0" w:evenHBand="0" w:firstRowFirstColumn="0" w:firstRowLastColumn="0" w:lastRowFirstColumn="0" w:lastRowLastColumn="0"/>
              <w:rPr>
                <w:rFonts w:eastAsia="Times New Roman" w:cs="Arial"/>
              </w:rPr>
            </w:pPr>
            <w:r w:rsidRPr="00D83EE8">
              <w:rPr>
                <w:rFonts w:eastAsia="Times New Roman" w:cs="Arial"/>
              </w:rPr>
              <w:t>95.33</w:t>
            </w:r>
          </w:p>
        </w:tc>
        <w:tc>
          <w:tcPr>
            <w:tcW w:w="0" w:type="auto"/>
            <w:hideMark/>
          </w:tcPr>
          <w:p w14:paraId="41C792AE" w14:textId="77777777" w:rsidR="00D83EE8" w:rsidRPr="00D83EE8" w:rsidRDefault="00D83EE8" w:rsidP="00D83EE8">
            <w:pPr>
              <w:cnfStyle w:val="000000000000" w:firstRow="0" w:lastRow="0" w:firstColumn="0" w:lastColumn="0" w:oddVBand="0" w:evenVBand="0" w:oddHBand="0" w:evenHBand="0" w:firstRowFirstColumn="0" w:firstRowLastColumn="0" w:lastRowFirstColumn="0" w:lastRowLastColumn="0"/>
              <w:rPr>
                <w:rFonts w:eastAsia="Times New Roman" w:cs="Arial"/>
              </w:rPr>
            </w:pPr>
            <w:r w:rsidRPr="00D83EE8">
              <w:rPr>
                <w:rFonts w:eastAsia="Times New Roman" w:cs="Arial"/>
              </w:rPr>
              <w:t>98.54</w:t>
            </w:r>
          </w:p>
        </w:tc>
      </w:tr>
    </w:tbl>
    <w:p w14:paraId="069D771B" w14:textId="77777777" w:rsidR="00D83EE8" w:rsidRPr="00D83EE8" w:rsidRDefault="00D83EE8" w:rsidP="00D83EE8">
      <w:pPr>
        <w:spacing w:before="200" w:after="200"/>
        <w:ind w:firstLine="432"/>
        <w:jc w:val="both"/>
      </w:pPr>
      <w:r w:rsidRPr="00D83EE8">
        <w:rPr>
          <w:b/>
          <w:bCs/>
        </w:rPr>
        <w:t>Added Text (Discussion Section):</w:t>
      </w:r>
    </w:p>
    <w:p w14:paraId="61EEEE4B" w14:textId="77777777" w:rsidR="00D83EE8" w:rsidRPr="00D83EE8" w:rsidRDefault="00D83EE8" w:rsidP="00D83EE8">
      <w:pPr>
        <w:spacing w:before="200" w:after="200"/>
        <w:ind w:left="432"/>
        <w:jc w:val="both"/>
      </w:pPr>
      <w:r w:rsidRPr="00D83EE8">
        <w:t xml:space="preserve">In addition to the ablation analysis, the controlled comparison with established lightweight architectures further highlights the efficiency of the proposed design. Under identical preprocessing and training conditions, </w:t>
      </w:r>
      <w:proofErr w:type="spellStart"/>
      <w:r w:rsidRPr="00D83EE8">
        <w:t>GRANet</w:t>
      </w:r>
      <w:proofErr w:type="spellEnd"/>
      <w:r w:rsidRPr="00D83EE8">
        <w:t xml:space="preserve">-Lite consistently outperformed </w:t>
      </w:r>
      <w:proofErr w:type="spellStart"/>
      <w:r w:rsidRPr="00D83EE8">
        <w:lastRenderedPageBreak/>
        <w:t>EfficientNetV2-B0</w:t>
      </w:r>
      <w:proofErr w:type="spellEnd"/>
      <w:r w:rsidRPr="00D83EE8">
        <w:t xml:space="preserve">, </w:t>
      </w:r>
      <w:proofErr w:type="spellStart"/>
      <w:r w:rsidRPr="00D83EE8">
        <w:t>MobileNetV3</w:t>
      </w:r>
      <w:proofErr w:type="spellEnd"/>
      <w:r w:rsidRPr="00D83EE8">
        <w:t xml:space="preserve">-Large, and </w:t>
      </w:r>
      <w:proofErr w:type="spellStart"/>
      <w:r w:rsidRPr="00D83EE8">
        <w:t>NASNetMobile</w:t>
      </w:r>
      <w:proofErr w:type="spellEnd"/>
      <w:r w:rsidRPr="00D83EE8">
        <w:t xml:space="preserve"> while using substantially fewer parameters. This outcome suggests that the combination of Ghost-based feature generation with lightweight attention mechanisms enables more effective feature utilization than conventional </w:t>
      </w:r>
      <w:proofErr w:type="spellStart"/>
      <w:r w:rsidRPr="00D83EE8">
        <w:t>depthwise</w:t>
      </w:r>
      <w:proofErr w:type="spellEnd"/>
      <w:r w:rsidRPr="00D83EE8">
        <w:t>-separable architectures when trained from scratch on histopathology data.</w:t>
      </w:r>
    </w:p>
    <w:p w14:paraId="0AE0F2AF" w14:textId="77777777" w:rsidR="00D83EE8" w:rsidRPr="00D83EE8" w:rsidRDefault="00D83EE8" w:rsidP="00D83EE8">
      <w:pPr>
        <w:spacing w:before="200" w:after="200"/>
        <w:jc w:val="both"/>
        <w:rPr>
          <w:sz w:val="24"/>
          <w:szCs w:val="24"/>
        </w:rPr>
      </w:pPr>
    </w:p>
    <w:p w14:paraId="382F54E2" w14:textId="77777777" w:rsidR="00D83EE8" w:rsidRPr="00D83EE8" w:rsidRDefault="00D83EE8" w:rsidP="00D83EE8">
      <w:pPr>
        <w:spacing w:before="200" w:after="200"/>
        <w:jc w:val="both"/>
        <w:rPr>
          <w:sz w:val="28"/>
          <w:szCs w:val="28"/>
        </w:rPr>
      </w:pPr>
      <w:r w:rsidRPr="00D83EE8">
        <w:rPr>
          <w:b/>
          <w:bCs/>
          <w:sz w:val="28"/>
          <w:szCs w:val="28"/>
        </w:rPr>
        <w:t>Reviewer #2</w:t>
      </w:r>
    </w:p>
    <w:p w14:paraId="0AD8460F" w14:textId="77777777" w:rsidR="00D83EE8" w:rsidRPr="00D83EE8" w:rsidRDefault="00D83EE8" w:rsidP="00D83EE8">
      <w:pPr>
        <w:spacing w:before="200" w:after="200"/>
        <w:jc w:val="both"/>
        <w:rPr>
          <w:sz w:val="24"/>
          <w:szCs w:val="24"/>
        </w:rPr>
      </w:pPr>
      <w:r w:rsidRPr="00D83EE8">
        <w:rPr>
          <w:b/>
          <w:bCs/>
          <w:color w:val="EE0000"/>
          <w:sz w:val="24"/>
          <w:szCs w:val="24"/>
        </w:rPr>
        <w:t xml:space="preserve">Concern 1: </w:t>
      </w:r>
      <w:r w:rsidRPr="00D83EE8">
        <w:rPr>
          <w:sz w:val="24"/>
          <w:szCs w:val="24"/>
        </w:rPr>
        <w:t>Potential Data Leakage Risk from Augmentation Before Set Division</w:t>
      </w:r>
    </w:p>
    <w:p w14:paraId="26046CC4" w14:textId="77777777" w:rsidR="00D83EE8" w:rsidRPr="00D83EE8" w:rsidRDefault="00D83EE8" w:rsidP="00D83EE8">
      <w:pPr>
        <w:spacing w:before="200" w:after="200"/>
        <w:jc w:val="both"/>
        <w:rPr>
          <w:sz w:val="24"/>
          <w:szCs w:val="24"/>
          <w:u w:val="single"/>
        </w:rPr>
      </w:pPr>
      <w:r w:rsidRPr="00D83EE8">
        <w:rPr>
          <w:sz w:val="24"/>
          <w:szCs w:val="24"/>
          <w:u w:val="single"/>
        </w:rPr>
        <w:t>Reviewer Comment:</w:t>
      </w:r>
    </w:p>
    <w:p w14:paraId="6C1BFAAE" w14:textId="66EE9BA5" w:rsidR="00D83EE8" w:rsidRPr="00D83EE8" w:rsidRDefault="00D83EE8" w:rsidP="00D83EE8">
      <w:pPr>
        <w:spacing w:before="200" w:after="200"/>
        <w:ind w:left="432"/>
        <w:jc w:val="both"/>
      </w:pPr>
      <w:r w:rsidRPr="00D83EE8">
        <w:rPr>
          <w:i/>
          <w:iCs/>
        </w:rPr>
        <w:t>Both the flow chart and textual descriptions indicate that augmentation-based class balancing is performed prior to the division of training, validation and test sets. If set division is conducted after data augmentation, near-duplicate samples may exist between the training and test sets. Although the authors mention 'leakage-free comparisons', this expression more refers to the fairness among different network branches and does not sufficiently prove the absence of cross-set data leakage. It is recommended to perform data augmentation after set division and provide the results of patient-level data splitting.</w:t>
      </w:r>
    </w:p>
    <w:p w14:paraId="086CC845" w14:textId="77777777" w:rsidR="00D83EE8" w:rsidRPr="00D83EE8" w:rsidRDefault="00D83EE8" w:rsidP="00D83EE8">
      <w:pPr>
        <w:spacing w:before="200" w:after="200"/>
        <w:jc w:val="both"/>
        <w:rPr>
          <w:u w:val="single"/>
        </w:rPr>
      </w:pPr>
      <w:r w:rsidRPr="00D83EE8">
        <w:rPr>
          <w:u w:val="single"/>
        </w:rPr>
        <w:t>Author Response:</w:t>
      </w:r>
    </w:p>
    <w:p w14:paraId="504BB77D" w14:textId="65C80C12" w:rsidR="00D83EE8" w:rsidRPr="00D83EE8" w:rsidRDefault="00D83EE8" w:rsidP="00D83EE8">
      <w:pPr>
        <w:spacing w:before="200" w:after="200"/>
        <w:ind w:left="432"/>
        <w:jc w:val="both"/>
      </w:pPr>
      <w:r w:rsidRPr="00D83EE8">
        <w:t>We thank the reviewer for this careful observation. We confirm that data augmentation was applied after patient-level partitioning was completed — not prior to set division. We have clarified this in the revised manuscript and added a dedicated subsection on patient-level partitioning (see also our response to Reviewer #1, Weakness 1 above), which makes explicit that all three sets are patient-disjoint and that augmentation was applied exclusively within the training partition.</w:t>
      </w:r>
    </w:p>
    <w:p w14:paraId="7420B923" w14:textId="77777777" w:rsidR="00D83EE8" w:rsidRDefault="00D83EE8" w:rsidP="00D83EE8">
      <w:pPr>
        <w:spacing w:before="200" w:after="200"/>
        <w:jc w:val="both"/>
      </w:pPr>
    </w:p>
    <w:p w14:paraId="7A82D79E" w14:textId="77777777" w:rsidR="008C7540" w:rsidRDefault="008C7540" w:rsidP="008C7540">
      <w:pPr>
        <w:jc w:val="both"/>
        <w:rPr>
          <w:sz w:val="24"/>
          <w:szCs w:val="24"/>
        </w:rPr>
      </w:pPr>
      <w:r w:rsidRPr="008C7540">
        <w:rPr>
          <w:b/>
          <w:bCs/>
          <w:color w:val="EE0000"/>
          <w:sz w:val="24"/>
          <w:szCs w:val="24"/>
        </w:rPr>
        <w:t xml:space="preserve">Concern 2: </w:t>
      </w:r>
      <w:r w:rsidRPr="008C7540">
        <w:rPr>
          <w:sz w:val="24"/>
          <w:szCs w:val="24"/>
        </w:rPr>
        <w:t>Inconsistencies in Result Reporting (AUC Values in Table 2 vs. ROC Section)</w:t>
      </w:r>
    </w:p>
    <w:p w14:paraId="6AF65634" w14:textId="77777777" w:rsidR="008C7540" w:rsidRPr="008C7540" w:rsidRDefault="008C7540" w:rsidP="008C7540">
      <w:pPr>
        <w:jc w:val="both"/>
      </w:pPr>
    </w:p>
    <w:p w14:paraId="0896C409" w14:textId="77777777" w:rsidR="008C7540" w:rsidRPr="008C7540" w:rsidRDefault="008C7540" w:rsidP="008C7540">
      <w:pPr>
        <w:spacing w:after="120"/>
        <w:jc w:val="both"/>
        <w:rPr>
          <w:sz w:val="24"/>
          <w:szCs w:val="24"/>
          <w:u w:val="single"/>
        </w:rPr>
      </w:pPr>
      <w:r w:rsidRPr="008C7540">
        <w:rPr>
          <w:sz w:val="24"/>
          <w:szCs w:val="24"/>
          <w:u w:val="single"/>
        </w:rPr>
        <w:t>Reviewer Comment:</w:t>
      </w:r>
    </w:p>
    <w:p w14:paraId="1AEB3582" w14:textId="77777777" w:rsidR="008C7540" w:rsidRPr="008C7540" w:rsidRDefault="008C7540" w:rsidP="008C7540">
      <w:pPr>
        <w:ind w:left="432"/>
        <w:jc w:val="both"/>
      </w:pPr>
      <w:r w:rsidRPr="008C7540">
        <w:rPr>
          <w:i/>
          <w:iCs/>
        </w:rPr>
        <w:t xml:space="preserve">There is a mismatch between the AUC values at different magnification levels in Table 2 and the ROC analysis section. For instance, the tissue-separation branch is reported to have an AUC of 99.21 at </w:t>
      </w:r>
      <w:proofErr w:type="spellStart"/>
      <w:r w:rsidRPr="008C7540">
        <w:rPr>
          <w:i/>
          <w:iCs/>
        </w:rPr>
        <w:t>40x</w:t>
      </w:r>
      <w:proofErr w:type="spellEnd"/>
      <w:r w:rsidRPr="008C7540">
        <w:rPr>
          <w:i/>
          <w:iCs/>
        </w:rPr>
        <w:t xml:space="preserve"> and 97.94 at </w:t>
      </w:r>
      <w:proofErr w:type="spellStart"/>
      <w:r w:rsidRPr="008C7540">
        <w:rPr>
          <w:i/>
          <w:iCs/>
        </w:rPr>
        <w:t>100x</w:t>
      </w:r>
      <w:proofErr w:type="spellEnd"/>
      <w:r w:rsidRPr="008C7540">
        <w:rPr>
          <w:i/>
          <w:iCs/>
        </w:rPr>
        <w:t xml:space="preserve"> in the table, while the ROC section in the main text states 97.94 at </w:t>
      </w:r>
      <w:proofErr w:type="spellStart"/>
      <w:r w:rsidRPr="008C7540">
        <w:rPr>
          <w:i/>
          <w:iCs/>
        </w:rPr>
        <w:t>40x</w:t>
      </w:r>
      <w:proofErr w:type="spellEnd"/>
      <w:r w:rsidRPr="008C7540">
        <w:rPr>
          <w:i/>
          <w:iCs/>
        </w:rPr>
        <w:t xml:space="preserve"> and 99.07 at </w:t>
      </w:r>
      <w:proofErr w:type="spellStart"/>
      <w:r w:rsidRPr="008C7540">
        <w:rPr>
          <w:i/>
          <w:iCs/>
        </w:rPr>
        <w:t>100x</w:t>
      </w:r>
      <w:proofErr w:type="spellEnd"/>
      <w:r w:rsidRPr="008C7540">
        <w:rPr>
          <w:i/>
          <w:iCs/>
        </w:rPr>
        <w:t>. Such inconsistencies need to be verified and corrected item by item.</w:t>
      </w:r>
    </w:p>
    <w:p w14:paraId="4C708475" w14:textId="77777777" w:rsidR="008C7540" w:rsidRPr="008C7540" w:rsidRDefault="008C7540" w:rsidP="008C7540">
      <w:pPr>
        <w:jc w:val="both"/>
      </w:pPr>
    </w:p>
    <w:p w14:paraId="13965A3E" w14:textId="77777777" w:rsidR="008C7540" w:rsidRPr="008C7540" w:rsidRDefault="008C7540" w:rsidP="008C7540">
      <w:pPr>
        <w:spacing w:after="120"/>
        <w:jc w:val="both"/>
        <w:rPr>
          <w:u w:val="single"/>
        </w:rPr>
      </w:pPr>
      <w:r w:rsidRPr="008C7540">
        <w:rPr>
          <w:u w:val="single"/>
        </w:rPr>
        <w:t>Author Response:</w:t>
      </w:r>
    </w:p>
    <w:p w14:paraId="0A10B8EB" w14:textId="77777777" w:rsidR="008C7540" w:rsidRPr="008C7540" w:rsidRDefault="008C7540" w:rsidP="008C7540">
      <w:pPr>
        <w:ind w:left="432"/>
        <w:jc w:val="both"/>
      </w:pPr>
      <w:r w:rsidRPr="008C7540">
        <w:t>We thank the reviewer for carefully cross-checking the reported values. We have thoroughly re-examined all AUC values in Table 2 and in the ROC analysis section of the main text. Each discrepancy has been identified and corrected to ensure full consistency between the table and the narrative. All values now reflect the verified experimental outputs from the final model runs.</w:t>
      </w:r>
    </w:p>
    <w:p w14:paraId="5CCBAB8F" w14:textId="77777777" w:rsidR="00D20382" w:rsidRDefault="00D20382" w:rsidP="00D83EE8">
      <w:pPr>
        <w:jc w:val="both"/>
      </w:pPr>
    </w:p>
    <w:p w14:paraId="265E7290" w14:textId="77777777" w:rsidR="008C7540" w:rsidRDefault="008C7540" w:rsidP="00D83EE8">
      <w:pPr>
        <w:jc w:val="both"/>
      </w:pPr>
    </w:p>
    <w:p w14:paraId="4035678D" w14:textId="77777777" w:rsidR="008C7540" w:rsidRDefault="008C7540" w:rsidP="00D83EE8">
      <w:pPr>
        <w:jc w:val="both"/>
      </w:pPr>
    </w:p>
    <w:p w14:paraId="2FDEF9CA" w14:textId="77777777" w:rsidR="008C7540" w:rsidRDefault="008C7540" w:rsidP="00D83EE8">
      <w:pPr>
        <w:jc w:val="both"/>
      </w:pPr>
    </w:p>
    <w:p w14:paraId="5A688A14" w14:textId="77777777" w:rsidR="008C7540" w:rsidRDefault="008C7540" w:rsidP="00D83EE8">
      <w:pPr>
        <w:jc w:val="both"/>
      </w:pPr>
    </w:p>
    <w:p w14:paraId="6A412981" w14:textId="77777777" w:rsidR="008C7540" w:rsidRDefault="008C7540" w:rsidP="00D83EE8">
      <w:pPr>
        <w:jc w:val="both"/>
      </w:pPr>
    </w:p>
    <w:p w14:paraId="12F9F5CD" w14:textId="77777777" w:rsidR="008C7540" w:rsidRPr="008C7540" w:rsidRDefault="008C7540" w:rsidP="008C7540">
      <w:pPr>
        <w:spacing w:after="120"/>
        <w:jc w:val="both"/>
        <w:rPr>
          <w:sz w:val="24"/>
          <w:szCs w:val="24"/>
        </w:rPr>
      </w:pPr>
      <w:r w:rsidRPr="008C7540">
        <w:rPr>
          <w:b/>
          <w:bCs/>
          <w:color w:val="EE0000"/>
          <w:sz w:val="24"/>
          <w:szCs w:val="24"/>
        </w:rPr>
        <w:lastRenderedPageBreak/>
        <w:t>Concern 3:</w:t>
      </w:r>
      <w:r w:rsidRPr="008C7540">
        <w:rPr>
          <w:color w:val="EE0000"/>
          <w:sz w:val="24"/>
          <w:szCs w:val="24"/>
        </w:rPr>
        <w:t xml:space="preserve"> </w:t>
      </w:r>
      <w:r w:rsidRPr="008C7540">
        <w:rPr>
          <w:sz w:val="24"/>
          <w:szCs w:val="24"/>
        </w:rPr>
        <w:t>Insufficient Deployment Metrics</w:t>
      </w:r>
    </w:p>
    <w:p w14:paraId="1A577D36" w14:textId="77777777" w:rsidR="008C7540" w:rsidRPr="008C7540" w:rsidRDefault="008C7540" w:rsidP="008C7540">
      <w:pPr>
        <w:spacing w:after="120"/>
        <w:jc w:val="both"/>
        <w:rPr>
          <w:sz w:val="24"/>
          <w:szCs w:val="24"/>
          <w:u w:val="single"/>
        </w:rPr>
      </w:pPr>
      <w:r w:rsidRPr="008C7540">
        <w:rPr>
          <w:sz w:val="24"/>
          <w:szCs w:val="24"/>
          <w:u w:val="single"/>
        </w:rPr>
        <w:t>Reviewer Comment:</w:t>
      </w:r>
    </w:p>
    <w:p w14:paraId="11E540F2" w14:textId="25E0DF8E" w:rsidR="008C7540" w:rsidRPr="008C7540" w:rsidRDefault="008C7540" w:rsidP="008C7540">
      <w:pPr>
        <w:spacing w:after="120"/>
        <w:ind w:left="432"/>
        <w:jc w:val="both"/>
      </w:pPr>
      <w:r w:rsidRPr="008C7540">
        <w:rPr>
          <w:i/>
          <w:iCs/>
        </w:rPr>
        <w:t xml:space="preserve">The paper only reports the number of parameters, while lacking key deployment indicators such as </w:t>
      </w:r>
      <w:proofErr w:type="spellStart"/>
      <w:r w:rsidRPr="008C7540">
        <w:rPr>
          <w:i/>
          <w:iCs/>
        </w:rPr>
        <w:t>FLOPs</w:t>
      </w:r>
      <w:proofErr w:type="spellEnd"/>
      <w:r w:rsidRPr="008C7540">
        <w:rPr>
          <w:i/>
          <w:iCs/>
        </w:rPr>
        <w:t xml:space="preserve">, inference latency, throughput, memory footprint, power consumption, and measured results on actual hardware platforms. The parameter count alone is insufficient to support the conclusions about model </w:t>
      </w:r>
      <w:proofErr w:type="spellStart"/>
      <w:r w:rsidRPr="008C7540">
        <w:rPr>
          <w:i/>
          <w:iCs/>
        </w:rPr>
        <w:t>deployability</w:t>
      </w:r>
      <w:proofErr w:type="spellEnd"/>
      <w:r w:rsidRPr="008C7540">
        <w:rPr>
          <w:i/>
          <w:iCs/>
        </w:rPr>
        <w:t>.</w:t>
      </w:r>
    </w:p>
    <w:p w14:paraId="22F93059" w14:textId="77777777" w:rsidR="008C7540" w:rsidRPr="008C7540" w:rsidRDefault="008C7540" w:rsidP="008C7540">
      <w:pPr>
        <w:spacing w:after="120"/>
        <w:jc w:val="both"/>
        <w:rPr>
          <w:sz w:val="24"/>
          <w:szCs w:val="24"/>
          <w:u w:val="single"/>
        </w:rPr>
      </w:pPr>
      <w:r w:rsidRPr="008C7540">
        <w:rPr>
          <w:sz w:val="24"/>
          <w:szCs w:val="24"/>
          <w:u w:val="single"/>
        </w:rPr>
        <w:t>Author Response:</w:t>
      </w:r>
    </w:p>
    <w:p w14:paraId="1326FCAC" w14:textId="51B27901" w:rsidR="008C7540" w:rsidRPr="008C7540" w:rsidRDefault="008C7540" w:rsidP="008C7540">
      <w:pPr>
        <w:spacing w:after="120"/>
        <w:ind w:left="432"/>
        <w:jc w:val="both"/>
      </w:pPr>
      <w:r w:rsidRPr="008C7540">
        <w:t xml:space="preserve">We agree that reporting only parameter count is insufficient to substantiate claims about </w:t>
      </w:r>
      <w:proofErr w:type="spellStart"/>
      <w:r w:rsidRPr="008C7540">
        <w:t>deployability</w:t>
      </w:r>
      <w:proofErr w:type="spellEnd"/>
      <w:r w:rsidRPr="008C7540">
        <w:t>. We have now added a dedicated subsection on deployment efficiency in the Results section, providing a comprehensive profiling of the model on actual hardware. The added text reads as follows:</w:t>
      </w:r>
    </w:p>
    <w:p w14:paraId="59B7FD7E" w14:textId="77777777" w:rsidR="008C7540" w:rsidRPr="008C7540" w:rsidRDefault="008C7540" w:rsidP="008C7540">
      <w:pPr>
        <w:spacing w:after="120"/>
        <w:ind w:left="432"/>
        <w:jc w:val="both"/>
      </w:pPr>
      <w:r w:rsidRPr="008C7540">
        <w:rPr>
          <w:b/>
          <w:bCs/>
        </w:rPr>
        <w:t>Added Section (Deployment Efficiency):</w:t>
      </w:r>
    </w:p>
    <w:p w14:paraId="0284AEA8" w14:textId="77777777" w:rsidR="008C7540" w:rsidRPr="008C7540" w:rsidRDefault="008C7540" w:rsidP="008C7540">
      <w:pPr>
        <w:spacing w:after="120"/>
        <w:ind w:left="432"/>
        <w:jc w:val="both"/>
      </w:pPr>
      <w:r w:rsidRPr="008C7540">
        <w:t xml:space="preserve">To address the practical requirements of resource-constrained clinical environments, the computational and memory footprint of the proposed model was systematically profiled on an Apple MacBook Air equipped with an Apple </w:t>
      </w:r>
      <w:proofErr w:type="spellStart"/>
      <w:r w:rsidRPr="008C7540">
        <w:t>M4</w:t>
      </w:r>
      <w:proofErr w:type="spellEnd"/>
      <w:r w:rsidRPr="008C7540">
        <w:t xml:space="preserve"> processor (ARM-based CPU, 10 cores, 16 GB unified memory) running TensorFlow 2.16.2. The model comprises only 1.72 M trainable parameters with a total weight size of 6.59 MB and a disk footprint of 20.25 MB, confirming its suitability for storage-limited edge devices. The computational cost amounts to 2.40 </w:t>
      </w:r>
      <w:proofErr w:type="spellStart"/>
      <w:r w:rsidRPr="008C7540">
        <w:t>GFLOPs</w:t>
      </w:r>
      <w:proofErr w:type="spellEnd"/>
      <w:r w:rsidRPr="008C7540">
        <w:t xml:space="preserve"> per inference, which is substantially lower than standard deep architectures such as </w:t>
      </w:r>
      <w:proofErr w:type="spellStart"/>
      <w:r w:rsidRPr="008C7540">
        <w:t>VGG</w:t>
      </w:r>
      <w:proofErr w:type="spellEnd"/>
      <w:r w:rsidRPr="008C7540">
        <w:t xml:space="preserve">-16 (15.3 </w:t>
      </w:r>
      <w:proofErr w:type="spellStart"/>
      <w:r w:rsidRPr="008C7540">
        <w:t>GFLOPs</w:t>
      </w:r>
      <w:proofErr w:type="spellEnd"/>
      <w:r w:rsidRPr="008C7540">
        <w:t xml:space="preserve">) and </w:t>
      </w:r>
      <w:proofErr w:type="spellStart"/>
      <w:r w:rsidRPr="008C7540">
        <w:t>ResNet</w:t>
      </w:r>
      <w:proofErr w:type="spellEnd"/>
      <w:r w:rsidRPr="008C7540">
        <w:t xml:space="preserve">-50 (3.8 </w:t>
      </w:r>
      <w:proofErr w:type="spellStart"/>
      <w:r w:rsidRPr="008C7540">
        <w:t>GFLOPs</w:t>
      </w:r>
      <w:proofErr w:type="spellEnd"/>
      <w:r w:rsidRPr="008C7540">
        <w:t xml:space="preserve">). At batch size 1, the model achieves a mean inference latency of 30.98 +/- 2.23 </w:t>
      </w:r>
      <w:proofErr w:type="spellStart"/>
      <w:r w:rsidRPr="008C7540">
        <w:t>ms</w:t>
      </w:r>
      <w:proofErr w:type="spellEnd"/>
      <w:r w:rsidRPr="008C7540">
        <w:t xml:space="preserve"> (95th percentile: 33.84 </w:t>
      </w:r>
      <w:proofErr w:type="spellStart"/>
      <w:r w:rsidRPr="008C7540">
        <w:t>ms</w:t>
      </w:r>
      <w:proofErr w:type="spellEnd"/>
      <w:r w:rsidRPr="008C7540">
        <w:t>), corresponding to 32.3 images per second, thereby satisfying real-time screening requirements. Throughput scales efficiently with batch size, reaching 215.6 images/s at batch 32, demonstrating readiness for both single-slide and batch-processing clinical workflows. Table [</w:t>
      </w:r>
      <w:proofErr w:type="spellStart"/>
      <w:proofErr w:type="gramStart"/>
      <w:r w:rsidRPr="008C7540">
        <w:t>tab:deployment</w:t>
      </w:r>
      <w:proofErr w:type="spellEnd"/>
      <w:proofErr w:type="gramEnd"/>
      <w:r w:rsidRPr="008C7540">
        <w:t xml:space="preserve">] </w:t>
      </w:r>
      <w:proofErr w:type="spellStart"/>
      <w:r w:rsidRPr="008C7540">
        <w:t>summarises</w:t>
      </w:r>
      <w:proofErr w:type="spellEnd"/>
      <w:r w:rsidRPr="008C7540">
        <w:t xml:space="preserve"> the full set of deployment metrics.</w:t>
      </w:r>
    </w:p>
    <w:p w14:paraId="372D1B61" w14:textId="77777777" w:rsidR="008C7540" w:rsidRPr="008C7540" w:rsidRDefault="008C7540" w:rsidP="008C7540">
      <w:pPr>
        <w:spacing w:after="120"/>
        <w:jc w:val="both"/>
      </w:pPr>
    </w:p>
    <w:p w14:paraId="5880227E" w14:textId="11E1DF61" w:rsidR="008C7540" w:rsidRPr="008C7540" w:rsidRDefault="008C7540" w:rsidP="008C7540">
      <w:pPr>
        <w:spacing w:after="120"/>
        <w:ind w:left="432"/>
        <w:jc w:val="both"/>
        <w:rPr>
          <w:b/>
          <w:bCs/>
        </w:rPr>
      </w:pPr>
      <w:r w:rsidRPr="008C7540">
        <w:rPr>
          <w:b/>
          <w:bCs/>
        </w:rPr>
        <w:t xml:space="preserve">Additionally, the following text was added to the Discussion section to </w:t>
      </w:r>
      <w:r w:rsidRPr="008C7540">
        <w:rPr>
          <w:b/>
          <w:bCs/>
        </w:rPr>
        <w:t>contextualize</w:t>
      </w:r>
      <w:r w:rsidRPr="008C7540">
        <w:rPr>
          <w:b/>
          <w:bCs/>
        </w:rPr>
        <w:t xml:space="preserve"> these findings:</w:t>
      </w:r>
    </w:p>
    <w:p w14:paraId="46B82CD7" w14:textId="77777777" w:rsidR="008C7540" w:rsidRPr="008C7540" w:rsidRDefault="008C7540" w:rsidP="008C7540">
      <w:pPr>
        <w:spacing w:after="120"/>
        <w:ind w:left="432"/>
        <w:jc w:val="both"/>
      </w:pPr>
    </w:p>
    <w:p w14:paraId="229D119E" w14:textId="77777777" w:rsidR="008C7540" w:rsidRPr="008C7540" w:rsidRDefault="008C7540" w:rsidP="008C7540">
      <w:pPr>
        <w:spacing w:after="120"/>
        <w:ind w:left="432"/>
        <w:jc w:val="both"/>
      </w:pPr>
      <w:r w:rsidRPr="008C7540">
        <w:t xml:space="preserve">Additionally, deployment profiling demonstrates that the proposed architecture is suitable for resource-constrained environments. Its compact parameter footprint, low computational cost, and sub-40 </w:t>
      </w:r>
      <w:proofErr w:type="spellStart"/>
      <w:r w:rsidRPr="008C7540">
        <w:t>ms</w:t>
      </w:r>
      <w:proofErr w:type="spellEnd"/>
      <w:r w:rsidRPr="008C7540">
        <w:t xml:space="preserve"> inference latency </w:t>
      </w:r>
      <w:proofErr w:type="gramStart"/>
      <w:r w:rsidRPr="008C7540">
        <w:t>enable</w:t>
      </w:r>
      <w:proofErr w:type="gramEnd"/>
      <w:r w:rsidRPr="008C7540">
        <w:t xml:space="preserve"> efficient real-time inference without relying on large backbone networks.</w:t>
      </w:r>
    </w:p>
    <w:p w14:paraId="7EB9A83F" w14:textId="77777777" w:rsidR="008C7540" w:rsidRPr="008C7540" w:rsidRDefault="008C7540" w:rsidP="008C7540">
      <w:pPr>
        <w:spacing w:after="120"/>
        <w:jc w:val="both"/>
      </w:pPr>
      <w:r w:rsidRPr="008C7540">
        <w:t xml:space="preserve"> </w:t>
      </w:r>
    </w:p>
    <w:p w14:paraId="3799D675" w14:textId="77777777" w:rsidR="008C7540" w:rsidRPr="008C7540" w:rsidRDefault="008C7540" w:rsidP="008C7540">
      <w:pPr>
        <w:spacing w:after="120"/>
        <w:jc w:val="both"/>
        <w:rPr>
          <w:sz w:val="24"/>
          <w:szCs w:val="24"/>
        </w:rPr>
      </w:pPr>
      <w:r w:rsidRPr="008C7540">
        <w:rPr>
          <w:b/>
          <w:bCs/>
          <w:color w:val="EE0000"/>
          <w:sz w:val="24"/>
          <w:szCs w:val="24"/>
        </w:rPr>
        <w:t>Concern 4:</w:t>
      </w:r>
      <w:r w:rsidRPr="008C7540">
        <w:rPr>
          <w:color w:val="EE0000"/>
          <w:sz w:val="24"/>
          <w:szCs w:val="24"/>
        </w:rPr>
        <w:t xml:space="preserve"> </w:t>
      </w:r>
      <w:r w:rsidRPr="008C7540">
        <w:rPr>
          <w:sz w:val="24"/>
          <w:szCs w:val="24"/>
        </w:rPr>
        <w:t>Qualitative-Dominated Interpretability Evaluation</w:t>
      </w:r>
    </w:p>
    <w:p w14:paraId="23C50585" w14:textId="77777777" w:rsidR="008C7540" w:rsidRPr="008C7540" w:rsidRDefault="008C7540" w:rsidP="008C7540">
      <w:pPr>
        <w:spacing w:after="120"/>
        <w:jc w:val="both"/>
        <w:rPr>
          <w:sz w:val="24"/>
          <w:szCs w:val="24"/>
          <w:u w:val="single"/>
        </w:rPr>
      </w:pPr>
      <w:r w:rsidRPr="008C7540">
        <w:rPr>
          <w:sz w:val="24"/>
          <w:szCs w:val="24"/>
          <w:u w:val="single"/>
        </w:rPr>
        <w:t>Reviewer Comment:</w:t>
      </w:r>
    </w:p>
    <w:p w14:paraId="58718FF0" w14:textId="77777777" w:rsidR="008C7540" w:rsidRPr="008C7540" w:rsidRDefault="008C7540" w:rsidP="008C7540">
      <w:pPr>
        <w:spacing w:after="120"/>
        <w:ind w:left="288"/>
        <w:jc w:val="both"/>
      </w:pPr>
      <w:r w:rsidRPr="008C7540">
        <w:rPr>
          <w:i/>
          <w:iCs/>
        </w:rPr>
        <w:t>The current interpretability analysis mainly relies on heatmap visualization, with no quantitative credibility assessment.</w:t>
      </w:r>
    </w:p>
    <w:p w14:paraId="17ABD51D" w14:textId="77777777" w:rsidR="008C7540" w:rsidRPr="008C7540" w:rsidRDefault="008C7540" w:rsidP="008C7540">
      <w:pPr>
        <w:spacing w:after="120"/>
        <w:jc w:val="both"/>
      </w:pPr>
    </w:p>
    <w:p w14:paraId="361B74BB" w14:textId="77777777" w:rsidR="008C7540" w:rsidRPr="008C7540" w:rsidRDefault="008C7540" w:rsidP="008C7540">
      <w:pPr>
        <w:spacing w:after="120"/>
        <w:jc w:val="both"/>
        <w:rPr>
          <w:sz w:val="24"/>
          <w:szCs w:val="24"/>
          <w:u w:val="single"/>
        </w:rPr>
      </w:pPr>
      <w:r w:rsidRPr="008C7540">
        <w:rPr>
          <w:sz w:val="24"/>
          <w:szCs w:val="24"/>
          <w:u w:val="single"/>
        </w:rPr>
        <w:t>Author Response:</w:t>
      </w:r>
    </w:p>
    <w:p w14:paraId="5369F5F7" w14:textId="5F262BEA" w:rsidR="008C7540" w:rsidRPr="008C7540" w:rsidRDefault="008C7540" w:rsidP="008C7540">
      <w:pPr>
        <w:spacing w:after="120"/>
        <w:ind w:left="432"/>
        <w:jc w:val="both"/>
      </w:pPr>
      <w:r w:rsidRPr="008C7540">
        <w:t>We thank the reviewer for this important observation. We have extended the interpretability evaluation beyond qualitative heatmaps by introducing quantitative faithfulness metrics</w:t>
      </w:r>
      <w:r>
        <w:t xml:space="preserve">, such as </w:t>
      </w:r>
      <w:r w:rsidRPr="008C7540">
        <w:t>specifically Deletion AUC, Insertion AUC, and the faithfulness gap</w:t>
      </w:r>
      <w:r>
        <w:t xml:space="preserve">, </w:t>
      </w:r>
      <w:r w:rsidRPr="008C7540">
        <w:t xml:space="preserve">evaluated across the full </w:t>
      </w:r>
      <w:proofErr w:type="spellStart"/>
      <w:r w:rsidRPr="008C7540">
        <w:t>BreaKHis</w:t>
      </w:r>
      <w:proofErr w:type="spellEnd"/>
      <w:r w:rsidRPr="008C7540">
        <w:t xml:space="preserve"> test set for both Grad-CAM++ and Score-CAM. The added text reads as follows:</w:t>
      </w:r>
    </w:p>
    <w:p w14:paraId="230DF98C" w14:textId="77777777" w:rsidR="008C7540" w:rsidRPr="008C7540" w:rsidRDefault="008C7540" w:rsidP="008C7540">
      <w:pPr>
        <w:spacing w:after="120"/>
        <w:ind w:left="432"/>
        <w:jc w:val="both"/>
      </w:pPr>
      <w:r w:rsidRPr="008C7540">
        <w:rPr>
          <w:b/>
          <w:bCs/>
        </w:rPr>
        <w:lastRenderedPageBreak/>
        <w:t>Added Text (Interpretability Section):</w:t>
      </w:r>
    </w:p>
    <w:p w14:paraId="6A2B2A27" w14:textId="77777777" w:rsidR="008C7540" w:rsidRPr="008C7540" w:rsidRDefault="008C7540" w:rsidP="008C7540">
      <w:pPr>
        <w:spacing w:after="120"/>
        <w:ind w:left="432"/>
        <w:jc w:val="both"/>
      </w:pPr>
      <w:r w:rsidRPr="008C7540">
        <w:t>To move beyond qualitative observation, the faithfulness of both explainers was quantified using the Deletion AUC, Insertion AUC, and faithfulness gap defined in Equations (perturbation)-(</w:t>
      </w:r>
      <w:proofErr w:type="spellStart"/>
      <w:r w:rsidRPr="008C7540">
        <w:t>pertauc</w:t>
      </w:r>
      <w:proofErr w:type="spellEnd"/>
      <w:r w:rsidRPr="008C7540">
        <w:t xml:space="preserve">), evaluated over the full </w:t>
      </w:r>
      <w:proofErr w:type="spellStart"/>
      <w:r w:rsidRPr="008C7540">
        <w:t>BreaKHis</w:t>
      </w:r>
      <w:proofErr w:type="spellEnd"/>
      <w:r w:rsidRPr="008C7540">
        <w:t xml:space="preserve"> test set. Score-CAM achieved a mean Insertion AUC of 0.812 +/- 0.091 compared with 0.743 +/- 0.103 for Grad-CAM++ (paired t-test: t = -3.84, p = 0.0003, Cohen's d = 0.71), confirming that its highlighted pixels more rapidly restore model confidence when sequentially revealed. Correspondingly, Score-CAM yielded a lower Deletion AUC of 0.318 +/- 0.087 versus 0.401 +/- 0.112 (p = 0.0011, d = 0.68), demonstrating that removing its salient regions causes a faster collapse in predicted confidence — a hallmark of precise spatial </w:t>
      </w:r>
      <w:proofErr w:type="spellStart"/>
      <w:r w:rsidRPr="008C7540">
        <w:t>localisation</w:t>
      </w:r>
      <w:proofErr w:type="spellEnd"/>
      <w:r w:rsidRPr="008C7540">
        <w:t xml:space="preserve">. The faithfulness gap Delta = </w:t>
      </w:r>
      <w:proofErr w:type="spellStart"/>
      <w:r w:rsidRPr="008C7540">
        <w:t>AUC_ins</w:t>
      </w:r>
      <w:proofErr w:type="spellEnd"/>
      <w:r w:rsidRPr="008C7540">
        <w:t xml:space="preserve"> - </w:t>
      </w:r>
      <w:proofErr w:type="spellStart"/>
      <w:r w:rsidRPr="008C7540">
        <w:t>AUC_del</w:t>
      </w:r>
      <w:proofErr w:type="spellEnd"/>
      <w:r w:rsidRPr="008C7540">
        <w:t xml:space="preserve"> was significantly larger for Score-CAM (0.494 vs. 0.342, p = 0.0023, d = 0.73), reflecting tighter concentration of saliency on discriminative structures. Taken together, these results statistically corroborate the qualitative observations above, confirming that both explainers attend to pathology-relevant regions rather than background staining artefacts, thereby supporting the clinical interpretability and reliability of the proposed lightweight architecture.</w:t>
      </w:r>
    </w:p>
    <w:p w14:paraId="14FD0026" w14:textId="77777777" w:rsidR="008C7540" w:rsidRPr="008C7540" w:rsidRDefault="008C7540" w:rsidP="008C7540">
      <w:pPr>
        <w:spacing w:after="120"/>
        <w:ind w:left="432"/>
        <w:jc w:val="both"/>
      </w:pPr>
    </w:p>
    <w:p w14:paraId="48FB6D73" w14:textId="77777777" w:rsidR="008C7540" w:rsidRPr="008C7540" w:rsidRDefault="008C7540" w:rsidP="008C7540">
      <w:pPr>
        <w:spacing w:after="120"/>
        <w:ind w:left="432"/>
        <w:jc w:val="both"/>
        <w:rPr>
          <w:b/>
          <w:bCs/>
        </w:rPr>
      </w:pPr>
      <w:r w:rsidRPr="008C7540">
        <w:rPr>
          <w:b/>
          <w:bCs/>
        </w:rPr>
        <w:t>The Discussion section was also updated to reference these quantitative findings:</w:t>
      </w:r>
    </w:p>
    <w:p w14:paraId="70A29EBB" w14:textId="77777777" w:rsidR="008C7540" w:rsidRPr="008C7540" w:rsidRDefault="008C7540" w:rsidP="008C7540">
      <w:pPr>
        <w:spacing w:after="120"/>
        <w:ind w:left="432"/>
        <w:jc w:val="both"/>
      </w:pPr>
    </w:p>
    <w:p w14:paraId="29B0507D" w14:textId="10783677" w:rsidR="008C7540" w:rsidRPr="008C7540" w:rsidRDefault="008C7540" w:rsidP="008C7540">
      <w:pPr>
        <w:spacing w:after="120"/>
        <w:ind w:left="432"/>
        <w:jc w:val="both"/>
      </w:pPr>
      <w:r w:rsidRPr="008C7540">
        <w:t xml:space="preserve">The interpretability analysis supports the reliability of the learned representations. Both Grad-CAM++ and Score-CAM consistently highlighted diagnostically relevant tissue structures rather than background regions, indicating that the network relies on meaningful morphological cues. Quantitative faithfulness evaluation further suggested that Score-CAM provides slightly more precise </w:t>
      </w:r>
      <w:r w:rsidRPr="008C7540">
        <w:t>localization</w:t>
      </w:r>
      <w:r w:rsidRPr="008C7540">
        <w:t xml:space="preserve"> under the insertion-deletion framework, while both methods produced spatially coherent explanations.</w:t>
      </w:r>
    </w:p>
    <w:p w14:paraId="5F174FA9" w14:textId="77777777" w:rsidR="008C7540" w:rsidRDefault="008C7540" w:rsidP="008C7540">
      <w:pPr>
        <w:spacing w:after="120"/>
        <w:jc w:val="both"/>
      </w:pPr>
    </w:p>
    <w:p w14:paraId="422BB2C2" w14:textId="77777777" w:rsidR="008C7540" w:rsidRDefault="008C7540" w:rsidP="008C7540">
      <w:pPr>
        <w:pBdr>
          <w:bottom w:val="single" w:sz="4" w:space="1" w:color="auto"/>
        </w:pBdr>
        <w:spacing w:after="120"/>
        <w:jc w:val="both"/>
      </w:pPr>
    </w:p>
    <w:p w14:paraId="2EA98DEF" w14:textId="77777777" w:rsidR="008C7540" w:rsidRPr="008C7540" w:rsidRDefault="008C7540" w:rsidP="008C7540">
      <w:pPr>
        <w:spacing w:after="120"/>
        <w:jc w:val="both"/>
        <w:rPr>
          <w:sz w:val="24"/>
          <w:szCs w:val="24"/>
        </w:rPr>
      </w:pPr>
      <w:r w:rsidRPr="008C7540">
        <w:rPr>
          <w:sz w:val="24"/>
          <w:szCs w:val="24"/>
        </w:rPr>
        <w:t>We hope that these revisions adequately address all reviewer concerns. We remain grateful for the reviewers' expertise and constructive engagement, which has substantially improved the quality and rigor of the manuscript.</w:t>
      </w:r>
    </w:p>
    <w:p w14:paraId="7487ACBE" w14:textId="77777777" w:rsidR="008C7540" w:rsidRDefault="008C7540" w:rsidP="008C7540">
      <w:pPr>
        <w:spacing w:after="120"/>
        <w:jc w:val="both"/>
      </w:pPr>
    </w:p>
    <w:sectPr w:rsidR="008C7540" w:rsidSect="00D83EE8">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750"/>
    <w:rsid w:val="00194DF3"/>
    <w:rsid w:val="008C7540"/>
    <w:rsid w:val="00CC3F0F"/>
    <w:rsid w:val="00D20382"/>
    <w:rsid w:val="00D83EE8"/>
    <w:rsid w:val="00F603B5"/>
    <w:rsid w:val="00F82750"/>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14:docId w14:val="4D027C88"/>
  <w15:chartTrackingRefBased/>
  <w15:docId w15:val="{DD42BB72-BB4D-774C-AE82-A7CBFDD51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EE8"/>
    <w:pPr>
      <w:spacing w:after="0" w:line="240" w:lineRule="auto"/>
    </w:pPr>
    <w:rPr>
      <w:rFonts w:ascii="Arial" w:eastAsia="Arial" w:hAnsi="Arial" w:cs="Vrinda"/>
      <w:kern w:val="0"/>
      <w:sz w:val="22"/>
      <w:szCs w:val="22"/>
      <w14:ligatures w14:val="none"/>
    </w:rPr>
  </w:style>
  <w:style w:type="paragraph" w:styleId="Heading1">
    <w:name w:val="heading 1"/>
    <w:basedOn w:val="Normal"/>
    <w:next w:val="Normal"/>
    <w:link w:val="Heading1Char"/>
    <w:uiPriority w:val="9"/>
    <w:qFormat/>
    <w:rsid w:val="00F8275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50"/>
      <w14:ligatures w14:val="standardContextual"/>
    </w:rPr>
  </w:style>
  <w:style w:type="paragraph" w:styleId="Heading2">
    <w:name w:val="heading 2"/>
    <w:basedOn w:val="Normal"/>
    <w:next w:val="Normal"/>
    <w:link w:val="Heading2Char"/>
    <w:uiPriority w:val="9"/>
    <w:semiHidden/>
    <w:unhideWhenUsed/>
    <w:qFormat/>
    <w:rsid w:val="00F8275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40"/>
      <w14:ligatures w14:val="standardContextual"/>
    </w:rPr>
  </w:style>
  <w:style w:type="paragraph" w:styleId="Heading3">
    <w:name w:val="heading 3"/>
    <w:basedOn w:val="Normal"/>
    <w:next w:val="Normal"/>
    <w:link w:val="Heading3Char"/>
    <w:uiPriority w:val="9"/>
    <w:semiHidden/>
    <w:unhideWhenUsed/>
    <w:qFormat/>
    <w:rsid w:val="00F8275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35"/>
      <w14:ligatures w14:val="standardContextual"/>
    </w:rPr>
  </w:style>
  <w:style w:type="paragraph" w:styleId="Heading4">
    <w:name w:val="heading 4"/>
    <w:basedOn w:val="Normal"/>
    <w:next w:val="Normal"/>
    <w:link w:val="Heading4Char"/>
    <w:uiPriority w:val="9"/>
    <w:semiHidden/>
    <w:unhideWhenUsed/>
    <w:qFormat/>
    <w:rsid w:val="00F82750"/>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30"/>
      <w14:ligatures w14:val="standardContextual"/>
    </w:rPr>
  </w:style>
  <w:style w:type="paragraph" w:styleId="Heading5">
    <w:name w:val="heading 5"/>
    <w:basedOn w:val="Normal"/>
    <w:next w:val="Normal"/>
    <w:link w:val="Heading5Char"/>
    <w:uiPriority w:val="9"/>
    <w:semiHidden/>
    <w:unhideWhenUsed/>
    <w:qFormat/>
    <w:rsid w:val="00F82750"/>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30"/>
      <w14:ligatures w14:val="standardContextual"/>
    </w:rPr>
  </w:style>
  <w:style w:type="paragraph" w:styleId="Heading6">
    <w:name w:val="heading 6"/>
    <w:basedOn w:val="Normal"/>
    <w:next w:val="Normal"/>
    <w:link w:val="Heading6Char"/>
    <w:uiPriority w:val="9"/>
    <w:semiHidden/>
    <w:unhideWhenUsed/>
    <w:qFormat/>
    <w:rsid w:val="00F82750"/>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30"/>
      <w14:ligatures w14:val="standardContextual"/>
    </w:rPr>
  </w:style>
  <w:style w:type="paragraph" w:styleId="Heading7">
    <w:name w:val="heading 7"/>
    <w:basedOn w:val="Normal"/>
    <w:next w:val="Normal"/>
    <w:link w:val="Heading7Char"/>
    <w:uiPriority w:val="9"/>
    <w:semiHidden/>
    <w:unhideWhenUsed/>
    <w:qFormat/>
    <w:rsid w:val="00F82750"/>
    <w:pPr>
      <w:keepNext/>
      <w:keepLines/>
      <w:spacing w:before="40" w:line="278" w:lineRule="auto"/>
      <w:outlineLvl w:val="6"/>
    </w:pPr>
    <w:rPr>
      <w:rFonts w:asciiTheme="minorHAnsi" w:eastAsiaTheme="majorEastAsia" w:hAnsiTheme="minorHAnsi" w:cstheme="majorBidi"/>
      <w:color w:val="595959" w:themeColor="text1" w:themeTint="A6"/>
      <w:kern w:val="2"/>
      <w:sz w:val="24"/>
      <w:szCs w:val="30"/>
      <w14:ligatures w14:val="standardContextual"/>
    </w:rPr>
  </w:style>
  <w:style w:type="paragraph" w:styleId="Heading8">
    <w:name w:val="heading 8"/>
    <w:basedOn w:val="Normal"/>
    <w:next w:val="Normal"/>
    <w:link w:val="Heading8Char"/>
    <w:uiPriority w:val="9"/>
    <w:semiHidden/>
    <w:unhideWhenUsed/>
    <w:qFormat/>
    <w:rsid w:val="00F82750"/>
    <w:pPr>
      <w:keepNext/>
      <w:keepLines/>
      <w:spacing w:line="278" w:lineRule="auto"/>
      <w:outlineLvl w:val="7"/>
    </w:pPr>
    <w:rPr>
      <w:rFonts w:asciiTheme="minorHAnsi" w:eastAsiaTheme="majorEastAsia" w:hAnsiTheme="minorHAnsi" w:cstheme="majorBidi"/>
      <w:i/>
      <w:iCs/>
      <w:color w:val="272727" w:themeColor="text1" w:themeTint="D8"/>
      <w:kern w:val="2"/>
      <w:sz w:val="24"/>
      <w:szCs w:val="30"/>
      <w14:ligatures w14:val="standardContextual"/>
    </w:rPr>
  </w:style>
  <w:style w:type="paragraph" w:styleId="Heading9">
    <w:name w:val="heading 9"/>
    <w:basedOn w:val="Normal"/>
    <w:next w:val="Normal"/>
    <w:link w:val="Heading9Char"/>
    <w:uiPriority w:val="9"/>
    <w:semiHidden/>
    <w:unhideWhenUsed/>
    <w:qFormat/>
    <w:rsid w:val="00F82750"/>
    <w:pPr>
      <w:keepNext/>
      <w:keepLines/>
      <w:spacing w:line="278" w:lineRule="auto"/>
      <w:outlineLvl w:val="8"/>
    </w:pPr>
    <w:rPr>
      <w:rFonts w:asciiTheme="minorHAnsi" w:eastAsiaTheme="majorEastAsia" w:hAnsiTheme="minorHAnsi" w:cstheme="majorBidi"/>
      <w:color w:val="272727" w:themeColor="text1" w:themeTint="D8"/>
      <w:kern w:val="2"/>
      <w:sz w:val="24"/>
      <w:szCs w:val="30"/>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75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8275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8275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827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27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27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7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7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750"/>
    <w:rPr>
      <w:rFonts w:eastAsiaTheme="majorEastAsia" w:cstheme="majorBidi"/>
      <w:color w:val="272727" w:themeColor="text1" w:themeTint="D8"/>
    </w:rPr>
  </w:style>
  <w:style w:type="paragraph" w:styleId="Title">
    <w:name w:val="Title"/>
    <w:basedOn w:val="Normal"/>
    <w:next w:val="Normal"/>
    <w:link w:val="TitleChar"/>
    <w:uiPriority w:val="10"/>
    <w:qFormat/>
    <w:rsid w:val="00F82750"/>
    <w:pPr>
      <w:spacing w:after="80"/>
      <w:contextualSpacing/>
    </w:pPr>
    <w:rPr>
      <w:rFonts w:asciiTheme="majorHAnsi" w:eastAsiaTheme="majorEastAsia" w:hAnsiTheme="majorHAnsi" w:cstheme="majorBidi"/>
      <w:spacing w:val="-10"/>
      <w:kern w:val="28"/>
      <w:sz w:val="56"/>
      <w:szCs w:val="71"/>
      <w14:ligatures w14:val="standardContextual"/>
    </w:rPr>
  </w:style>
  <w:style w:type="character" w:customStyle="1" w:styleId="TitleChar">
    <w:name w:val="Title Char"/>
    <w:basedOn w:val="DefaultParagraphFont"/>
    <w:link w:val="Title"/>
    <w:uiPriority w:val="10"/>
    <w:rsid w:val="00F8275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8275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35"/>
      <w14:ligatures w14:val="standardContextual"/>
    </w:rPr>
  </w:style>
  <w:style w:type="character" w:customStyle="1" w:styleId="SubtitleChar">
    <w:name w:val="Subtitle Char"/>
    <w:basedOn w:val="DefaultParagraphFont"/>
    <w:link w:val="Subtitle"/>
    <w:uiPriority w:val="11"/>
    <w:rsid w:val="00F8275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82750"/>
    <w:pPr>
      <w:spacing w:before="160" w:after="160" w:line="278" w:lineRule="auto"/>
      <w:jc w:val="center"/>
    </w:pPr>
    <w:rPr>
      <w:rFonts w:asciiTheme="minorHAnsi" w:eastAsiaTheme="minorHAnsi" w:hAnsiTheme="minorHAnsi"/>
      <w:i/>
      <w:iCs/>
      <w:color w:val="404040" w:themeColor="text1" w:themeTint="BF"/>
      <w:kern w:val="2"/>
      <w:sz w:val="24"/>
      <w:szCs w:val="30"/>
      <w14:ligatures w14:val="standardContextual"/>
    </w:rPr>
  </w:style>
  <w:style w:type="character" w:customStyle="1" w:styleId="QuoteChar">
    <w:name w:val="Quote Char"/>
    <w:basedOn w:val="DefaultParagraphFont"/>
    <w:link w:val="Quote"/>
    <w:uiPriority w:val="29"/>
    <w:rsid w:val="00F82750"/>
    <w:rPr>
      <w:rFonts w:cs="Vrinda"/>
      <w:i/>
      <w:iCs/>
      <w:color w:val="404040" w:themeColor="text1" w:themeTint="BF"/>
    </w:rPr>
  </w:style>
  <w:style w:type="paragraph" w:styleId="ListParagraph">
    <w:name w:val="List Paragraph"/>
    <w:basedOn w:val="Normal"/>
    <w:uiPriority w:val="34"/>
    <w:qFormat/>
    <w:rsid w:val="00F82750"/>
    <w:pPr>
      <w:spacing w:after="160" w:line="278" w:lineRule="auto"/>
      <w:ind w:left="720"/>
      <w:contextualSpacing/>
    </w:pPr>
    <w:rPr>
      <w:rFonts w:asciiTheme="minorHAnsi" w:eastAsiaTheme="minorHAnsi" w:hAnsiTheme="minorHAnsi"/>
      <w:kern w:val="2"/>
      <w:sz w:val="24"/>
      <w:szCs w:val="30"/>
      <w14:ligatures w14:val="standardContextual"/>
    </w:rPr>
  </w:style>
  <w:style w:type="character" w:styleId="IntenseEmphasis">
    <w:name w:val="Intense Emphasis"/>
    <w:basedOn w:val="DefaultParagraphFont"/>
    <w:uiPriority w:val="21"/>
    <w:qFormat/>
    <w:rsid w:val="00F82750"/>
    <w:rPr>
      <w:i/>
      <w:iCs/>
      <w:color w:val="0F4761" w:themeColor="accent1" w:themeShade="BF"/>
    </w:rPr>
  </w:style>
  <w:style w:type="paragraph" w:styleId="IntenseQuote">
    <w:name w:val="Intense Quote"/>
    <w:basedOn w:val="Normal"/>
    <w:next w:val="Normal"/>
    <w:link w:val="IntenseQuoteChar"/>
    <w:uiPriority w:val="30"/>
    <w:qFormat/>
    <w:rsid w:val="00F8275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30"/>
      <w14:ligatures w14:val="standardContextual"/>
    </w:rPr>
  </w:style>
  <w:style w:type="character" w:customStyle="1" w:styleId="IntenseQuoteChar">
    <w:name w:val="Intense Quote Char"/>
    <w:basedOn w:val="DefaultParagraphFont"/>
    <w:link w:val="IntenseQuote"/>
    <w:uiPriority w:val="30"/>
    <w:rsid w:val="00F82750"/>
    <w:rPr>
      <w:rFonts w:cs="Vrinda"/>
      <w:i/>
      <w:iCs/>
      <w:color w:val="0F4761" w:themeColor="accent1" w:themeShade="BF"/>
    </w:rPr>
  </w:style>
  <w:style w:type="character" w:styleId="IntenseReference">
    <w:name w:val="Intense Reference"/>
    <w:basedOn w:val="DefaultParagraphFont"/>
    <w:uiPriority w:val="32"/>
    <w:qFormat/>
    <w:rsid w:val="00F82750"/>
    <w:rPr>
      <w:b/>
      <w:bCs/>
      <w:smallCaps/>
      <w:color w:val="0F4761" w:themeColor="accent1" w:themeShade="BF"/>
      <w:spacing w:val="5"/>
    </w:rPr>
  </w:style>
  <w:style w:type="paragraph" w:styleId="NormalWeb">
    <w:name w:val="Normal (Web)"/>
    <w:basedOn w:val="Normal"/>
    <w:uiPriority w:val="99"/>
    <w:semiHidden/>
    <w:unhideWhenUsed/>
    <w:rsid w:val="00D83EE8"/>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D83EE8"/>
    <w:rPr>
      <w:b/>
      <w:bCs/>
    </w:rPr>
  </w:style>
  <w:style w:type="table" w:styleId="TableGridLight">
    <w:name w:val="Grid Table Light"/>
    <w:basedOn w:val="TableNormal"/>
    <w:uiPriority w:val="40"/>
    <w:rsid w:val="00D83EE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D83EE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
    <w:name w:val="Grid Table 2"/>
    <w:basedOn w:val="TableNormal"/>
    <w:uiPriority w:val="47"/>
    <w:rsid w:val="00D83EE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1969</Words>
  <Characters>11224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FAYSAL AHMMED</dc:creator>
  <cp:keywords/>
  <dc:description/>
  <cp:lastModifiedBy>FAYSAL AHMMED</cp:lastModifiedBy>
  <cp:revision>2</cp:revision>
  <dcterms:created xsi:type="dcterms:W3CDTF">2026-03-09T08:32:00Z</dcterms:created>
  <dcterms:modified xsi:type="dcterms:W3CDTF">2026-03-09T08:57:00Z</dcterms:modified>
</cp:coreProperties>
</file>