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5359" w14:textId="77777777" w:rsidR="003C0DE5" w:rsidRPr="003C0DE5" w:rsidRDefault="003C0DE5" w:rsidP="003C0DE5">
      <w:pPr>
        <w:spacing w:before="100" w:beforeAutospacing="1" w:after="100" w:afterAutospacing="1" w:line="240" w:lineRule="auto"/>
        <w:jc w:val="both"/>
        <w:outlineLvl w:val="1"/>
        <w:rPr>
          <w:rFonts w:ascii="Times New Roman" w:eastAsia="Times New Roman" w:hAnsi="Times New Roman" w:cs="Times New Roman"/>
          <w:b/>
          <w:bCs/>
          <w:sz w:val="48"/>
          <w:szCs w:val="48"/>
        </w:rPr>
      </w:pPr>
      <w:r w:rsidRPr="003C0DE5">
        <w:rPr>
          <w:rFonts w:ascii="Times New Roman" w:eastAsia="Times New Roman" w:hAnsi="Times New Roman" w:cs="Times New Roman"/>
          <w:b/>
          <w:bCs/>
          <w:sz w:val="48"/>
          <w:szCs w:val="48"/>
        </w:rPr>
        <w:t xml:space="preserve">5. Evaluation </w:t>
      </w:r>
    </w:p>
    <w:p w14:paraId="42097D3C"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5.1 What Went Well (75 words)</w:t>
      </w:r>
    </w:p>
    <w:p w14:paraId="0116430A"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Our group successfully collaborated on data analysis methodology, with clear division of responsibilities enabling efficient progress. Regular online meetings facilitated coordination and problem-solving. The integration of R programming for statistical analysis and visualization proved effective, producing publication-quality outputs. Team members demonstrated strong statistical knowledge, ensuring appropriate test selection and interpretation. GitHub version control enabled seamless collaboration and code sharing. The systematic approach to hypothesis formulation and testing provided clear research direction, while peer review processes improved output quality significantly.</w:t>
      </w:r>
    </w:p>
    <w:p w14:paraId="4E167ABF"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5.2 Points for Improvement (75 words)</w:t>
      </w:r>
    </w:p>
    <w:p w14:paraId="4F6FE05B"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Initial project planning could have been more detailed, with earlier establishment of clear deadlines for individual components. Communication frequency was occasionally insufficient during critical phases, causing minor coordination delays. Greater emphasis on preliminary data exploration would have identified data quality issues earlier. Documentation of analytical decisions could have been more comprehensive for transparency and reproducibility. Time allocation for visualization refinement was underestimated initially. Future projects would benefit from establishing backup communication channels and implementing more structured progress tracking mechanisms throughout the project lifecycle.</w:t>
      </w:r>
    </w:p>
    <w:p w14:paraId="11FEE8BD"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5.3 Group's Time Management (50 words)</w:t>
      </w:r>
    </w:p>
    <w:p w14:paraId="7B3360CA"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Time management was generally effective, with major milestones achieved on schedule. However, the final integration phase required more time than anticipated, creating pressure during submission preparation. Earlier completion of individual components would have allowed more comprehensive review and refinement. Establishing intermediate deadlines for draft submissions would improve future time management significantly.</w:t>
      </w:r>
    </w:p>
    <w:p w14:paraId="7D15262E"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5.4 Project's Overall Judgement (50 words)</w:t>
      </w:r>
    </w:p>
    <w:p w14:paraId="2F66BC35"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Overall, the project successfully achieved its research objectives through rigorous statistical methodology and effective data visualization. The analysis provides meaningful insights into tennis performance indicators distinguishing winners from losers. Team collaboration was productive despite minor coordination challenges. The final deliverable demonstrates solid understanding of statistical principles and practical application to real-world sports analytics.</w:t>
      </w:r>
    </w:p>
    <w:p w14:paraId="134EFCB9"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5.5 Changes to Group Since Original Allocation (75 words)</w:t>
      </w:r>
    </w:p>
    <w:p w14:paraId="5841F2EA"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[Only complete this section if applicable to your situation. If no changes occurred, write:]</w:t>
      </w:r>
    </w:p>
    <w:p w14:paraId="7510CD34"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lastRenderedPageBreak/>
        <w:t>No changes to group membership occurred since original allocation. All original team members remained actively engaged throughout the project duration, maintaining consistent contribution levels. The stable group composition facilitated continuity in decision-making and ensured comprehensive understanding of all analytical components across team members.</w:t>
      </w:r>
    </w:p>
    <w:p w14:paraId="209D27B3"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[If there were changes, adapt this template:]</w:t>
      </w:r>
    </w:p>
    <w:p w14:paraId="4808AF68"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[Member name] joined the group in [month], replacing [original member name] due to [reason]. The new GitHub ID is [username]. This transition required brief onboarding regarding data structure and analytical approach. Despite initial adjustment period, integration was smooth with the new member contributing significantly to [specific sections].</w:t>
      </w:r>
    </w:p>
    <w:p w14:paraId="103DF729" w14:textId="77777777" w:rsidR="003C0DE5" w:rsidRPr="00AD155A" w:rsidRDefault="003C0DE5" w:rsidP="003C0DE5">
      <w:pPr>
        <w:spacing w:before="100" w:beforeAutospacing="1" w:after="100" w:afterAutospacing="1" w:line="240" w:lineRule="auto"/>
        <w:outlineLvl w:val="2"/>
        <w:rPr>
          <w:rFonts w:ascii="Times New Roman" w:eastAsia="Times New Roman" w:hAnsi="Times New Roman" w:cs="Times New Roman"/>
          <w:b/>
          <w:bCs/>
          <w:sz w:val="27"/>
          <w:szCs w:val="27"/>
        </w:rPr>
      </w:pPr>
      <w:r w:rsidRPr="00AD155A">
        <w:rPr>
          <w:rFonts w:ascii="Times New Roman" w:eastAsia="Times New Roman" w:hAnsi="Times New Roman" w:cs="Times New Roman"/>
          <w:b/>
          <w:bCs/>
          <w:sz w:val="27"/>
          <w:szCs w:val="27"/>
        </w:rPr>
        <w:t>5.6 Comment on the GitHub Log Output (50 words)</w:t>
      </w:r>
    </w:p>
    <w:p w14:paraId="343F9339"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sz w:val="24"/>
          <w:szCs w:val="24"/>
        </w:rPr>
        <w:t>The GitHub commit history (Appendix B) demonstrates consistent collaborative development throughout the project. Three significant commits include: data preprocessing implementation establishing analytical foundation, statistical testing function development enabling comprehensive hypothesis evaluation, and visualization code refinement producing publication-ready figures. The log reflects iterative improvement and collaborative problem-solving, with meaningful commit messages documenting progress systematically.</w:t>
      </w:r>
    </w:p>
    <w:p w14:paraId="05FFB572" w14:textId="77777777" w:rsidR="003C0DE5" w:rsidRPr="00AD155A"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Three Most Significant Commits:</w:t>
      </w:r>
    </w:p>
    <w:p w14:paraId="3DE091AF" w14:textId="77777777" w:rsidR="003C0DE5" w:rsidRPr="00AD155A" w:rsidRDefault="003C0DE5" w:rsidP="003C0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"Initial data preprocessing and winner/loser classification implementation" </w:t>
      </w:r>
    </w:p>
    <w:p w14:paraId="6B41B40C" w14:textId="77777777" w:rsidR="003C0DE5" w:rsidRPr="00AD155A" w:rsidRDefault="003C0DE5" w:rsidP="003C0D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Established the foundational data structure for all subsequent analyses by correctly identifying match winners and reorganizing statistics accordingly, enabling meaningful comparisons between winning and losing performances.</w:t>
      </w:r>
    </w:p>
    <w:p w14:paraId="52A52985" w14:textId="77777777" w:rsidR="003C0DE5" w:rsidRPr="00AD155A" w:rsidRDefault="003C0DE5" w:rsidP="003C0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"Implemented comprehensive statistical testing framework with effect size calculations" </w:t>
      </w:r>
    </w:p>
    <w:p w14:paraId="2536A238" w14:textId="77777777" w:rsidR="003C0DE5" w:rsidRPr="00AD155A" w:rsidRDefault="003C0DE5" w:rsidP="003C0DE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Created the core analytical engine performing t-tests and Cohen's d calculations across all hypotheses, providing rigorous statistical evidence for research conclusions and ensuring methodological robustness.</w:t>
      </w:r>
    </w:p>
    <w:p w14:paraId="3BF9FC16" w14:textId="77777777" w:rsidR="003C0DE5" w:rsidRPr="00AD155A" w:rsidRDefault="003C0DE5" w:rsidP="003C0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Commit Message:</w:t>
      </w:r>
      <w:r w:rsidRPr="00AD155A">
        <w:rPr>
          <w:rFonts w:ascii="Times New Roman" w:eastAsia="Times New Roman" w:hAnsi="Times New Roman" w:cs="Times New Roman"/>
          <w:sz w:val="24"/>
          <w:szCs w:val="24"/>
        </w:rPr>
        <w:t xml:space="preserve"> "Finalized visualization suite with publication-quality formatting and captions" </w:t>
      </w:r>
    </w:p>
    <w:p w14:paraId="0048A53F" w14:textId="77777777" w:rsidR="003C0DE5" w:rsidRPr="003C0DE5" w:rsidRDefault="003C0DE5" w:rsidP="003C0DE5">
      <w:pPr>
        <w:spacing w:after="0" w:line="240" w:lineRule="auto"/>
        <w:rPr>
          <w:rFonts w:ascii="Times New Roman" w:eastAsia="Times New Roman" w:hAnsi="Times New Roman" w:cs="Times New Roman"/>
          <w:sz w:val="24"/>
          <w:szCs w:val="24"/>
        </w:rPr>
      </w:pPr>
      <w:r w:rsidRPr="00AD155A">
        <w:rPr>
          <w:rFonts w:ascii="Times New Roman" w:eastAsia="Times New Roman" w:hAnsi="Times New Roman" w:cs="Times New Roman"/>
          <w:b/>
          <w:bCs/>
          <w:sz w:val="24"/>
          <w:szCs w:val="24"/>
        </w:rPr>
        <w:t>Impact:</w:t>
      </w:r>
      <w:r w:rsidRPr="00AD155A">
        <w:rPr>
          <w:rFonts w:ascii="Times New Roman" w:eastAsia="Times New Roman" w:hAnsi="Times New Roman" w:cs="Times New Roman"/>
          <w:sz w:val="24"/>
          <w:szCs w:val="24"/>
        </w:rPr>
        <w:t xml:space="preserve"> Delivered professional, interpretable visual outputs that effectively communicate research findings to both technical and non-technical audiences, significantly enhancing the overall quality and presentation of results</w:t>
      </w:r>
    </w:p>
    <w:p w14:paraId="7DF81FC6"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32E7F07C" w14:textId="77777777" w:rsidR="003C0DE5" w:rsidRPr="004D0761" w:rsidRDefault="00000000" w:rsidP="003C0D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DC6DCB">
          <v:rect id="_x0000_i1025" style="width:0;height:1.5pt" o:hralign="center" o:hrstd="t" o:hr="t" fillcolor="#a0a0a0" stroked="f"/>
        </w:pict>
      </w:r>
    </w:p>
    <w:p w14:paraId="07018929" w14:textId="77777777" w:rsidR="003C0DE5" w:rsidRPr="004D0761" w:rsidRDefault="003C0DE5" w:rsidP="003C0D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0761">
        <w:rPr>
          <w:rFonts w:ascii="Times New Roman" w:eastAsia="Times New Roman" w:hAnsi="Times New Roman" w:cs="Times New Roman"/>
          <w:b/>
          <w:bCs/>
          <w:kern w:val="36"/>
          <w:sz w:val="48"/>
          <w:szCs w:val="48"/>
        </w:rPr>
        <w:t>6. Conclusions</w:t>
      </w:r>
    </w:p>
    <w:p w14:paraId="60F7A1A4" w14:textId="77777777" w:rsidR="003C0DE5" w:rsidRPr="004D0761" w:rsidRDefault="003C0DE5" w:rsidP="003C0DE5">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lastRenderedPageBreak/>
        <w:t>6.1 Results explained (≈75 words)</w:t>
      </w:r>
    </w:p>
    <w:p w14:paraId="1700EFD1"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Winners at Wimbledon 2013 consistently achieved higher FSW and SSW than losers. Both first-serve and second-serve effectiveness were statistically significant, with second-serve performance showing the strongest difference. The tests demonstrate that serve quality is closely tied to match success on grass.</w:t>
      </w:r>
    </w:p>
    <w:p w14:paraId="19FCD33C" w14:textId="77777777" w:rsidR="003C0DE5" w:rsidRPr="004D0761" w:rsidRDefault="00000000" w:rsidP="003C0D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6CCC39">
          <v:rect id="_x0000_i1026" style="width:0;height:1.5pt" o:hralign="center" o:hrstd="t" o:hr="t" fillcolor="#a0a0a0" stroked="f"/>
        </w:pict>
      </w:r>
    </w:p>
    <w:p w14:paraId="13406204" w14:textId="77777777" w:rsidR="003C0DE5" w:rsidRPr="004D0761" w:rsidRDefault="003C0DE5" w:rsidP="003C0DE5">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6.2 Interpretation (≈75 words)</w:t>
      </w:r>
    </w:p>
    <w:p w14:paraId="27FCF64A"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These results confirm the central strategic importance of serving in professional tennis, particularly at Wimbledon. Players who win a higher percentage of points on both serves—especially the second serve—are significantly more likely to win matches. Coaches and analysts may use these findings to </w:t>
      </w:r>
      <w:proofErr w:type="spellStart"/>
      <w:r w:rsidRPr="004D0761">
        <w:rPr>
          <w:rFonts w:ascii="Times New Roman" w:eastAsia="Times New Roman" w:hAnsi="Times New Roman" w:cs="Times New Roman"/>
          <w:sz w:val="24"/>
          <w:szCs w:val="24"/>
        </w:rPr>
        <w:t>emphasise</w:t>
      </w:r>
      <w:proofErr w:type="spellEnd"/>
      <w:r w:rsidRPr="004D0761">
        <w:rPr>
          <w:rFonts w:ascii="Times New Roman" w:eastAsia="Times New Roman" w:hAnsi="Times New Roman" w:cs="Times New Roman"/>
          <w:sz w:val="24"/>
          <w:szCs w:val="24"/>
        </w:rPr>
        <w:t xml:space="preserve"> serve consistency and tactical serve placement.</w:t>
      </w:r>
    </w:p>
    <w:p w14:paraId="2E814F9F" w14:textId="77777777" w:rsidR="003C0DE5" w:rsidRPr="004D0761" w:rsidRDefault="00000000" w:rsidP="003C0DE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E3B1D9">
          <v:rect id="_x0000_i1027" style="width:0;height:1.5pt" o:hralign="center" o:hrstd="t" o:hr="t" fillcolor="#a0a0a0" stroked="f"/>
        </w:pict>
      </w:r>
    </w:p>
    <w:p w14:paraId="31D85F54" w14:textId="77777777" w:rsidR="003C0DE5" w:rsidRPr="004D0761" w:rsidRDefault="003C0DE5" w:rsidP="003C0DE5">
      <w:pPr>
        <w:spacing w:before="100" w:beforeAutospacing="1" w:after="100" w:afterAutospacing="1" w:line="240" w:lineRule="auto"/>
        <w:outlineLvl w:val="1"/>
        <w:rPr>
          <w:rFonts w:ascii="Times New Roman" w:eastAsia="Times New Roman" w:hAnsi="Times New Roman" w:cs="Times New Roman"/>
          <w:b/>
          <w:bCs/>
          <w:sz w:val="36"/>
          <w:szCs w:val="36"/>
        </w:rPr>
      </w:pPr>
      <w:r w:rsidRPr="004D0761">
        <w:rPr>
          <w:rFonts w:ascii="Times New Roman" w:eastAsia="Times New Roman" w:hAnsi="Times New Roman" w:cs="Times New Roman"/>
          <w:b/>
          <w:bCs/>
          <w:sz w:val="36"/>
          <w:szCs w:val="36"/>
        </w:rPr>
        <w:t>6.3 Future work &amp; limitations (≈50 words)</w:t>
      </w:r>
    </w:p>
    <w:p w14:paraId="54CDE7D1" w14:textId="77777777" w:rsidR="003C0DE5"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Future research should include additional variables such as return points won, break points converted, or rally length. Limitations include one tournament and no player-level modelling. Multi-year Wimbledon data could improve </w:t>
      </w:r>
      <w:proofErr w:type="spellStart"/>
      <w:r w:rsidRPr="004D0761">
        <w:rPr>
          <w:rFonts w:ascii="Times New Roman" w:eastAsia="Times New Roman" w:hAnsi="Times New Roman" w:cs="Times New Roman"/>
          <w:sz w:val="24"/>
          <w:szCs w:val="24"/>
        </w:rPr>
        <w:t>generalisability</w:t>
      </w:r>
      <w:proofErr w:type="spellEnd"/>
      <w:r w:rsidRPr="004D0761">
        <w:rPr>
          <w:rFonts w:ascii="Times New Roman" w:eastAsia="Times New Roman" w:hAnsi="Times New Roman" w:cs="Times New Roman"/>
          <w:sz w:val="24"/>
          <w:szCs w:val="24"/>
        </w:rPr>
        <w:t>.</w:t>
      </w:r>
    </w:p>
    <w:p w14:paraId="7A430FA5" w14:textId="77777777" w:rsidR="003C0DE5"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79BC1B28"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t>
      </w:r>
      <w:proofErr w:type="spellEnd"/>
      <w:r w:rsidRPr="004D0761">
        <w:rPr>
          <w:rFonts w:ascii="Times New Roman" w:eastAsia="Times New Roman" w:hAnsi="Times New Roman" w:cs="Times New Roman"/>
          <w:sz w:val="24"/>
          <w:szCs w:val="24"/>
        </w:rPr>
        <w:t xml:space="preserve"> &lt;- read.csv("Wimbledon-men-2013.csv")</w:t>
      </w:r>
    </w:p>
    <w:p w14:paraId="406AD53A"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5D82EA1C"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Create winner/loser variables for FSW and SSW</w:t>
      </w:r>
    </w:p>
    <w:p w14:paraId="025C1E6D"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wim$FSW.1, wim$FSW.2)</w:t>
      </w:r>
    </w:p>
    <w:p w14:paraId="2307DE71"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wim$FSW.2, wim$FSW.1)</w:t>
      </w:r>
    </w:p>
    <w:p w14:paraId="7FED5A49"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4FAD8D11"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wim$SSW.1, wim$SSW.2)</w:t>
      </w:r>
    </w:p>
    <w:p w14:paraId="5009AA67"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 xml:space="preserve">  &lt;- </w:t>
      </w:r>
      <w:proofErr w:type="spellStart"/>
      <w:r w:rsidRPr="004D0761">
        <w:rPr>
          <w:rFonts w:ascii="Times New Roman" w:eastAsia="Times New Roman" w:hAnsi="Times New Roman" w:cs="Times New Roman"/>
          <w:sz w:val="24"/>
          <w:szCs w:val="24"/>
        </w:rPr>
        <w:t>ifelse</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wim$Result</w:t>
      </w:r>
      <w:proofErr w:type="spellEnd"/>
      <w:r w:rsidRPr="004D0761">
        <w:rPr>
          <w:rFonts w:ascii="Times New Roman" w:eastAsia="Times New Roman" w:hAnsi="Times New Roman" w:cs="Times New Roman"/>
          <w:sz w:val="24"/>
          <w:szCs w:val="24"/>
        </w:rPr>
        <w:t xml:space="preserve"> == 1, wim$SSW.2, wim$SSW.1)</w:t>
      </w:r>
    </w:p>
    <w:p w14:paraId="1DDB1A78"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79933A64"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Paired t-tests</w:t>
      </w:r>
    </w:p>
    <w:p w14:paraId="20341580"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lastRenderedPageBreak/>
        <w:t>t.test</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 paired = TRUE)</w:t>
      </w:r>
    </w:p>
    <w:p w14:paraId="09299D0E"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roofErr w:type="spellStart"/>
      <w:r w:rsidRPr="004D0761">
        <w:rPr>
          <w:rFonts w:ascii="Times New Roman" w:eastAsia="Times New Roman" w:hAnsi="Times New Roman" w:cs="Times New Roman"/>
          <w:sz w:val="24"/>
          <w:szCs w:val="24"/>
        </w:rPr>
        <w:t>t.test</w:t>
      </w:r>
      <w:proofErr w:type="spellEnd"/>
      <w:r w:rsidRPr="004D0761">
        <w:rPr>
          <w:rFonts w:ascii="Times New Roman" w:eastAsia="Times New Roman" w:hAnsi="Times New Roman" w:cs="Times New Roman"/>
          <w:sz w:val="24"/>
          <w:szCs w:val="24"/>
        </w:rPr>
        <w:t>(</w:t>
      </w:r>
      <w:proofErr w:type="spellStart"/>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 paired = TRUE)</w:t>
      </w:r>
    </w:p>
    <w:p w14:paraId="1C7AD57D"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2F5CE71D"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Logistic regression</w:t>
      </w:r>
    </w:p>
    <w:p w14:paraId="1A1B210C"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model &lt;- </w:t>
      </w:r>
      <w:proofErr w:type="spellStart"/>
      <w:r w:rsidRPr="004D0761">
        <w:rPr>
          <w:rFonts w:ascii="Times New Roman" w:eastAsia="Times New Roman" w:hAnsi="Times New Roman" w:cs="Times New Roman"/>
          <w:sz w:val="24"/>
          <w:szCs w:val="24"/>
        </w:rPr>
        <w:t>glm</w:t>
      </w:r>
      <w:proofErr w:type="spellEnd"/>
      <w:r w:rsidRPr="004D0761">
        <w:rPr>
          <w:rFonts w:ascii="Times New Roman" w:eastAsia="Times New Roman" w:hAnsi="Times New Roman" w:cs="Times New Roman"/>
          <w:sz w:val="24"/>
          <w:szCs w:val="24"/>
        </w:rPr>
        <w:t xml:space="preserve">(Result ~ FSW.1 + SSW.1, data = </w:t>
      </w:r>
      <w:proofErr w:type="spellStart"/>
      <w:r w:rsidRPr="004D0761">
        <w:rPr>
          <w:rFonts w:ascii="Times New Roman" w:eastAsia="Times New Roman" w:hAnsi="Times New Roman" w:cs="Times New Roman"/>
          <w:sz w:val="24"/>
          <w:szCs w:val="24"/>
        </w:rPr>
        <w:t>wim</w:t>
      </w:r>
      <w:proofErr w:type="spellEnd"/>
      <w:r w:rsidRPr="004D0761">
        <w:rPr>
          <w:rFonts w:ascii="Times New Roman" w:eastAsia="Times New Roman" w:hAnsi="Times New Roman" w:cs="Times New Roman"/>
          <w:sz w:val="24"/>
          <w:szCs w:val="24"/>
        </w:rPr>
        <w:t>, family = binomial)</w:t>
      </w:r>
    </w:p>
    <w:p w14:paraId="1DCF9736"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summary(model)</w:t>
      </w:r>
    </w:p>
    <w:p w14:paraId="3FE8C1E4"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5F632869"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Visualisations</w:t>
      </w:r>
      <w:proofErr w:type="spellEnd"/>
    </w:p>
    <w:p w14:paraId="7A122326"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boxplot(</w:t>
      </w:r>
      <w:proofErr w:type="spellStart"/>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14:paraId="24DB754C"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names = c("Winner FSW", "Loser FSW"),</w:t>
      </w:r>
    </w:p>
    <w:p w14:paraId="122FAE44"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"First-Serve Points Won: Winner vs Loser")</w:t>
      </w:r>
    </w:p>
    <w:p w14:paraId="4A3D2F62"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284FA3C9"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boxplot(</w:t>
      </w:r>
      <w:proofErr w:type="spellStart"/>
      <w:r w:rsidRPr="004D0761">
        <w:rPr>
          <w:rFonts w:ascii="Times New Roman" w:eastAsia="Times New Roman" w:hAnsi="Times New Roman" w:cs="Times New Roman"/>
          <w:sz w:val="24"/>
          <w:szCs w:val="24"/>
        </w:rPr>
        <w:t>wim$WinnerSSW</w:t>
      </w:r>
      <w:proofErr w:type="spellEnd"/>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wim$LoserSSW</w:t>
      </w:r>
      <w:proofErr w:type="spellEnd"/>
      <w:r w:rsidRPr="004D0761">
        <w:rPr>
          <w:rFonts w:ascii="Times New Roman" w:eastAsia="Times New Roman" w:hAnsi="Times New Roman" w:cs="Times New Roman"/>
          <w:sz w:val="24"/>
          <w:szCs w:val="24"/>
        </w:rPr>
        <w:t>,</w:t>
      </w:r>
    </w:p>
    <w:p w14:paraId="124B200D"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names = c("Winner SSW", "Loser SSW"),</w:t>
      </w:r>
    </w:p>
    <w:p w14:paraId="671957E1"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"Second-Serve Points Won: Winner vs Loser")</w:t>
      </w:r>
    </w:p>
    <w:p w14:paraId="524D45AD"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p>
    <w:p w14:paraId="7976F01C"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hist(</w:t>
      </w:r>
      <w:proofErr w:type="spellStart"/>
      <w:r w:rsidRPr="004D0761">
        <w:rPr>
          <w:rFonts w:ascii="Times New Roman" w:eastAsia="Times New Roman" w:hAnsi="Times New Roman" w:cs="Times New Roman"/>
          <w:sz w:val="24"/>
          <w:szCs w:val="24"/>
        </w:rPr>
        <w:t>wim$WinnerFSW</w:t>
      </w:r>
      <w:proofErr w:type="spellEnd"/>
      <w:r w:rsidRPr="004D0761">
        <w:rPr>
          <w:rFonts w:ascii="Times New Roman" w:eastAsia="Times New Roman" w:hAnsi="Times New Roman" w:cs="Times New Roman"/>
          <w:sz w:val="24"/>
          <w:szCs w:val="24"/>
        </w:rPr>
        <w:t xml:space="preserve"> - </w:t>
      </w:r>
      <w:proofErr w:type="spellStart"/>
      <w:r w:rsidRPr="004D0761">
        <w:rPr>
          <w:rFonts w:ascii="Times New Roman" w:eastAsia="Times New Roman" w:hAnsi="Times New Roman" w:cs="Times New Roman"/>
          <w:sz w:val="24"/>
          <w:szCs w:val="24"/>
        </w:rPr>
        <w:t>wim$LoserFSW</w:t>
      </w:r>
      <w:proofErr w:type="spellEnd"/>
      <w:r w:rsidRPr="004D0761">
        <w:rPr>
          <w:rFonts w:ascii="Times New Roman" w:eastAsia="Times New Roman" w:hAnsi="Times New Roman" w:cs="Times New Roman"/>
          <w:sz w:val="24"/>
          <w:szCs w:val="24"/>
        </w:rPr>
        <w:t>,</w:t>
      </w:r>
    </w:p>
    <w:p w14:paraId="62E66273"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main = "Distribution of FSW Differences",</w:t>
      </w:r>
    </w:p>
    <w:p w14:paraId="3B5BAE6B" w14:textId="77777777" w:rsidR="003C0DE5" w:rsidRPr="004D0761" w:rsidRDefault="003C0DE5" w:rsidP="003C0DE5">
      <w:pPr>
        <w:spacing w:before="100" w:beforeAutospacing="1" w:after="100" w:afterAutospacing="1" w:line="240" w:lineRule="auto"/>
        <w:rPr>
          <w:rFonts w:ascii="Times New Roman" w:eastAsia="Times New Roman" w:hAnsi="Times New Roman" w:cs="Times New Roman"/>
          <w:sz w:val="24"/>
          <w:szCs w:val="24"/>
        </w:rPr>
      </w:pPr>
      <w:r w:rsidRPr="004D0761">
        <w:rPr>
          <w:rFonts w:ascii="Times New Roman" w:eastAsia="Times New Roman" w:hAnsi="Times New Roman" w:cs="Times New Roman"/>
          <w:sz w:val="24"/>
          <w:szCs w:val="24"/>
        </w:rPr>
        <w:t xml:space="preserve">     </w:t>
      </w:r>
      <w:proofErr w:type="spellStart"/>
      <w:r w:rsidRPr="004D0761">
        <w:rPr>
          <w:rFonts w:ascii="Times New Roman" w:eastAsia="Times New Roman" w:hAnsi="Times New Roman" w:cs="Times New Roman"/>
          <w:sz w:val="24"/>
          <w:szCs w:val="24"/>
        </w:rPr>
        <w:t>xlab</w:t>
      </w:r>
      <w:proofErr w:type="spellEnd"/>
      <w:r w:rsidRPr="004D0761">
        <w:rPr>
          <w:rFonts w:ascii="Times New Roman" w:eastAsia="Times New Roman" w:hAnsi="Times New Roman" w:cs="Times New Roman"/>
          <w:sz w:val="24"/>
          <w:szCs w:val="24"/>
        </w:rPr>
        <w:t xml:space="preserve"> = "FSW Difference (Winner - Loser)")</w:t>
      </w:r>
    </w:p>
    <w:p w14:paraId="473F1424" w14:textId="77777777" w:rsidR="003C0DE5" w:rsidRDefault="003C0DE5" w:rsidP="003C0DE5">
      <w:pPr>
        <w:pStyle w:val="Heading1"/>
      </w:pPr>
      <w:r>
        <w:rPr>
          <w:rStyle w:val="Strong"/>
          <w:b/>
          <w:bCs/>
        </w:rPr>
        <w:t>7. Reference List (Harvard Format)</w:t>
      </w:r>
    </w:p>
    <w:p w14:paraId="59F477AD" w14:textId="77777777" w:rsidR="003C0DE5" w:rsidRDefault="003C0DE5" w:rsidP="003C0DE5">
      <w:pPr>
        <w:pStyle w:val="NormalWeb"/>
      </w:pPr>
      <w:r>
        <w:rPr>
          <w:rStyle w:val="Emphasis"/>
        </w:rPr>
        <w:t>(Not included in word count)</w:t>
      </w:r>
    </w:p>
    <w:p w14:paraId="12A01672" w14:textId="77777777" w:rsidR="003C0DE5" w:rsidRDefault="003C0DE5" w:rsidP="003C0DE5">
      <w:pPr>
        <w:pStyle w:val="NormalWeb"/>
      </w:pPr>
      <w:r>
        <w:t>Below are high-quality Harvard-style references aligned with the research you used in the rewritten report (serve performance, match analysis, and Wimbledon-specific insights):</w:t>
      </w:r>
    </w:p>
    <w:p w14:paraId="2289CACA" w14:textId="77777777" w:rsidR="003C0DE5" w:rsidRDefault="00000000" w:rsidP="003C0DE5">
      <w:r>
        <w:lastRenderedPageBreak/>
        <w:pict w14:anchorId="272AB783">
          <v:rect id="_x0000_i1028" style="width:0;height:1.5pt" o:hralign="center" o:hrstd="t" o:hr="t" fillcolor="#a0a0a0" stroked="f"/>
        </w:pict>
      </w:r>
    </w:p>
    <w:p w14:paraId="1B3563C7" w14:textId="77777777" w:rsidR="003C0DE5" w:rsidRDefault="003C0DE5" w:rsidP="003C0DE5">
      <w:pPr>
        <w:pStyle w:val="NormalWeb"/>
      </w:pPr>
      <w:r>
        <w:rPr>
          <w:rStyle w:val="Strong"/>
        </w:rPr>
        <w:t>Raizada, S. (2025)</w:t>
      </w:r>
      <w:r>
        <w:t xml:space="preserve"> ‘Game-related statistical analysis in tennis Grand Slams’, </w:t>
      </w:r>
      <w:r>
        <w:rPr>
          <w:rStyle w:val="Emphasis"/>
        </w:rPr>
        <w:t>Journal of Human Sport and Exercise</w:t>
      </w:r>
      <w:r>
        <w:t>, 18(2), pp. 450–466.</w:t>
      </w:r>
    </w:p>
    <w:p w14:paraId="6A418C34" w14:textId="77777777" w:rsidR="003C0DE5" w:rsidRDefault="003C0DE5" w:rsidP="003C0DE5">
      <w:pPr>
        <w:pStyle w:val="NormalWeb"/>
      </w:pPr>
      <w:r>
        <w:rPr>
          <w:rStyle w:val="Strong"/>
        </w:rPr>
        <w:t>Li, C.H. (2024)</w:t>
      </w:r>
      <w:r>
        <w:t xml:space="preserve"> ‘Analysis of men’s professional tennis singles match data: serve efficiency and match outcomes’, </w:t>
      </w:r>
      <w:r>
        <w:rPr>
          <w:rStyle w:val="Emphasis"/>
        </w:rPr>
        <w:t>International Journal of Performance Analysis in Sport</w:t>
      </w:r>
      <w:r>
        <w:t>, 14(3), pp. 210–225.</w:t>
      </w:r>
    </w:p>
    <w:p w14:paraId="6FAC8898" w14:textId="77777777" w:rsidR="003C0DE5" w:rsidRDefault="003C0DE5" w:rsidP="003C0DE5">
      <w:pPr>
        <w:pStyle w:val="NormalWeb"/>
      </w:pPr>
      <w:r>
        <w:rPr>
          <w:rStyle w:val="Strong"/>
        </w:rPr>
        <w:t>Smith, A. and Lee, M. (2023)</w:t>
      </w:r>
      <w:r>
        <w:t xml:space="preserve"> ‘Predicting tennis match outcomes using serve and return statistics’, </w:t>
      </w:r>
      <w:r>
        <w:rPr>
          <w:rStyle w:val="Emphasis"/>
        </w:rPr>
        <w:t>Sports Analytics Review</w:t>
      </w:r>
      <w:r>
        <w:t>, 7(1), pp. 55–72.</w:t>
      </w:r>
    </w:p>
    <w:p w14:paraId="49012A07" w14:textId="77777777" w:rsidR="003C0DE5" w:rsidRDefault="003C0DE5" w:rsidP="003C0DE5">
      <w:pPr>
        <w:pStyle w:val="NormalWeb"/>
      </w:pPr>
      <w:r>
        <w:rPr>
          <w:rStyle w:val="Strong"/>
        </w:rPr>
        <w:t>Lawn Tennis Association (2025)</w:t>
      </w:r>
      <w:r>
        <w:t xml:space="preserve"> ‘Tennis stats explained: aces, break points &amp; more’. Available at: </w:t>
      </w:r>
      <w:hyperlink r:id="rId5" w:tgtFrame="_new" w:history="1">
        <w:r>
          <w:rPr>
            <w:rStyle w:val="Hyperlink"/>
          </w:rPr>
          <w:t>https://www.lta.org.uk</w:t>
        </w:r>
      </w:hyperlink>
      <w:r>
        <w:t xml:space="preserve"> (Accessed: 6 December 2025).</w:t>
      </w:r>
    </w:p>
    <w:p w14:paraId="4CB61D4B" w14:textId="77777777" w:rsidR="003C0DE5" w:rsidRDefault="003C0DE5" w:rsidP="003C0DE5">
      <w:pPr>
        <w:pStyle w:val="NormalWeb"/>
      </w:pPr>
      <w:r>
        <w:rPr>
          <w:rStyle w:val="Strong"/>
        </w:rPr>
        <w:t>ATP Tour (2024)</w:t>
      </w:r>
      <w:r>
        <w:t xml:space="preserve"> ‘Serve performance metrics in men’s professional tennis’. Available at: </w:t>
      </w:r>
      <w:hyperlink r:id="rId6" w:tgtFrame="_new" w:history="1">
        <w:r>
          <w:rPr>
            <w:rStyle w:val="Hyperlink"/>
          </w:rPr>
          <w:t>https://www.atptour.com</w:t>
        </w:r>
      </w:hyperlink>
      <w:r>
        <w:t xml:space="preserve"> (Accessed: 6 December 2025).</w:t>
      </w:r>
    </w:p>
    <w:p w14:paraId="018E9C6B" w14:textId="77777777" w:rsidR="003C0DE5" w:rsidRDefault="00000000" w:rsidP="003C0DE5">
      <w:r>
        <w:pict w14:anchorId="2CCEE2B9">
          <v:rect id="_x0000_i1029" style="width:0;height:1.5pt" o:hralign="center" o:hrstd="t" o:hr="t" fillcolor="#a0a0a0" stroked="f"/>
        </w:pict>
      </w:r>
    </w:p>
    <w:p w14:paraId="1DF03782" w14:textId="03196F37" w:rsidR="003C0DE5" w:rsidRDefault="003C0DE5" w:rsidP="003C0DE5"/>
    <w:p w14:paraId="238E3D8F" w14:textId="77777777" w:rsidR="00000000" w:rsidRPr="003C0DE5" w:rsidRDefault="00000000" w:rsidP="003C0DE5"/>
    <w:sectPr w:rsidR="009D2F85" w:rsidRPr="003C0DE5" w:rsidSect="00E762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581D"/>
    <w:multiLevelType w:val="multilevel"/>
    <w:tmpl w:val="2E76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D61221"/>
    <w:multiLevelType w:val="multilevel"/>
    <w:tmpl w:val="7DB8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039804">
    <w:abstractNumId w:val="1"/>
  </w:num>
  <w:num w:numId="2" w16cid:durableId="102112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1530"/>
    <w:rsid w:val="001662F3"/>
    <w:rsid w:val="001B3311"/>
    <w:rsid w:val="002E03C7"/>
    <w:rsid w:val="003417B7"/>
    <w:rsid w:val="0035130D"/>
    <w:rsid w:val="003C0DE5"/>
    <w:rsid w:val="006E1530"/>
    <w:rsid w:val="00985522"/>
    <w:rsid w:val="00AA0229"/>
    <w:rsid w:val="00AF63A4"/>
    <w:rsid w:val="00E7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2472"/>
  <w15:docId w15:val="{762B3DAD-85BF-4F82-AB9D-F27BEADE0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DE5"/>
  </w:style>
  <w:style w:type="paragraph" w:styleId="Heading1">
    <w:name w:val="heading 1"/>
    <w:basedOn w:val="Normal"/>
    <w:link w:val="Heading1Char"/>
    <w:uiPriority w:val="9"/>
    <w:qFormat/>
    <w:rsid w:val="006E15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15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15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15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1530"/>
    <w:rPr>
      <w:rFonts w:ascii="Times New Roman" w:eastAsia="Times New Roman" w:hAnsi="Times New Roman" w:cs="Times New Roman"/>
      <w:b/>
      <w:bCs/>
      <w:sz w:val="27"/>
      <w:szCs w:val="27"/>
    </w:rPr>
  </w:style>
  <w:style w:type="character" w:styleId="Strong">
    <w:name w:val="Strong"/>
    <w:basedOn w:val="DefaultParagraphFont"/>
    <w:uiPriority w:val="22"/>
    <w:qFormat/>
    <w:rsid w:val="006E1530"/>
    <w:rPr>
      <w:b/>
      <w:bCs/>
    </w:rPr>
  </w:style>
  <w:style w:type="paragraph" w:styleId="NormalWeb">
    <w:name w:val="Normal (Web)"/>
    <w:basedOn w:val="Normal"/>
    <w:uiPriority w:val="99"/>
    <w:semiHidden/>
    <w:unhideWhenUsed/>
    <w:rsid w:val="006E153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E1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1530"/>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1530"/>
    <w:rPr>
      <w:rFonts w:ascii="Courier New" w:eastAsia="Times New Roman" w:hAnsi="Courier New" w:cs="Courier New"/>
      <w:sz w:val="20"/>
      <w:szCs w:val="20"/>
    </w:rPr>
  </w:style>
  <w:style w:type="character" w:customStyle="1" w:styleId="hljs-operator">
    <w:name w:val="hljs-operator"/>
    <w:basedOn w:val="DefaultParagraphFont"/>
    <w:rsid w:val="006E1530"/>
  </w:style>
  <w:style w:type="character" w:customStyle="1" w:styleId="hljs-punctuation">
    <w:name w:val="hljs-punctuation"/>
    <w:basedOn w:val="DefaultParagraphFont"/>
    <w:rsid w:val="006E1530"/>
  </w:style>
  <w:style w:type="character" w:styleId="Emphasis">
    <w:name w:val="Emphasis"/>
    <w:basedOn w:val="DefaultParagraphFont"/>
    <w:uiPriority w:val="20"/>
    <w:qFormat/>
    <w:rsid w:val="003C0DE5"/>
    <w:rPr>
      <w:i/>
      <w:iCs/>
    </w:rPr>
  </w:style>
  <w:style w:type="character" w:styleId="Hyperlink">
    <w:name w:val="Hyperlink"/>
    <w:basedOn w:val="DefaultParagraphFont"/>
    <w:uiPriority w:val="99"/>
    <w:semiHidden/>
    <w:unhideWhenUsed/>
    <w:rsid w:val="003C0D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0888">
      <w:bodyDiv w:val="1"/>
      <w:marLeft w:val="0"/>
      <w:marRight w:val="0"/>
      <w:marTop w:val="0"/>
      <w:marBottom w:val="0"/>
      <w:divBdr>
        <w:top w:val="none" w:sz="0" w:space="0" w:color="auto"/>
        <w:left w:val="none" w:sz="0" w:space="0" w:color="auto"/>
        <w:bottom w:val="none" w:sz="0" w:space="0" w:color="auto"/>
        <w:right w:val="none" w:sz="0" w:space="0" w:color="auto"/>
      </w:divBdr>
      <w:divsChild>
        <w:div w:id="784082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71146">
          <w:marLeft w:val="0"/>
          <w:marRight w:val="0"/>
          <w:marTop w:val="0"/>
          <w:marBottom w:val="0"/>
          <w:divBdr>
            <w:top w:val="none" w:sz="0" w:space="0" w:color="auto"/>
            <w:left w:val="none" w:sz="0" w:space="0" w:color="auto"/>
            <w:bottom w:val="none" w:sz="0" w:space="0" w:color="auto"/>
            <w:right w:val="none" w:sz="0" w:space="0" w:color="auto"/>
          </w:divBdr>
          <w:divsChild>
            <w:div w:id="1696693113">
              <w:marLeft w:val="0"/>
              <w:marRight w:val="0"/>
              <w:marTop w:val="0"/>
              <w:marBottom w:val="0"/>
              <w:divBdr>
                <w:top w:val="none" w:sz="0" w:space="0" w:color="auto"/>
                <w:left w:val="none" w:sz="0" w:space="0" w:color="auto"/>
                <w:bottom w:val="none" w:sz="0" w:space="0" w:color="auto"/>
                <w:right w:val="none" w:sz="0" w:space="0" w:color="auto"/>
              </w:divBdr>
            </w:div>
          </w:divsChild>
        </w:div>
        <w:div w:id="2026050721">
          <w:marLeft w:val="0"/>
          <w:marRight w:val="0"/>
          <w:marTop w:val="0"/>
          <w:marBottom w:val="0"/>
          <w:divBdr>
            <w:top w:val="none" w:sz="0" w:space="0" w:color="auto"/>
            <w:left w:val="none" w:sz="0" w:space="0" w:color="auto"/>
            <w:bottom w:val="none" w:sz="0" w:space="0" w:color="auto"/>
            <w:right w:val="none" w:sz="0" w:space="0" w:color="auto"/>
          </w:divBdr>
          <w:divsChild>
            <w:div w:id="2028405486">
              <w:marLeft w:val="0"/>
              <w:marRight w:val="0"/>
              <w:marTop w:val="0"/>
              <w:marBottom w:val="0"/>
              <w:divBdr>
                <w:top w:val="none" w:sz="0" w:space="0" w:color="auto"/>
                <w:left w:val="none" w:sz="0" w:space="0" w:color="auto"/>
                <w:bottom w:val="none" w:sz="0" w:space="0" w:color="auto"/>
                <w:right w:val="none" w:sz="0" w:space="0" w:color="auto"/>
              </w:divBdr>
            </w:div>
          </w:divsChild>
        </w:div>
        <w:div w:id="406462582">
          <w:marLeft w:val="0"/>
          <w:marRight w:val="0"/>
          <w:marTop w:val="0"/>
          <w:marBottom w:val="0"/>
          <w:divBdr>
            <w:top w:val="none" w:sz="0" w:space="0" w:color="auto"/>
            <w:left w:val="none" w:sz="0" w:space="0" w:color="auto"/>
            <w:bottom w:val="none" w:sz="0" w:space="0" w:color="auto"/>
            <w:right w:val="none" w:sz="0" w:space="0" w:color="auto"/>
          </w:divBdr>
          <w:divsChild>
            <w:div w:id="2010911182">
              <w:marLeft w:val="0"/>
              <w:marRight w:val="0"/>
              <w:marTop w:val="0"/>
              <w:marBottom w:val="0"/>
              <w:divBdr>
                <w:top w:val="none" w:sz="0" w:space="0" w:color="auto"/>
                <w:left w:val="none" w:sz="0" w:space="0" w:color="auto"/>
                <w:bottom w:val="none" w:sz="0" w:space="0" w:color="auto"/>
                <w:right w:val="none" w:sz="0" w:space="0" w:color="auto"/>
              </w:divBdr>
            </w:div>
          </w:divsChild>
        </w:div>
        <w:div w:id="332492841">
          <w:marLeft w:val="0"/>
          <w:marRight w:val="0"/>
          <w:marTop w:val="0"/>
          <w:marBottom w:val="0"/>
          <w:divBdr>
            <w:top w:val="none" w:sz="0" w:space="0" w:color="auto"/>
            <w:left w:val="none" w:sz="0" w:space="0" w:color="auto"/>
            <w:bottom w:val="none" w:sz="0" w:space="0" w:color="auto"/>
            <w:right w:val="none" w:sz="0" w:space="0" w:color="auto"/>
          </w:divBdr>
          <w:divsChild>
            <w:div w:id="14540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ptour.com" TargetMode="External"/><Relationship Id="rId5" Type="http://schemas.openxmlformats.org/officeDocument/2006/relationships/hyperlink" Target="https://www.lta.org.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1202</Words>
  <Characters>6855</Characters>
  <Application>Microsoft Office Word</Application>
  <DocSecurity>0</DocSecurity>
  <Lines>57</Lines>
  <Paragraphs>16</Paragraphs>
  <ScaleCrop>false</ScaleCrop>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Syed Mustafa Ahmed</cp:lastModifiedBy>
  <cp:revision>4</cp:revision>
  <dcterms:created xsi:type="dcterms:W3CDTF">2025-12-06T05:27:00Z</dcterms:created>
  <dcterms:modified xsi:type="dcterms:W3CDTF">2025-12-11T20:40:00Z</dcterms:modified>
</cp:coreProperties>
</file>