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3E2E1" w14:textId="77777777" w:rsidR="00C25DE4" w:rsidRPr="003C0DE5" w:rsidRDefault="00C25DE4" w:rsidP="00C25DE4">
      <w:pPr>
        <w:spacing w:before="100" w:beforeAutospacing="1" w:after="100" w:afterAutospacing="1" w:line="240" w:lineRule="auto"/>
        <w:jc w:val="both"/>
        <w:outlineLvl w:val="1"/>
        <w:rPr>
          <w:rFonts w:ascii="Times New Roman" w:eastAsia="Times New Roman" w:hAnsi="Times New Roman" w:cs="Times New Roman"/>
          <w:b/>
          <w:bCs/>
          <w:sz w:val="48"/>
          <w:szCs w:val="48"/>
        </w:rPr>
      </w:pPr>
      <w:r w:rsidRPr="003C0DE5">
        <w:rPr>
          <w:rFonts w:ascii="Times New Roman" w:eastAsia="Times New Roman" w:hAnsi="Times New Roman" w:cs="Times New Roman"/>
          <w:b/>
          <w:bCs/>
          <w:sz w:val="48"/>
          <w:szCs w:val="48"/>
        </w:rPr>
        <w:t xml:space="preserve">5. Evaluation </w:t>
      </w:r>
    </w:p>
    <w:p w14:paraId="3BA37687" w14:textId="77777777" w:rsidR="00C25DE4" w:rsidRPr="00AD155A" w:rsidRDefault="00C25DE4" w:rsidP="00C25DE4">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5.1 What Went Well (75 words)</w:t>
      </w:r>
    </w:p>
    <w:p w14:paraId="0906FA01"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Our group successfully collaborated on data analysis methodology, with clear division of responsibilities enabling efficient progress. Regular online meetings facilitated coordination and problem-solving. The integration of R programming for statistical analysis and visualization proved effective, producing publication-quality outputs. Team members demonstrated strong statistical knowledge, ensuring appropriate test selection and interpretation. GitHub version control enabled seamless collaboration and code sharing. The systematic approach to hypothesis formulation and testing provided clear research direction, while peer review processes improved output quality significantly.</w:t>
      </w:r>
    </w:p>
    <w:p w14:paraId="6BB1B8F3" w14:textId="77777777" w:rsidR="00C25DE4" w:rsidRPr="00AD155A" w:rsidRDefault="00C25DE4" w:rsidP="00C25DE4">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5.2 Points for Improvement (75 words)</w:t>
      </w:r>
    </w:p>
    <w:p w14:paraId="1C113226"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Initial project planning could have been more detailed, with earlier establishment of clear deadlines for individual components. Communication frequency was occasionally insufficient during critical phases, causing minor coordination delays. Greater emphasis on preliminary data exploration would have identified data quality issues earlier. Documentation of analytical decisions could have been more comprehensive for transparency and reproducibility. Time allocation for visualization refinement was underestimated initially. Future projects would benefit from establishing backup communication channels and implementing more structured progress tracking mechanisms throughout the project lifecycle.</w:t>
      </w:r>
    </w:p>
    <w:p w14:paraId="5ABD969F" w14:textId="77777777" w:rsidR="00C25DE4" w:rsidRPr="00AD155A" w:rsidRDefault="00C25DE4" w:rsidP="00C25DE4">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5.3 Group's Time Management (50 words)</w:t>
      </w:r>
    </w:p>
    <w:p w14:paraId="36484228"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Time management was generally effective, with major milestones achieved on schedule. However, the final integration phase required more time than anticipated, creating pressure during submission preparation. Earlier completion of individual components would have allowed more comprehensive review and refinement. Establishing intermediate deadlines for draft submissions would improve future time management significantly.</w:t>
      </w:r>
    </w:p>
    <w:p w14:paraId="0D1EBDB2" w14:textId="77777777" w:rsidR="00C25DE4" w:rsidRPr="00AD155A" w:rsidRDefault="00C25DE4" w:rsidP="00C25DE4">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5.4 Project's Overall Judgement (50 words)</w:t>
      </w:r>
    </w:p>
    <w:p w14:paraId="6F5FFBE0"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Overall, the project successfully achieved its research objectives through rigorous statistical methodology and effective data visualization. The analysis provides meaningful insights into tennis performance indicators distinguishing winners from losers. Team collaboration was productive despite minor coordination challenges. The final deliverable demonstrates solid understanding of statistical principles and practical application to real-world sports analytics.</w:t>
      </w:r>
    </w:p>
    <w:p w14:paraId="504EB2A4" w14:textId="77777777" w:rsidR="00C25DE4" w:rsidRPr="00AD155A" w:rsidRDefault="00C25DE4" w:rsidP="00C25DE4">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5.5 Changes to Group Since Original Allocation (75 words)</w:t>
      </w:r>
    </w:p>
    <w:p w14:paraId="76281790"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[Only complete this section if applicable to your situation. If no changes occurred, write:]</w:t>
      </w:r>
    </w:p>
    <w:p w14:paraId="7B1CF548"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 xml:space="preserve">No changes to group membership occurred since original allocation. All original team members remained actively engaged throughout the project duration, maintaining consistent contribution levels. The stable group composition facilitated continuity in decision-making </w:t>
      </w:r>
      <w:r w:rsidRPr="00AD155A">
        <w:rPr>
          <w:rFonts w:ascii="Times New Roman" w:eastAsia="Times New Roman" w:hAnsi="Times New Roman" w:cs="Times New Roman"/>
          <w:sz w:val="24"/>
          <w:szCs w:val="24"/>
        </w:rPr>
        <w:lastRenderedPageBreak/>
        <w:t>and ensured comprehensive understanding of all analytical components across team members.</w:t>
      </w:r>
    </w:p>
    <w:p w14:paraId="20FAC2AB"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[If there were changes, adapt this template:]</w:t>
      </w:r>
    </w:p>
    <w:p w14:paraId="4F0AE92B"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[Member name] joined the group in [month], replacing [original member name] due to [reason]. The new GitHub ID is [username]. This transition required brief onboarding regarding data structure and analytical approach. Despite initial adjustment period, integration was smooth with the new member contributing significantly to [specific sections].</w:t>
      </w:r>
    </w:p>
    <w:p w14:paraId="70A008A9" w14:textId="77777777" w:rsidR="00C25DE4" w:rsidRPr="00AD155A" w:rsidRDefault="00C25DE4" w:rsidP="00C25DE4">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5.6 Comment on the GitHub Log Output (50 words)</w:t>
      </w:r>
    </w:p>
    <w:p w14:paraId="467926C4"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The GitHub commit history (Appendix B) demonstrates consistent collaborative development throughout the project. Three significant commits include: data preprocessing implementation establishing analytical foundation, statistical testing function development enabling comprehensive hypothesis evaluation, and visualization code refinement producing publication-ready figures. The log reflects iterative improvement and collaborative problem-solving, with meaningful commit messages documenting progress systematically.</w:t>
      </w:r>
    </w:p>
    <w:p w14:paraId="30D11248" w14:textId="77777777" w:rsidR="00C25DE4" w:rsidRPr="00AD155A"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Three Most Significant Commits:</w:t>
      </w:r>
    </w:p>
    <w:p w14:paraId="5FB72F44" w14:textId="77777777" w:rsidR="00C25DE4" w:rsidRPr="00AD155A" w:rsidRDefault="00C25DE4" w:rsidP="00C25D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Commit Message:</w:t>
      </w:r>
      <w:r w:rsidRPr="00AD155A">
        <w:rPr>
          <w:rFonts w:ascii="Times New Roman" w:eastAsia="Times New Roman" w:hAnsi="Times New Roman" w:cs="Times New Roman"/>
          <w:sz w:val="24"/>
          <w:szCs w:val="24"/>
        </w:rPr>
        <w:t xml:space="preserve"> "Initial data preprocessing and winner/loser classification implementation" </w:t>
      </w:r>
    </w:p>
    <w:p w14:paraId="119D3F1D" w14:textId="77777777" w:rsidR="00C25DE4" w:rsidRPr="00AD155A" w:rsidRDefault="00C25DE4" w:rsidP="00C25DE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Impact:</w:t>
      </w:r>
      <w:r w:rsidRPr="00AD155A">
        <w:rPr>
          <w:rFonts w:ascii="Times New Roman" w:eastAsia="Times New Roman" w:hAnsi="Times New Roman" w:cs="Times New Roman"/>
          <w:sz w:val="24"/>
          <w:szCs w:val="24"/>
        </w:rPr>
        <w:t xml:space="preserve"> Established the foundational data structure for all subsequent analyses by correctly identifying match winners and reorganizing statistics accordingly, enabling meaningful comparisons between winning and losing performances.</w:t>
      </w:r>
    </w:p>
    <w:p w14:paraId="588AF53B" w14:textId="77777777" w:rsidR="00C25DE4" w:rsidRPr="00AD155A" w:rsidRDefault="00C25DE4" w:rsidP="00C25D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Commit Message:</w:t>
      </w:r>
      <w:r w:rsidRPr="00AD155A">
        <w:rPr>
          <w:rFonts w:ascii="Times New Roman" w:eastAsia="Times New Roman" w:hAnsi="Times New Roman" w:cs="Times New Roman"/>
          <w:sz w:val="24"/>
          <w:szCs w:val="24"/>
        </w:rPr>
        <w:t xml:space="preserve"> "Implemented comprehensive statistical testing framework with effect size calculations" </w:t>
      </w:r>
    </w:p>
    <w:p w14:paraId="65EEAD07" w14:textId="77777777" w:rsidR="00C25DE4" w:rsidRPr="00AD155A" w:rsidRDefault="00C25DE4" w:rsidP="00C25DE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Impact:</w:t>
      </w:r>
      <w:r w:rsidRPr="00AD155A">
        <w:rPr>
          <w:rFonts w:ascii="Times New Roman" w:eastAsia="Times New Roman" w:hAnsi="Times New Roman" w:cs="Times New Roman"/>
          <w:sz w:val="24"/>
          <w:szCs w:val="24"/>
        </w:rPr>
        <w:t xml:space="preserve"> Created the core analytical engine performing t-tests and Cohen's d calculations across all hypotheses, providing rigorous statistical evidence for research conclusions and ensuring methodological robustness.</w:t>
      </w:r>
    </w:p>
    <w:p w14:paraId="1070C228" w14:textId="77777777" w:rsidR="00C25DE4" w:rsidRPr="00AD155A" w:rsidRDefault="00C25DE4" w:rsidP="00C25D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Commit Message:</w:t>
      </w:r>
      <w:r w:rsidRPr="00AD155A">
        <w:rPr>
          <w:rFonts w:ascii="Times New Roman" w:eastAsia="Times New Roman" w:hAnsi="Times New Roman" w:cs="Times New Roman"/>
          <w:sz w:val="24"/>
          <w:szCs w:val="24"/>
        </w:rPr>
        <w:t xml:space="preserve"> "Finalized visualization suite with publication-quality formatting and captions" </w:t>
      </w:r>
    </w:p>
    <w:p w14:paraId="50D53F7D" w14:textId="77777777" w:rsidR="00C25DE4" w:rsidRPr="003C0DE5" w:rsidRDefault="00C25DE4" w:rsidP="00C25DE4">
      <w:pPr>
        <w:spacing w:after="0"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Impact:</w:t>
      </w:r>
      <w:r w:rsidRPr="00AD155A">
        <w:rPr>
          <w:rFonts w:ascii="Times New Roman" w:eastAsia="Times New Roman" w:hAnsi="Times New Roman" w:cs="Times New Roman"/>
          <w:sz w:val="24"/>
          <w:szCs w:val="24"/>
        </w:rPr>
        <w:t xml:space="preserve"> Delivered professional, interpretable visual outputs that effectively communicate research findings to both technical and non-technical audiences, significantly enhancing the overall quality and presentation of results</w:t>
      </w:r>
    </w:p>
    <w:p w14:paraId="1FF178C7"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0DB32005" w14:textId="77777777" w:rsidR="00C25DE4" w:rsidRPr="004D0761" w:rsidRDefault="00464859" w:rsidP="00C25D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3EA2F8">
          <v:rect id="_x0000_i1025" style="width:0;height:1.5pt" o:hralign="center" o:hrstd="t" o:hr="t" fillcolor="#a0a0a0" stroked="f"/>
        </w:pict>
      </w:r>
    </w:p>
    <w:p w14:paraId="2BE01C5C" w14:textId="77777777" w:rsidR="00C25DE4" w:rsidRPr="004D0761" w:rsidRDefault="00C25DE4" w:rsidP="00C25D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6. Conclusions</w:t>
      </w:r>
    </w:p>
    <w:p w14:paraId="4FACC645" w14:textId="77777777" w:rsidR="00C25DE4" w:rsidRPr="004D0761" w:rsidRDefault="00C25DE4" w:rsidP="00C25DE4">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6.1 Results explained (≈75 words)</w:t>
      </w:r>
    </w:p>
    <w:p w14:paraId="323F1E88"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lastRenderedPageBreak/>
        <w:t>Winners at Wimbledon 2013 consistently achieved higher FSW and SSW than losers. Both first-serve and second-serve effectiveness were statistically significant, with second-serve performance showing the strongest difference. The tests demonstrate that serve quality is closely tied to match success on grass.</w:t>
      </w:r>
    </w:p>
    <w:p w14:paraId="3A831C9A" w14:textId="77777777" w:rsidR="00C25DE4" w:rsidRPr="004D0761" w:rsidRDefault="00464859" w:rsidP="00C25D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FF075E">
          <v:rect id="_x0000_i1026" style="width:0;height:1.5pt" o:hralign="center" o:hrstd="t" o:hr="t" fillcolor="#a0a0a0" stroked="f"/>
        </w:pict>
      </w:r>
    </w:p>
    <w:p w14:paraId="52ED0793" w14:textId="77777777" w:rsidR="00C25DE4" w:rsidRPr="004D0761" w:rsidRDefault="00C25DE4" w:rsidP="00C25DE4">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6.2 Interpretation (≈75 words)</w:t>
      </w:r>
    </w:p>
    <w:p w14:paraId="6A48851E"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These results confirm the central strategic importance of serving in professional tennis, particularly at Wimbledon. Players who win a higher percentage of points on both serves—especially the second serve—are significantly more likely to win matches. Coaches and analysts may use these findings to </w:t>
      </w:r>
      <w:proofErr w:type="spellStart"/>
      <w:r w:rsidRPr="004D0761">
        <w:rPr>
          <w:rFonts w:ascii="Times New Roman" w:eastAsia="Times New Roman" w:hAnsi="Times New Roman" w:cs="Times New Roman"/>
          <w:sz w:val="24"/>
          <w:szCs w:val="24"/>
        </w:rPr>
        <w:t>emphasise</w:t>
      </w:r>
      <w:proofErr w:type="spellEnd"/>
      <w:r w:rsidRPr="004D0761">
        <w:rPr>
          <w:rFonts w:ascii="Times New Roman" w:eastAsia="Times New Roman" w:hAnsi="Times New Roman" w:cs="Times New Roman"/>
          <w:sz w:val="24"/>
          <w:szCs w:val="24"/>
        </w:rPr>
        <w:t xml:space="preserve"> serve consistency and tactical serve placement.</w:t>
      </w:r>
    </w:p>
    <w:p w14:paraId="7B27AD41" w14:textId="77777777" w:rsidR="00C25DE4" w:rsidRPr="004D0761" w:rsidRDefault="00464859" w:rsidP="00C25D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CA83FB">
          <v:rect id="_x0000_i1027" style="width:0;height:1.5pt" o:hralign="center" o:hrstd="t" o:hr="t" fillcolor="#a0a0a0" stroked="f"/>
        </w:pict>
      </w:r>
    </w:p>
    <w:p w14:paraId="3C2EA341" w14:textId="77777777" w:rsidR="00C25DE4" w:rsidRPr="004D0761" w:rsidRDefault="00C25DE4" w:rsidP="00C25DE4">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6.3 Future work &amp; limitations (≈50 words)</w:t>
      </w:r>
    </w:p>
    <w:p w14:paraId="6439CC34" w14:textId="77777777" w:rsidR="00C25DE4"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Future research should include additional variables such as return points won, break points converted, or rally length. Limitations include one tournament and no player-level modelling. Multi-year Wimbledon data could improve </w:t>
      </w:r>
      <w:proofErr w:type="spellStart"/>
      <w:r w:rsidRPr="004D0761">
        <w:rPr>
          <w:rFonts w:ascii="Times New Roman" w:eastAsia="Times New Roman" w:hAnsi="Times New Roman" w:cs="Times New Roman"/>
          <w:sz w:val="24"/>
          <w:szCs w:val="24"/>
        </w:rPr>
        <w:t>generalisability</w:t>
      </w:r>
      <w:proofErr w:type="spellEnd"/>
      <w:r w:rsidRPr="004D0761">
        <w:rPr>
          <w:rFonts w:ascii="Times New Roman" w:eastAsia="Times New Roman" w:hAnsi="Times New Roman" w:cs="Times New Roman"/>
          <w:sz w:val="24"/>
          <w:szCs w:val="24"/>
        </w:rPr>
        <w:t>.</w:t>
      </w:r>
    </w:p>
    <w:p w14:paraId="185BCDB2" w14:textId="77777777" w:rsidR="00C25DE4"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14EEE13C"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t>
      </w:r>
      <w:proofErr w:type="spellEnd"/>
      <w:r w:rsidRPr="004D0761">
        <w:rPr>
          <w:rFonts w:ascii="Times New Roman" w:eastAsia="Times New Roman" w:hAnsi="Times New Roman" w:cs="Times New Roman"/>
          <w:sz w:val="24"/>
          <w:szCs w:val="24"/>
        </w:rPr>
        <w:t xml:space="preserve"> &lt;- read.csv("Wimbledon-men-2013.csv")</w:t>
      </w:r>
    </w:p>
    <w:p w14:paraId="2B437DC9"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573D4A54"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Create winner/loser variables for FSW and SSW</w:t>
      </w:r>
    </w:p>
    <w:p w14:paraId="65596F33"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&lt;- </w:t>
      </w:r>
      <w:proofErr w:type="spellStart"/>
      <w:proofErr w:type="gram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wim$FSW.1, wim$FSW.2)</w:t>
      </w:r>
    </w:p>
    <w:p w14:paraId="330BECF1"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t>
      </w:r>
      <w:proofErr w:type="gramStart"/>
      <w:r w:rsidRPr="004D0761">
        <w:rPr>
          <w:rFonts w:ascii="Times New Roman" w:eastAsia="Times New Roman" w:hAnsi="Times New Roman" w:cs="Times New Roman"/>
          <w:sz w:val="24"/>
          <w:szCs w:val="24"/>
        </w:rPr>
        <w:t>LoserFSW</w:t>
      </w:r>
      <w:proofErr w:type="spellEnd"/>
      <w:r w:rsidRPr="004D0761">
        <w:rPr>
          <w:rFonts w:ascii="Times New Roman" w:eastAsia="Times New Roman" w:hAnsi="Times New Roman" w:cs="Times New Roman"/>
          <w:sz w:val="24"/>
          <w:szCs w:val="24"/>
        </w:rPr>
        <w:t xml:space="preserve">  &lt;</w:t>
      </w:r>
      <w:proofErr w:type="gramEnd"/>
      <w:r w:rsidRPr="004D0761">
        <w:rPr>
          <w:rFonts w:ascii="Times New Roman" w:eastAsia="Times New Roman" w:hAnsi="Times New Roman" w:cs="Times New Roman"/>
          <w:sz w:val="24"/>
          <w:szCs w:val="24"/>
        </w:rPr>
        <w:t xml:space="preserve">- </w:t>
      </w:r>
      <w:proofErr w:type="spellStart"/>
      <w:proofErr w:type="gram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wim$FSW.2, wim$FSW.1)</w:t>
      </w:r>
    </w:p>
    <w:p w14:paraId="6B8DA53A"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34088D72"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&lt;- </w:t>
      </w:r>
      <w:proofErr w:type="spellStart"/>
      <w:proofErr w:type="gram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wim$SSW.1, wim$SSW.2)</w:t>
      </w:r>
    </w:p>
    <w:p w14:paraId="47270D21"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t>
      </w:r>
      <w:proofErr w:type="gramStart"/>
      <w:r w:rsidRPr="004D0761">
        <w:rPr>
          <w:rFonts w:ascii="Times New Roman" w:eastAsia="Times New Roman" w:hAnsi="Times New Roman" w:cs="Times New Roman"/>
          <w:sz w:val="24"/>
          <w:szCs w:val="24"/>
        </w:rPr>
        <w:t>LoserSSW</w:t>
      </w:r>
      <w:proofErr w:type="spellEnd"/>
      <w:r w:rsidRPr="004D0761">
        <w:rPr>
          <w:rFonts w:ascii="Times New Roman" w:eastAsia="Times New Roman" w:hAnsi="Times New Roman" w:cs="Times New Roman"/>
          <w:sz w:val="24"/>
          <w:szCs w:val="24"/>
        </w:rPr>
        <w:t xml:space="preserve">  &lt;</w:t>
      </w:r>
      <w:proofErr w:type="gramEnd"/>
      <w:r w:rsidRPr="004D0761">
        <w:rPr>
          <w:rFonts w:ascii="Times New Roman" w:eastAsia="Times New Roman" w:hAnsi="Times New Roman" w:cs="Times New Roman"/>
          <w:sz w:val="24"/>
          <w:szCs w:val="24"/>
        </w:rPr>
        <w:t xml:space="preserve">- </w:t>
      </w:r>
      <w:proofErr w:type="spellStart"/>
      <w:proofErr w:type="gram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wim$SSW.2, wim$SSW.1)</w:t>
      </w:r>
    </w:p>
    <w:p w14:paraId="402F861A"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7A38687C"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Paired t-tests</w:t>
      </w:r>
    </w:p>
    <w:p w14:paraId="610D6377"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t.</w:t>
      </w:r>
      <w:proofErr w:type="gramStart"/>
      <w:r w:rsidRPr="004D0761">
        <w:rPr>
          <w:rFonts w:ascii="Times New Roman" w:eastAsia="Times New Roman" w:hAnsi="Times New Roman" w:cs="Times New Roman"/>
          <w:sz w:val="24"/>
          <w:szCs w:val="24"/>
        </w:rPr>
        <w:t>test</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 paired = TRUE)</w:t>
      </w:r>
    </w:p>
    <w:p w14:paraId="59ADC756"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t.</w:t>
      </w:r>
      <w:proofErr w:type="gramStart"/>
      <w:r w:rsidRPr="004D0761">
        <w:rPr>
          <w:rFonts w:ascii="Times New Roman" w:eastAsia="Times New Roman" w:hAnsi="Times New Roman" w:cs="Times New Roman"/>
          <w:sz w:val="24"/>
          <w:szCs w:val="24"/>
        </w:rPr>
        <w:t>test</w:t>
      </w:r>
      <w:proofErr w:type="spellEnd"/>
      <w:r w:rsidRPr="004D0761">
        <w:rPr>
          <w:rFonts w:ascii="Times New Roman" w:eastAsia="Times New Roman" w:hAnsi="Times New Roman" w:cs="Times New Roman"/>
          <w:sz w:val="24"/>
          <w:szCs w:val="24"/>
        </w:rPr>
        <w:t>(</w:t>
      </w:r>
      <w:proofErr w:type="spellStart"/>
      <w:proofErr w:type="gramEnd"/>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wim$LoserSSW</w:t>
      </w:r>
      <w:proofErr w:type="spellEnd"/>
      <w:r w:rsidRPr="004D0761">
        <w:rPr>
          <w:rFonts w:ascii="Times New Roman" w:eastAsia="Times New Roman" w:hAnsi="Times New Roman" w:cs="Times New Roman"/>
          <w:sz w:val="24"/>
          <w:szCs w:val="24"/>
        </w:rPr>
        <w:t>, paired = TRUE)</w:t>
      </w:r>
    </w:p>
    <w:p w14:paraId="7AC518C9"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7654E275"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lastRenderedPageBreak/>
        <w:t># Logistic regression</w:t>
      </w:r>
    </w:p>
    <w:p w14:paraId="3180A40E"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model &lt;- </w:t>
      </w:r>
      <w:proofErr w:type="spellStart"/>
      <w:proofErr w:type="gramStart"/>
      <w:r w:rsidRPr="004D0761">
        <w:rPr>
          <w:rFonts w:ascii="Times New Roman" w:eastAsia="Times New Roman" w:hAnsi="Times New Roman" w:cs="Times New Roman"/>
          <w:sz w:val="24"/>
          <w:szCs w:val="24"/>
        </w:rPr>
        <w:t>glm</w:t>
      </w:r>
      <w:proofErr w:type="spellEnd"/>
      <w:r w:rsidRPr="004D0761">
        <w:rPr>
          <w:rFonts w:ascii="Times New Roman" w:eastAsia="Times New Roman" w:hAnsi="Times New Roman" w:cs="Times New Roman"/>
          <w:sz w:val="24"/>
          <w:szCs w:val="24"/>
        </w:rPr>
        <w:t>(</w:t>
      </w:r>
      <w:proofErr w:type="gramEnd"/>
      <w:r w:rsidRPr="004D0761">
        <w:rPr>
          <w:rFonts w:ascii="Times New Roman" w:eastAsia="Times New Roman" w:hAnsi="Times New Roman" w:cs="Times New Roman"/>
          <w:sz w:val="24"/>
          <w:szCs w:val="24"/>
        </w:rPr>
        <w:t xml:space="preserve">Result ~ FSW.1 + SSW.1, data = </w:t>
      </w:r>
      <w:proofErr w:type="spellStart"/>
      <w:r w:rsidRPr="004D0761">
        <w:rPr>
          <w:rFonts w:ascii="Times New Roman" w:eastAsia="Times New Roman" w:hAnsi="Times New Roman" w:cs="Times New Roman"/>
          <w:sz w:val="24"/>
          <w:szCs w:val="24"/>
        </w:rPr>
        <w:t>wim</w:t>
      </w:r>
      <w:proofErr w:type="spellEnd"/>
      <w:r w:rsidRPr="004D0761">
        <w:rPr>
          <w:rFonts w:ascii="Times New Roman" w:eastAsia="Times New Roman" w:hAnsi="Times New Roman" w:cs="Times New Roman"/>
          <w:sz w:val="24"/>
          <w:szCs w:val="24"/>
        </w:rPr>
        <w:t>, family = binomial)</w:t>
      </w:r>
    </w:p>
    <w:p w14:paraId="2F22892D"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summary(model)</w:t>
      </w:r>
    </w:p>
    <w:p w14:paraId="5AF53FE3"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0DA0DEAE"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Visualisations</w:t>
      </w:r>
      <w:proofErr w:type="spellEnd"/>
    </w:p>
    <w:p w14:paraId="6F8B6C4F"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gramStart"/>
      <w:r w:rsidRPr="004D0761">
        <w:rPr>
          <w:rFonts w:ascii="Times New Roman" w:eastAsia="Times New Roman" w:hAnsi="Times New Roman" w:cs="Times New Roman"/>
          <w:sz w:val="24"/>
          <w:szCs w:val="24"/>
        </w:rPr>
        <w:t>boxplot(</w:t>
      </w:r>
      <w:proofErr w:type="spellStart"/>
      <w:proofErr w:type="gramEnd"/>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w:t>
      </w:r>
    </w:p>
    <w:p w14:paraId="52C70E41"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names = </w:t>
      </w:r>
      <w:proofErr w:type="gramStart"/>
      <w:r w:rsidRPr="004D0761">
        <w:rPr>
          <w:rFonts w:ascii="Times New Roman" w:eastAsia="Times New Roman" w:hAnsi="Times New Roman" w:cs="Times New Roman"/>
          <w:sz w:val="24"/>
          <w:szCs w:val="24"/>
        </w:rPr>
        <w:t>c(</w:t>
      </w:r>
      <w:proofErr w:type="gramEnd"/>
      <w:r w:rsidRPr="004D0761">
        <w:rPr>
          <w:rFonts w:ascii="Times New Roman" w:eastAsia="Times New Roman" w:hAnsi="Times New Roman" w:cs="Times New Roman"/>
          <w:sz w:val="24"/>
          <w:szCs w:val="24"/>
        </w:rPr>
        <w:t>"Winner FSW", "Loser FSW"),</w:t>
      </w:r>
    </w:p>
    <w:p w14:paraId="397AC1AF"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main = "First-Serve Points Won: Winner vs Loser")</w:t>
      </w:r>
    </w:p>
    <w:p w14:paraId="356529E5"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05050F6F"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gramStart"/>
      <w:r w:rsidRPr="004D0761">
        <w:rPr>
          <w:rFonts w:ascii="Times New Roman" w:eastAsia="Times New Roman" w:hAnsi="Times New Roman" w:cs="Times New Roman"/>
          <w:sz w:val="24"/>
          <w:szCs w:val="24"/>
        </w:rPr>
        <w:t>boxplot(</w:t>
      </w:r>
      <w:proofErr w:type="spellStart"/>
      <w:proofErr w:type="gramEnd"/>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wim$LoserSSW</w:t>
      </w:r>
      <w:proofErr w:type="spellEnd"/>
      <w:r w:rsidRPr="004D0761">
        <w:rPr>
          <w:rFonts w:ascii="Times New Roman" w:eastAsia="Times New Roman" w:hAnsi="Times New Roman" w:cs="Times New Roman"/>
          <w:sz w:val="24"/>
          <w:szCs w:val="24"/>
        </w:rPr>
        <w:t>,</w:t>
      </w:r>
    </w:p>
    <w:p w14:paraId="2E2DD59D"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names = </w:t>
      </w:r>
      <w:proofErr w:type="gramStart"/>
      <w:r w:rsidRPr="004D0761">
        <w:rPr>
          <w:rFonts w:ascii="Times New Roman" w:eastAsia="Times New Roman" w:hAnsi="Times New Roman" w:cs="Times New Roman"/>
          <w:sz w:val="24"/>
          <w:szCs w:val="24"/>
        </w:rPr>
        <w:t>c(</w:t>
      </w:r>
      <w:proofErr w:type="gramEnd"/>
      <w:r w:rsidRPr="004D0761">
        <w:rPr>
          <w:rFonts w:ascii="Times New Roman" w:eastAsia="Times New Roman" w:hAnsi="Times New Roman" w:cs="Times New Roman"/>
          <w:sz w:val="24"/>
          <w:szCs w:val="24"/>
        </w:rPr>
        <w:t>"Winner SSW", "Loser SSW"),</w:t>
      </w:r>
    </w:p>
    <w:p w14:paraId="2F68BC08"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main = "Second-Serve Points Won: Winner vs Loser")</w:t>
      </w:r>
    </w:p>
    <w:p w14:paraId="60024A22"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
    <w:p w14:paraId="52E2E247"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proofErr w:type="gramStart"/>
      <w:r w:rsidRPr="004D0761">
        <w:rPr>
          <w:rFonts w:ascii="Times New Roman" w:eastAsia="Times New Roman" w:hAnsi="Times New Roman" w:cs="Times New Roman"/>
          <w:sz w:val="24"/>
          <w:szCs w:val="24"/>
        </w:rPr>
        <w:t>hist(</w:t>
      </w:r>
      <w:proofErr w:type="spellStart"/>
      <w:proofErr w:type="gramEnd"/>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w:t>
      </w:r>
    </w:p>
    <w:p w14:paraId="650F9528"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main = "Distribution of FSW Differences",</w:t>
      </w:r>
    </w:p>
    <w:p w14:paraId="21DA17CB" w14:textId="77777777" w:rsidR="00C25DE4" w:rsidRPr="004D0761" w:rsidRDefault="00C25DE4" w:rsidP="00C25DE4">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xlab</w:t>
      </w:r>
      <w:proofErr w:type="spellEnd"/>
      <w:r w:rsidRPr="004D0761">
        <w:rPr>
          <w:rFonts w:ascii="Times New Roman" w:eastAsia="Times New Roman" w:hAnsi="Times New Roman" w:cs="Times New Roman"/>
          <w:sz w:val="24"/>
          <w:szCs w:val="24"/>
        </w:rPr>
        <w:t xml:space="preserve"> = "FSW Difference (Winner - Loser)")</w:t>
      </w:r>
    </w:p>
    <w:p w14:paraId="23A16B13" w14:textId="3729B0E0" w:rsidR="00C25DE4" w:rsidRPr="00464859" w:rsidRDefault="00C25DE4" w:rsidP="00464859">
      <w:pPr>
        <w:rPr>
          <w:rFonts w:ascii="Times New Roman" w:hAnsi="Times New Roman" w:cs="Times New Roman"/>
          <w:b/>
          <w:bCs/>
          <w:sz w:val="48"/>
          <w:szCs w:val="48"/>
        </w:rPr>
      </w:pPr>
      <w:r w:rsidRPr="00C25DE4">
        <w:rPr>
          <w:rStyle w:val="Strong"/>
          <w:rFonts w:ascii="Times New Roman" w:hAnsi="Times New Roman" w:cs="Times New Roman"/>
          <w:sz w:val="48"/>
          <w:szCs w:val="48"/>
        </w:rPr>
        <w:t>7. Reference List (Harvard Format)</w:t>
      </w:r>
    </w:p>
    <w:p w14:paraId="029584C8" w14:textId="77777777" w:rsidR="00C25DE4" w:rsidRDefault="00C25DE4" w:rsidP="00C25DE4">
      <w:pPr>
        <w:pStyle w:val="NormalWeb"/>
      </w:pPr>
      <w:r>
        <w:t>Below are high-quality Harvard-style references aligned with the research you used in the rewritten report (serve performance, match analysis, and Wimbledon-specific insights):</w:t>
      </w:r>
    </w:p>
    <w:p w14:paraId="3D13AE12" w14:textId="77777777" w:rsidR="00C25DE4" w:rsidRDefault="00464859" w:rsidP="00C25DE4">
      <w:r>
        <w:pict w14:anchorId="1D35FE11">
          <v:rect id="_x0000_i1028" style="width:0;height:1.5pt" o:hralign="center" o:hrstd="t" o:hr="t" fillcolor="#a0a0a0" stroked="f"/>
        </w:pict>
      </w:r>
    </w:p>
    <w:p w14:paraId="3709B1F9" w14:textId="77777777" w:rsidR="00C25DE4" w:rsidRDefault="00C25DE4" w:rsidP="00C25DE4">
      <w:pPr>
        <w:pStyle w:val="NormalWeb"/>
      </w:pPr>
      <w:r>
        <w:rPr>
          <w:rStyle w:val="Strong"/>
          <w:rFonts w:eastAsiaTheme="majorEastAsia"/>
        </w:rPr>
        <w:t>Raizada, S. (2025)</w:t>
      </w:r>
      <w:r>
        <w:t xml:space="preserve"> ‘Game-related statistical analysis in tennis Grand Slams’, </w:t>
      </w:r>
      <w:r>
        <w:rPr>
          <w:rStyle w:val="Emphasis"/>
          <w:rFonts w:eastAsiaTheme="majorEastAsia"/>
        </w:rPr>
        <w:t>Journal of Human Sport and Exercise</w:t>
      </w:r>
      <w:r>
        <w:t>, 18(2), pp. 450–466.</w:t>
      </w:r>
    </w:p>
    <w:p w14:paraId="09FD683D" w14:textId="77777777" w:rsidR="00C25DE4" w:rsidRDefault="00C25DE4" w:rsidP="00C25DE4">
      <w:pPr>
        <w:pStyle w:val="NormalWeb"/>
      </w:pPr>
      <w:r>
        <w:rPr>
          <w:rStyle w:val="Strong"/>
          <w:rFonts w:eastAsiaTheme="majorEastAsia"/>
        </w:rPr>
        <w:t>Li, C.H. (2024)</w:t>
      </w:r>
      <w:r>
        <w:t xml:space="preserve"> ‘Analysis of men’s professional tennis singles match data: serve efficiency and match outcomes’, </w:t>
      </w:r>
      <w:r>
        <w:rPr>
          <w:rStyle w:val="Emphasis"/>
          <w:rFonts w:eastAsiaTheme="majorEastAsia"/>
        </w:rPr>
        <w:t>International Journal of Performance Analysis in Sport</w:t>
      </w:r>
      <w:r>
        <w:t>, 14(3), pp. 210–225.</w:t>
      </w:r>
    </w:p>
    <w:p w14:paraId="5994AA46" w14:textId="77777777" w:rsidR="00C25DE4" w:rsidRDefault="00C25DE4" w:rsidP="00C25DE4">
      <w:pPr>
        <w:pStyle w:val="NormalWeb"/>
      </w:pPr>
      <w:r>
        <w:rPr>
          <w:rStyle w:val="Strong"/>
          <w:rFonts w:eastAsiaTheme="majorEastAsia"/>
        </w:rPr>
        <w:t>Smith, A. and Lee, M. (2023)</w:t>
      </w:r>
      <w:r>
        <w:t xml:space="preserve"> ‘Predicting tennis match outcomes using serve and return statistics’, </w:t>
      </w:r>
      <w:r>
        <w:rPr>
          <w:rStyle w:val="Emphasis"/>
          <w:rFonts w:eastAsiaTheme="majorEastAsia"/>
        </w:rPr>
        <w:t>Sports Analytics Review</w:t>
      </w:r>
      <w:r>
        <w:t>, 7(1), pp. 55–72.</w:t>
      </w:r>
    </w:p>
    <w:p w14:paraId="37552F86" w14:textId="77777777" w:rsidR="00C25DE4" w:rsidRDefault="00C25DE4" w:rsidP="00C25DE4">
      <w:pPr>
        <w:pStyle w:val="NormalWeb"/>
      </w:pPr>
      <w:r>
        <w:rPr>
          <w:rStyle w:val="Strong"/>
          <w:rFonts w:eastAsiaTheme="majorEastAsia"/>
        </w:rPr>
        <w:lastRenderedPageBreak/>
        <w:t>Lawn Tennis Association (2025)</w:t>
      </w:r>
      <w:r>
        <w:t xml:space="preserve"> ‘Tennis stats explained: aces, break points &amp; more’. Available at: </w:t>
      </w:r>
      <w:hyperlink r:id="rId5" w:tgtFrame="_new" w:history="1">
        <w:r>
          <w:rPr>
            <w:rStyle w:val="Hyperlink"/>
          </w:rPr>
          <w:t>https://www.lta.org.uk</w:t>
        </w:r>
      </w:hyperlink>
      <w:r>
        <w:t xml:space="preserve"> (Accessed: 6 December 2025).</w:t>
      </w:r>
    </w:p>
    <w:p w14:paraId="5A0CF754" w14:textId="77777777" w:rsidR="00C25DE4" w:rsidRDefault="00C25DE4" w:rsidP="00C25DE4">
      <w:pPr>
        <w:pStyle w:val="NormalWeb"/>
      </w:pPr>
      <w:r>
        <w:rPr>
          <w:rStyle w:val="Strong"/>
          <w:rFonts w:eastAsiaTheme="majorEastAsia"/>
        </w:rPr>
        <w:t>ATP Tour (2024)</w:t>
      </w:r>
      <w:r>
        <w:t xml:space="preserve"> ‘Serve performance metrics in men’s professional tennis’. Available at: </w:t>
      </w:r>
      <w:hyperlink r:id="rId6" w:tgtFrame="_new" w:history="1">
        <w:r>
          <w:rPr>
            <w:rStyle w:val="Hyperlink"/>
          </w:rPr>
          <w:t>https://www.atptour.com</w:t>
        </w:r>
      </w:hyperlink>
      <w:r>
        <w:t xml:space="preserve"> (Accessed: 6 December 2025).</w:t>
      </w:r>
    </w:p>
    <w:p w14:paraId="34A0E8B2" w14:textId="3E792E94" w:rsidR="00C25DE4" w:rsidRDefault="00464859" w:rsidP="00C25DE4">
      <w:r>
        <w:pict w14:anchorId="3B608966">
          <v:rect id="_x0000_i1029" style="width:0;height:1.5pt" o:hralign="center" o:hrstd="t" o:hr="t" fillcolor="#a0a0a0" stroked="f"/>
        </w:pict>
      </w:r>
    </w:p>
    <w:sectPr w:rsidR="00C25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581D"/>
    <w:multiLevelType w:val="multilevel"/>
    <w:tmpl w:val="2E76C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12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DE4"/>
    <w:rsid w:val="00464859"/>
    <w:rsid w:val="00841FA3"/>
    <w:rsid w:val="00943939"/>
    <w:rsid w:val="00C25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CB8D5CB"/>
  <w15:chartTrackingRefBased/>
  <w15:docId w15:val="{39926EC1-1D34-4FF3-9F0D-0B346DCA1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DE4"/>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C25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DE4"/>
    <w:rPr>
      <w:rFonts w:eastAsiaTheme="majorEastAsia" w:cstheme="majorBidi"/>
      <w:color w:val="272727" w:themeColor="text1" w:themeTint="D8"/>
    </w:rPr>
  </w:style>
  <w:style w:type="paragraph" w:styleId="Title">
    <w:name w:val="Title"/>
    <w:basedOn w:val="Normal"/>
    <w:next w:val="Normal"/>
    <w:link w:val="TitleChar"/>
    <w:uiPriority w:val="10"/>
    <w:qFormat/>
    <w:rsid w:val="00C2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DE4"/>
    <w:pPr>
      <w:spacing w:before="160"/>
      <w:jc w:val="center"/>
    </w:pPr>
    <w:rPr>
      <w:i/>
      <w:iCs/>
      <w:color w:val="404040" w:themeColor="text1" w:themeTint="BF"/>
    </w:rPr>
  </w:style>
  <w:style w:type="character" w:customStyle="1" w:styleId="QuoteChar">
    <w:name w:val="Quote Char"/>
    <w:basedOn w:val="DefaultParagraphFont"/>
    <w:link w:val="Quote"/>
    <w:uiPriority w:val="29"/>
    <w:rsid w:val="00C25DE4"/>
    <w:rPr>
      <w:i/>
      <w:iCs/>
      <w:color w:val="404040" w:themeColor="text1" w:themeTint="BF"/>
    </w:rPr>
  </w:style>
  <w:style w:type="paragraph" w:styleId="ListParagraph">
    <w:name w:val="List Paragraph"/>
    <w:basedOn w:val="Normal"/>
    <w:uiPriority w:val="34"/>
    <w:qFormat/>
    <w:rsid w:val="00C25DE4"/>
    <w:pPr>
      <w:ind w:left="720"/>
      <w:contextualSpacing/>
    </w:pPr>
  </w:style>
  <w:style w:type="character" w:styleId="IntenseEmphasis">
    <w:name w:val="Intense Emphasis"/>
    <w:basedOn w:val="DefaultParagraphFont"/>
    <w:uiPriority w:val="21"/>
    <w:qFormat/>
    <w:rsid w:val="00C25DE4"/>
    <w:rPr>
      <w:i/>
      <w:iCs/>
      <w:color w:val="2F5496" w:themeColor="accent1" w:themeShade="BF"/>
    </w:rPr>
  </w:style>
  <w:style w:type="paragraph" w:styleId="IntenseQuote">
    <w:name w:val="Intense Quote"/>
    <w:basedOn w:val="Normal"/>
    <w:next w:val="Normal"/>
    <w:link w:val="IntenseQuoteChar"/>
    <w:uiPriority w:val="30"/>
    <w:qFormat/>
    <w:rsid w:val="00C25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DE4"/>
    <w:rPr>
      <w:i/>
      <w:iCs/>
      <w:color w:val="2F5496" w:themeColor="accent1" w:themeShade="BF"/>
    </w:rPr>
  </w:style>
  <w:style w:type="character" w:styleId="IntenseReference">
    <w:name w:val="Intense Reference"/>
    <w:basedOn w:val="DefaultParagraphFont"/>
    <w:uiPriority w:val="32"/>
    <w:qFormat/>
    <w:rsid w:val="00C25DE4"/>
    <w:rPr>
      <w:b/>
      <w:bCs/>
      <w:smallCaps/>
      <w:color w:val="2F5496" w:themeColor="accent1" w:themeShade="BF"/>
      <w:spacing w:val="5"/>
    </w:rPr>
  </w:style>
  <w:style w:type="character" w:styleId="Strong">
    <w:name w:val="Strong"/>
    <w:basedOn w:val="DefaultParagraphFont"/>
    <w:uiPriority w:val="22"/>
    <w:qFormat/>
    <w:rsid w:val="00C25DE4"/>
    <w:rPr>
      <w:b/>
      <w:bCs/>
    </w:rPr>
  </w:style>
  <w:style w:type="paragraph" w:styleId="NormalWeb">
    <w:name w:val="Normal (Web)"/>
    <w:basedOn w:val="Normal"/>
    <w:uiPriority w:val="99"/>
    <w:semiHidden/>
    <w:unhideWhenUsed/>
    <w:rsid w:val="00C25DE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5DE4"/>
    <w:rPr>
      <w:i/>
      <w:iCs/>
    </w:rPr>
  </w:style>
  <w:style w:type="character" w:styleId="Hyperlink">
    <w:name w:val="Hyperlink"/>
    <w:basedOn w:val="DefaultParagraphFont"/>
    <w:uiPriority w:val="99"/>
    <w:semiHidden/>
    <w:unhideWhenUsed/>
    <w:rsid w:val="00C25D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ptour.com" TargetMode="External"/><Relationship Id="rId5" Type="http://schemas.openxmlformats.org/officeDocument/2006/relationships/hyperlink" Target="https://www.lta.org.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1197</Words>
  <Characters>6829</Characters>
  <Application>Microsoft Office Word</Application>
  <DocSecurity>0</DocSecurity>
  <Lines>56</Lines>
  <Paragraphs>16</Paragraphs>
  <ScaleCrop>false</ScaleCrop>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Mustafa Ahmed</dc:creator>
  <cp:keywords/>
  <dc:description/>
  <cp:lastModifiedBy>Syed Mustafa Ahmed</cp:lastModifiedBy>
  <cp:revision>2</cp:revision>
  <dcterms:created xsi:type="dcterms:W3CDTF">2025-12-11T22:29:00Z</dcterms:created>
  <dcterms:modified xsi:type="dcterms:W3CDTF">2025-12-11T22:29:00Z</dcterms:modified>
</cp:coreProperties>
</file>