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Putra Azhar, Drew Suthipongchai, and Daniel Pryke.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GPEC 447: Data Science Approaches to Spatial Analysis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June 13,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From Trolley Stops to Walkable Blocks, Machine Learning Insights into San Diego’s Urban Fabric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Point of Reference for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Introduction and Question Answered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Background Literature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Python Packages Used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Data Sources</w:t>
      </w:r>
    </w:p>
    <w:p w:rsidR="00000000" w:rsidDel="00000000" w:rsidP="00000000" w:rsidRDefault="00000000" w:rsidRPr="00000000" w14:paraId="0000000C">
      <w:pPr>
        <w:spacing w:line="360" w:lineRule="auto"/>
        <w:ind w:left="360" w:firstLine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5.1 </w:t>
        <w:tab/>
        <w:t xml:space="preserve">Identifying Study Area with Network Analysis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(Pages 1 - 27)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rPr>
          <w:rFonts w:ascii="MS Mincho" w:cs="MS Mincho" w:eastAsia="MS Mincho" w:hAnsi="MS Mincho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5.1 </w:t>
        <w:tab/>
        <w:t xml:space="preserve">Identifying Study Area with Network Analysis (continued)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 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rPr>
          <w:rFonts w:ascii="MS Mincho" w:cs="MS Mincho" w:eastAsia="MS Mincho" w:hAnsi="MS Mincho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5.2</w:t>
        <w:tab/>
        <w:t xml:space="preserve">Imageries Scraping with Google API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 </w:t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5.3 </w:t>
        <w:tab/>
        <w:t xml:space="preserve">Applying Machine Learning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(Pages 72 - 81)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Obtaining Walkability Score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(Pages 161 - 165)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5.4 </w:t>
        <w:tab/>
        <w:t xml:space="preserve">Obtaining Walkability Score (continued)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(Pages 996 - 999)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MS Mincho" w:cs="MS Mincho" w:eastAsia="MS Mincho" w:hAnsi="MS Minch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MS Mincho" w:cs="MS Mincho" w:eastAsia="MS Mincho" w:hAnsi="MS Mincho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Obtaining Walkability Score (continued)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 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Interpolating Walkability Values for Unsampled Points</w:t>
      </w:r>
    </w:p>
    <w:p w:rsidR="00000000" w:rsidDel="00000000" w:rsidP="00000000" w:rsidRDefault="00000000" w:rsidRPr="00000000" w14:paraId="0000001C">
      <w:pPr>
        <w:spacing w:line="360" w:lineRule="auto"/>
        <w:ind w:left="0"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  <w:tab/>
        <w:t xml:space="preserve">Statistical Analysis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7. </w:t>
        <w:tab/>
        <w:t xml:space="preserve">Summary of Data Cleaning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8. </w:t>
        <w:tab/>
        <w:t xml:space="preserve">Summary of Product: Adjusted Cost-Distance Map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9. </w:t>
        <w:tab/>
        <w:t xml:space="preserve">Discussion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10. </w:t>
        <w:tab/>
        <w:t xml:space="preserve">Conclusion and Future Work</w:t>
      </w:r>
    </w:p>
    <w:p w:rsidR="00000000" w:rsidDel="00000000" w:rsidP="00000000" w:rsidRDefault="00000000" w:rsidRPr="00000000" w14:paraId="00000021">
      <w:pPr>
        <w:spacing w:line="360" w:lineRule="auto"/>
        <w:jc w:val="righ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(Pages 1,086 - 1,106)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S Mincho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