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Freight Rate Prediction</w:t>
        <w:br/>
        <w:t>Technical Report</w:t>
      </w:r>
    </w:p>
    <w:p/>
    <w:p>
      <w:pPr>
        <w:jc w:val="center"/>
      </w:pPr>
      <w:r>
        <w:rPr>
          <w:color w:val="52606D"/>
          <w:sz w:val="26"/>
        </w:rPr>
        <w:t>Spotter ML Engineer Assessment</w:t>
      </w:r>
    </w:p>
    <w:p>
      <w:pPr>
        <w:jc w:val="center"/>
      </w:pPr>
      <w:r>
        <w:rPr>
          <w:color w:val="78828C"/>
          <w:sz w:val="22"/>
        </w:rPr>
        <w:t>August 18,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Overview</w:t>
      </w:r>
    </w:p>
    <w:p>
      <w:r>
        <w:t>This report documents the modeling approach used to predict freight load rates from operational and market features. The solution was trained on labeled historical loads and evaluated using a forward-looking holdout before generating the required submission predictions.</w:t>
      </w:r>
    </w:p>
    <w:p>
      <w:pPr>
        <w:pStyle w:val="Heading2"/>
      </w:pPr>
      <w:r>
        <w:rPr>
          <w:color w:val="1F4E79"/>
        </w:rPr>
        <w:t>2. Data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Date range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train_test.csv</w:t>
            </w:r>
          </w:p>
        </w:tc>
        <w:tc>
          <w:tcPr>
            <w:tcW w:type="dxa" w:w="2160"/>
          </w:tcPr>
          <w:p>
            <w:r>
              <w:t>48,000</w:t>
            </w:r>
          </w:p>
        </w:tc>
        <w:tc>
          <w:tcPr>
            <w:tcW w:type="dxa" w:w="2160"/>
          </w:tcPr>
          <w:p>
            <w:r>
              <w:t>Jan 2025 – Oct 2025</w:t>
            </w:r>
          </w:p>
        </w:tc>
        <w:tc>
          <w:tcPr>
            <w:tcW w:type="dxa" w:w="2160"/>
          </w:tcPr>
          <w:p>
            <w:r>
              <w:t>Model development with posted_rate</w:t>
            </w:r>
          </w:p>
        </w:tc>
      </w:tr>
      <w:tr>
        <w:tc>
          <w:tcPr>
            <w:tcW w:type="dxa" w:w="2160"/>
          </w:tcPr>
          <w:p>
            <w:r>
              <w:t>validation.csv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Nov 2025 – Dec 2025</w:t>
            </w:r>
          </w:p>
        </w:tc>
        <w:tc>
          <w:tcPr>
            <w:tcW w:type="dxa" w:w="2160"/>
          </w:tcPr>
          <w:p>
            <w:r>
              <w:t>Final prediction set (labels hidden)</w:t>
            </w:r>
          </w:p>
        </w:tc>
      </w:tr>
      <w:tr>
        <w:tc>
          <w:tcPr>
            <w:tcW w:type="dxa" w:w="2160"/>
          </w:tcPr>
          <w:p>
            <w:r>
              <w:t>december_chart_inputs.csv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Dec 2025</w:t>
            </w:r>
          </w:p>
        </w:tc>
        <w:tc>
          <w:tcPr>
            <w:tcW w:type="dxa" w:w="2160"/>
          </w:tcPr>
          <w:p>
            <w:r>
              <w:t>Fixed-lane daily forecast scenario</w:t>
            </w:r>
          </w:p>
        </w:tc>
      </w:tr>
    </w:tbl>
    <w:p/>
    <w:p>
      <w:pPr>
        <w:pStyle w:val="Heading1"/>
      </w:pPr>
      <w:r>
        <w:rPr>
          <w:color w:val="1F4E79"/>
        </w:rPr>
        <w:t>3. Train / Validation Split Approach</w:t>
      </w:r>
    </w:p>
    <w:p>
      <w:r>
        <w:t>The labeled development file spans January through October 2025. Because the final prediction set begins in November, a random split would not reflect how the model would be used in practice. I therefore used a chronological split: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Partition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2025-01-01 to 2025-09-30</w:t>
            </w:r>
          </w:p>
        </w:tc>
        <w:tc>
          <w:tcPr>
            <w:tcW w:type="dxa" w:w="2160"/>
          </w:tcPr>
          <w:p>
            <w:r>
              <w:t>43,147</w:t>
            </w:r>
          </w:p>
        </w:tc>
        <w:tc>
          <w:tcPr>
            <w:tcW w:type="dxa" w:w="2160"/>
          </w:tcPr>
          <w:p>
            <w:r>
              <w:t>Fit the model</w:t>
            </w:r>
          </w:p>
        </w:tc>
      </w:tr>
      <w:tr>
        <w:tc>
          <w:tcPr>
            <w:tcW w:type="dxa" w:w="2160"/>
          </w:tcPr>
          <w:p>
            <w:r>
              <w:t>Holdout validation</w:t>
            </w:r>
          </w:p>
        </w:tc>
        <w:tc>
          <w:tcPr>
            <w:tcW w:type="dxa" w:w="2160"/>
          </w:tcPr>
          <w:p>
            <w:r>
              <w:t>2025-10-01 to 2025-10-31</w:t>
            </w:r>
          </w:p>
        </w:tc>
        <w:tc>
          <w:tcPr>
            <w:tcW w:type="dxa" w:w="2160"/>
          </w:tcPr>
          <w:p>
            <w:r>
              <w:t>4,853</w:t>
            </w:r>
          </w:p>
        </w:tc>
        <w:tc>
          <w:tcPr>
            <w:tcW w:type="dxa" w:w="2160"/>
          </w:tcPr>
          <w:p>
            <w:r>
              <w:t>Estimate out-of-time performance</w:t>
            </w:r>
          </w:p>
        </w:tc>
      </w:tr>
    </w:tbl>
    <w:p/>
    <w:p>
      <w:r>
        <w:t>October 2025 was held out as a proxy for the unseen submission period. This avoids temporal leakage, keeps recent market conditions in the validation window, and provides a realistic estimate of error before predicting the 12,000 submission loads.</w:t>
      </w:r>
    </w:p>
    <w:p>
      <w:r>
        <w:t>No rows from validation.csv were used during model selection. That file was reserved exclusively for the final prediction output.</w:t>
      </w:r>
    </w:p>
    <w:p>
      <w:pPr>
        <w:pStyle w:val="Heading2"/>
      </w:pPr>
      <w:r>
        <w:rPr>
          <w:color w:val="1F4E79"/>
        </w:rPr>
        <w:t>4. Holdout Results (October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$129.76</w:t>
            </w:r>
          </w:p>
        </w:tc>
        <w:tc>
          <w:tcPr>
            <w:tcW w:type="dxa" w:w="2880"/>
          </w:tcPr>
          <w:p>
            <w:r>
              <w:t>Average absolute dollar error</w:t>
            </w:r>
          </w:p>
        </w:tc>
      </w:tr>
      <w:tr>
        <w:tc>
          <w:tcPr>
            <w:tcW w:type="dxa" w:w="2880"/>
          </w:tcPr>
          <w:p>
            <w:r>
              <w:t>Median AE</w:t>
            </w:r>
          </w:p>
        </w:tc>
        <w:tc>
          <w:tcPr>
            <w:tcW w:type="dxa" w:w="2880"/>
          </w:tcPr>
          <w:p>
            <w:r>
              <w:t>$43.20</w:t>
            </w:r>
          </w:p>
        </w:tc>
        <w:tc>
          <w:tcPr>
            <w:tcW w:type="dxa" w:w="2880"/>
          </w:tcPr>
          <w:p>
            <w:r>
              <w:t>Typical error for most loads</w:t>
            </w:r>
          </w:p>
        </w:tc>
      </w:tr>
      <w:tr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$652.37</w:t>
            </w:r>
          </w:p>
        </w:tc>
        <w:tc>
          <w:tcPr>
            <w:tcW w:type="dxa" w:w="2880"/>
          </w:tcPr>
          <w:p>
            <w:r>
              <w:t>Penalizes larger misses more heavily</w:t>
            </w:r>
          </w:p>
        </w:tc>
      </w:tr>
      <w:tr>
        <w:tc>
          <w:tcPr>
            <w:tcW w:type="dxa" w:w="2880"/>
          </w:tcPr>
          <w:p>
            <w:r>
              <w:t>MAPE</w:t>
            </w:r>
          </w:p>
        </w:tc>
        <w:tc>
          <w:tcPr>
            <w:tcW w:type="dxa" w:w="2880"/>
          </w:tcPr>
          <w:p>
            <w:r>
              <w:t>6.23%</w:t>
            </w:r>
          </w:p>
        </w:tc>
        <w:tc>
          <w:tcPr>
            <w:tcW w:type="dxa" w:w="2880"/>
          </w:tcPr>
          <w:p>
            <w:r>
              <w:t>Average percentage error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0.818</w:t>
            </w:r>
          </w:p>
        </w:tc>
        <w:tc>
          <w:tcPr>
            <w:tcW w:type="dxa" w:w="2880"/>
          </w:tcPr>
          <w:p>
            <w:r>
              <w:t>Share of variance explained</w:t>
            </w:r>
          </w:p>
        </w:tc>
      </w:tr>
      <w:tr>
        <w:tc>
          <w:tcPr>
            <w:tcW w:type="dxa" w:w="2880"/>
          </w:tcPr>
          <w:p>
            <w:r>
              <w:t>Mean actual rate</w:t>
            </w:r>
          </w:p>
        </w:tc>
        <w:tc>
          <w:tcPr>
            <w:tcW w:type="dxa" w:w="2880"/>
          </w:tcPr>
          <w:p>
            <w:r>
              <w:t>$2,379.05</w:t>
            </w:r>
          </w:p>
        </w:tc>
        <w:tc>
          <w:tcPr>
            <w:tcW w:type="dxa" w:w="2880"/>
          </w:tcPr>
          <w:p>
            <w:r>
              <w:t>Context for dollar errors</w:t>
            </w:r>
          </w:p>
        </w:tc>
      </w:tr>
    </w:tbl>
    <w:p/>
    <w:p>
      <w:r>
        <w:t>The model performs strongly on typical loads, with a median absolute error of $43.20 against a mean October rate of $2,379.05. The higher RMSE indicates a smaller set of larger misses, which is common in freight rate data where long-haul and specialty equipment loads have wider rate dispersion.</w:t>
      </w:r>
    </w:p>
    <w:p>
      <w:pPr>
        <w:pStyle w:val="Heading1"/>
      </w:pPr>
      <w:r>
        <w:rPr>
          <w:color w:val="1F4E79"/>
        </w:rPr>
        <w:t>5. December Fixed-Lane Forecast</w:t>
      </w:r>
    </w:p>
    <w:p>
      <w:r>
        <w:t>The assessment also requires daily predictions for a fixed scenario: Lexington to Fort Wayne, 360 miles, Dry Van, 32,000 lb. Only the calendar date changes across the 31 December rows. City coordinates were mapped from training-data medians, and daily market_index / quote_signal values were taken from December medians in the validation feature set so the forecast reflects date-level market movement.</w:t>
      </w:r>
    </w:p>
    <w:p>
      <w:r>
        <w:t>The chart below was generated from the completed december_chart_inputs.csv file after running the project prediction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95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5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E78"/>
          <w:sz w:val="18"/>
        </w:rPr>
        <w:t>Figure 1. December 2025 predicted rate trend for the fixed assessment lane.</w:t>
      </w:r>
    </w:p>
    <w:p>
      <w:pPr>
        <w:pStyle w:val="Heading2"/>
      </w:pPr>
      <w:r>
        <w:rPr>
          <w:color w:val="1F4E79"/>
        </w:rPr>
        <w:t>6. Reproducibility</w:t>
      </w:r>
    </w:p>
    <w:p>
      <w:r>
        <w:t>From the project root:</w:t>
        <w:br/>
        <w:t>python src/train_model.py</w:t>
        <w:br/>
        <w:t>python src/predict.py</w:t>
        <w:br/>
        <w:t>python generate_december_chart.py</w:t>
        <w:br/>
        <w:t>python score.py --predictions validation_predictions.csv --december-predictions data/december_chart_inputs.csv</w:t>
        <w:br/>
        <w:t>python generate_report_docx.py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