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80FB9">
      <w:pPr>
        <w:spacing w:before="1440" w:after="120"/>
        <w:jc w:val="center"/>
      </w:pPr>
      <w:r>
        <w:rPr>
          <w:rFonts w:ascii="Calibri" w:hAnsi="Calibri" w:eastAsia="Calibri" w:cs="Calibri"/>
          <w:b/>
          <w:bCs/>
          <w:caps/>
          <w:color w:val="999999"/>
          <w:sz w:val="20"/>
          <w:szCs w:val="20"/>
        </w:rPr>
        <w:t>PROJECT REPORT</w:t>
      </w:r>
    </w:p>
    <w:p w14:paraId="117DC1EE">
      <w:pPr>
        <w:spacing w:before="0" w:after="200"/>
        <w:jc w:val="center"/>
      </w:pPr>
      <w:r>
        <w:rPr>
          <w:rFonts w:ascii="Georgia" w:hAnsi="Georgia" w:eastAsia="Georgia" w:cs="Georgia"/>
          <w:b/>
          <w:bCs/>
          <w:color w:val="1A1A2E"/>
          <w:sz w:val="60"/>
          <w:szCs w:val="60"/>
        </w:rPr>
        <w:t>AI Gold Price Predictor</w:t>
      </w:r>
    </w:p>
    <w:p w14:paraId="6BFC1904">
      <w:pPr>
        <w:spacing w:before="0" w:after="600"/>
        <w:jc w:val="center"/>
      </w:pPr>
      <w:r>
        <w:rPr>
          <w:rFonts w:ascii="Calibri" w:hAnsi="Calibri" w:eastAsia="Calibri" w:cs="Calibri"/>
          <w:i/>
          <w:iCs/>
          <w:color w:val="B8860B"/>
          <w:sz w:val="28"/>
          <w:szCs w:val="28"/>
        </w:rPr>
        <w:t>Gold Prize Predictor</w:t>
      </w:r>
    </w:p>
    <w:p w14:paraId="5E341EA9">
      <w:pPr>
        <w:pBdr>
          <w:top w:val="single" w:color="B8860B" w:sz="2" w:space="0"/>
          <w:bottom w:val="single" w:color="B8860B" w:sz="2" w:space="0"/>
        </w:pBdr>
        <w:spacing w:before="0" w:after="600"/>
        <w:jc w:val="center"/>
      </w:pPr>
    </w:p>
    <w:p w14:paraId="728F8D33">
      <w:pPr>
        <w:spacing w:before="0" w:after="120"/>
        <w:jc w:val="center"/>
      </w:pPr>
      <w:r>
        <w:rPr>
          <w:rFonts w:ascii="Calibri" w:hAnsi="Calibri" w:eastAsia="Calibri" w:cs="Calibri"/>
          <w:i/>
          <w:iCs/>
          <w:color w:val="777777"/>
          <w:sz w:val="22"/>
          <w:szCs w:val="22"/>
        </w:rPr>
        <w:t>Submitted By</w:t>
      </w:r>
    </w:p>
    <w:p w14:paraId="6A7D1DDB">
      <w:pPr>
        <w:spacing w:before="0" w:after="80"/>
        <w:jc w:val="center"/>
      </w:pPr>
      <w:r>
        <w:rPr>
          <w:rFonts w:ascii="Georgia" w:hAnsi="Georgia" w:eastAsia="Georgia" w:cs="Georgia"/>
          <w:b/>
          <w:bCs/>
          <w:color w:val="1A1A2E"/>
          <w:sz w:val="30"/>
          <w:szCs w:val="30"/>
        </w:rPr>
        <w:t>Fazeel Muhammad</w:t>
      </w:r>
    </w:p>
    <w:p w14:paraId="555FAC51">
      <w:pPr>
        <w:spacing w:before="0" w:after="400"/>
        <w:jc w:val="center"/>
      </w:pPr>
      <w:r>
        <w:rPr>
          <w:rFonts w:ascii="Georgia" w:hAnsi="Georgia" w:eastAsia="Georgia" w:cs="Georgia"/>
          <w:b/>
          <w:bCs/>
          <w:color w:val="1A1A2E"/>
          <w:sz w:val="30"/>
          <w:szCs w:val="30"/>
        </w:rPr>
        <w:t>Muhammad Salman</w:t>
      </w:r>
    </w:p>
    <w:p w14:paraId="72919DBE">
      <w:pPr>
        <w:spacing w:before="0" w:after="120"/>
        <w:jc w:val="center"/>
      </w:pPr>
      <w:r>
        <w:rPr>
          <w:rFonts w:ascii="Calibri" w:hAnsi="Calibri" w:eastAsia="Calibri" w:cs="Calibri"/>
          <w:i/>
          <w:iCs/>
          <w:color w:val="777777"/>
          <w:sz w:val="22"/>
          <w:szCs w:val="22"/>
        </w:rPr>
        <w:t>Instructor</w:t>
      </w:r>
    </w:p>
    <w:p w14:paraId="127AE8B7">
      <w:pPr>
        <w:spacing w:before="0" w:after="600"/>
        <w:jc w:val="center"/>
      </w:pPr>
      <w:r>
        <w:rPr>
          <w:rFonts w:ascii="Georgia" w:hAnsi="Georgia" w:eastAsia="Georgia" w:cs="Georgia"/>
          <w:b/>
          <w:bCs/>
          <w:color w:val="16213E"/>
          <w:sz w:val="28"/>
          <w:szCs w:val="28"/>
        </w:rPr>
        <w:t>Atif Luqman</w:t>
      </w:r>
    </w:p>
    <w:p w14:paraId="0EFFAA1D">
      <w:pPr>
        <w:spacing w:before="0" w:after="0"/>
        <w:jc w:val="center"/>
        <w:rPr>
          <w:rFonts w:hint="default"/>
          <w:lang w:val="en-US"/>
        </w:rPr>
      </w:pPr>
      <w:r>
        <w:rPr>
          <w:rFonts w:ascii="Calibri" w:hAnsi="Calibri" w:eastAsia="Calibri" w:cs="Calibri"/>
          <w:color w:val="999999"/>
          <w:sz w:val="20"/>
          <w:szCs w:val="20"/>
        </w:rPr>
        <w:t>Artificial Intelligence Project   |</w:t>
      </w:r>
      <w:r>
        <w:rPr>
          <w:rFonts w:hint="default" w:cs="Calibri"/>
          <w:color w:val="999999"/>
          <w:sz w:val="20"/>
          <w:szCs w:val="20"/>
          <w:lang w:val="en-US"/>
        </w:rPr>
        <w:t xml:space="preserve"> </w:t>
      </w:r>
      <w:r>
        <w:rPr>
          <w:rFonts w:ascii="Calibri" w:hAnsi="Calibri" w:eastAsia="Calibri" w:cs="Calibri"/>
          <w:color w:val="999999"/>
          <w:sz w:val="20"/>
          <w:szCs w:val="20"/>
        </w:rPr>
        <w:t xml:space="preserve">  202</w:t>
      </w:r>
      <w:r>
        <w:rPr>
          <w:rFonts w:hint="default" w:cs="Calibri"/>
          <w:color w:val="999999"/>
          <w:sz w:val="20"/>
          <w:szCs w:val="20"/>
          <w:lang w:val="en-US"/>
        </w:rPr>
        <w:t>6</w:t>
      </w:r>
    </w:p>
    <w:p w14:paraId="21CE8077">
      <w:r>
        <w:br w:type="page"/>
      </w:r>
    </w:p>
    <w:p w14:paraId="1C206BB9">
      <w:pPr>
        <w:pBdr>
          <w:bottom w:val="single" w:color="B8860B" w:sz="6" w:space="6"/>
        </w:pBdr>
        <w:spacing w:before="400" w:after="200"/>
      </w:pPr>
      <w:r>
        <w:rPr>
          <w:rFonts w:ascii="Georgia" w:hAnsi="Georgia" w:eastAsia="Georgia" w:cs="Georgia"/>
          <w:b/>
          <w:bCs/>
          <w:color w:val="1A1A2E"/>
          <w:sz w:val="36"/>
          <w:szCs w:val="36"/>
        </w:rPr>
        <w:t>1. Executive Summary</w:t>
      </w:r>
    </w:p>
    <w:p w14:paraId="074A0BEA">
      <w:pPr>
        <w:spacing w:before="80" w:after="80"/>
        <w:jc w:val="both"/>
      </w:pPr>
      <w:r>
        <w:rPr>
          <w:rFonts w:ascii="Calibri" w:hAnsi="Calibri" w:eastAsia="Calibri" w:cs="Calibri"/>
          <w:color w:val="333333"/>
          <w:sz w:val="22"/>
          <w:szCs w:val="22"/>
        </w:rPr>
        <w:t>The AI Gold Price Predictor is a machine learning–based system designed to forecast gold prices in both USD and PKR (Pakistani Rupee) for the period 2025–2028. By leveraging a decade of historical market data (2014–2024) and combining multiple economic indicators, the system builds predictive models using Linear Regression and Random Forest algorithms.</w:t>
      </w:r>
    </w:p>
    <w:p w14:paraId="1163034D">
      <w:pPr>
        <w:spacing w:before="60"/>
      </w:pPr>
    </w:p>
    <w:p w14:paraId="48D13889">
      <w:pPr>
        <w:spacing w:before="80" w:after="80"/>
        <w:jc w:val="both"/>
      </w:pPr>
      <w:r>
        <w:rPr>
          <w:rFonts w:ascii="Calibri" w:hAnsi="Calibri" w:eastAsia="Calibri" w:cs="Calibri"/>
          <w:color w:val="333333"/>
          <w:sz w:val="22"/>
          <w:szCs w:val="22"/>
        </w:rPr>
        <w:t>The best-performing model — Linear Regression — achieved an R² score of 0.9796, meaning it explains approximately 98% of the variance in gold price movements. Key predictions indicate gold prices will gradually rise from approximately $2,700/oz (PKR 750,000/oz) in early 2025 to approximately $2,750/oz (PKR 860,000/oz) by end of 2028.</w:t>
      </w:r>
    </w:p>
    <w:p w14:paraId="74387C31">
      <w:pPr>
        <w:spacing w:before="120"/>
      </w:pPr>
    </w:p>
    <w:p w14:paraId="60C957D8">
      <w:pPr>
        <w:pBdr>
          <w:bottom w:val="single" w:color="B8860B" w:sz="6" w:space="6"/>
        </w:pBdr>
        <w:spacing w:before="400" w:after="200"/>
      </w:pPr>
      <w:r>
        <w:rPr>
          <w:rFonts w:ascii="Georgia" w:hAnsi="Georgia" w:eastAsia="Georgia" w:cs="Georgia"/>
          <w:b/>
          <w:bCs/>
          <w:color w:val="1A1A2E"/>
          <w:sz w:val="36"/>
          <w:szCs w:val="36"/>
        </w:rPr>
        <w:t>2. Introduction</w:t>
      </w:r>
    </w:p>
    <w:p w14:paraId="109087CE">
      <w:pPr>
        <w:spacing w:before="300" w:after="120"/>
      </w:pPr>
      <w:r>
        <w:rPr>
          <w:rFonts w:ascii="Calibri" w:hAnsi="Calibri" w:eastAsia="Calibri" w:cs="Calibri"/>
          <w:b/>
          <w:bCs/>
          <w:color w:val="16213E"/>
          <w:sz w:val="26"/>
          <w:szCs w:val="26"/>
        </w:rPr>
        <w:t>2.1 Background</w:t>
      </w:r>
    </w:p>
    <w:p w14:paraId="776B41CB">
      <w:pPr>
        <w:spacing w:before="80" w:after="80"/>
        <w:jc w:val="both"/>
      </w:pPr>
      <w:r>
        <w:rPr>
          <w:rFonts w:ascii="Calibri" w:hAnsi="Calibri" w:eastAsia="Calibri" w:cs="Calibri"/>
          <w:color w:val="333333"/>
          <w:sz w:val="22"/>
          <w:szCs w:val="22"/>
        </w:rPr>
        <w:t>Gold has historically served as a safe-haven asset and inflation hedge. In Pakistan, gold pricing is doubly complex — it is influenced by both global USD-denominated prices and the fluctuating USD/PKR exchange rate. As the PKR has depreciated significantly since 2018 (from ~100 PKR/USD to ~280 PKR/USD), the local gold price has surged far faster than global USD prices.</w:t>
      </w:r>
    </w:p>
    <w:p w14:paraId="69CC7611">
      <w:pPr>
        <w:spacing w:before="60"/>
      </w:pPr>
    </w:p>
    <w:p w14:paraId="198A2FF5">
      <w:pPr>
        <w:spacing w:before="300" w:after="120"/>
      </w:pPr>
      <w:r>
        <w:rPr>
          <w:rFonts w:ascii="Calibri" w:hAnsi="Calibri" w:eastAsia="Calibri" w:cs="Calibri"/>
          <w:b/>
          <w:bCs/>
          <w:color w:val="16213E"/>
          <w:sz w:val="26"/>
          <w:szCs w:val="26"/>
        </w:rPr>
        <w:t>2.2 Project Objectives</w:t>
      </w:r>
    </w:p>
    <w:p w14:paraId="53AA30AD">
      <w:pPr>
        <w:pStyle w:val="16"/>
        <w:numPr>
          <w:ilvl w:val="0"/>
          <w:numId w:val="1"/>
        </w:numPr>
        <w:spacing w:before="60" w:after="60"/>
      </w:pPr>
      <w:r>
        <w:rPr>
          <w:rFonts w:ascii="Calibri" w:hAnsi="Calibri" w:eastAsia="Calibri" w:cs="Calibri"/>
          <w:color w:val="333333"/>
          <w:sz w:val="22"/>
          <w:szCs w:val="22"/>
        </w:rPr>
        <w:t>Collect and store historical gold price data (USD and PKR) in a structured SQLite database</w:t>
      </w:r>
    </w:p>
    <w:p w14:paraId="138EDAE5">
      <w:pPr>
        <w:pStyle w:val="16"/>
        <w:numPr>
          <w:ilvl w:val="0"/>
          <w:numId w:val="1"/>
        </w:numPr>
        <w:spacing w:before="60" w:after="60"/>
      </w:pPr>
      <w:r>
        <w:rPr>
          <w:rFonts w:ascii="Calibri" w:hAnsi="Calibri" w:eastAsia="Calibri" w:cs="Calibri"/>
          <w:color w:val="333333"/>
          <w:sz w:val="22"/>
          <w:szCs w:val="22"/>
        </w:rPr>
        <w:t>Perform exploratory data analysis (EDA) on 10 years of monthly market data (2014–2024)</w:t>
      </w:r>
    </w:p>
    <w:p w14:paraId="00CFBF65">
      <w:pPr>
        <w:pStyle w:val="16"/>
        <w:numPr>
          <w:ilvl w:val="0"/>
          <w:numId w:val="1"/>
        </w:numPr>
        <w:spacing w:before="60" w:after="60"/>
      </w:pPr>
      <w:r>
        <w:rPr>
          <w:rFonts w:ascii="Calibri" w:hAnsi="Calibri" w:eastAsia="Calibri" w:cs="Calibri"/>
          <w:color w:val="333333"/>
          <w:sz w:val="22"/>
          <w:szCs w:val="22"/>
        </w:rPr>
        <w:t>Engineer meaningful features including lagged prices, rolling averages, and currency indicators</w:t>
      </w:r>
    </w:p>
    <w:p w14:paraId="563852BE">
      <w:pPr>
        <w:pStyle w:val="16"/>
        <w:numPr>
          <w:ilvl w:val="0"/>
          <w:numId w:val="1"/>
        </w:numPr>
        <w:spacing w:before="60" w:after="60"/>
      </w:pPr>
      <w:r>
        <w:rPr>
          <w:rFonts w:ascii="Calibri" w:hAnsi="Calibri" w:eastAsia="Calibri" w:cs="Calibri"/>
          <w:color w:val="333333"/>
          <w:sz w:val="22"/>
          <w:szCs w:val="22"/>
        </w:rPr>
        <w:t>Train and evaluate machine learning models (Linear Regression &amp; Random Forest)</w:t>
      </w:r>
    </w:p>
    <w:p w14:paraId="1D22D921">
      <w:pPr>
        <w:pStyle w:val="16"/>
        <w:numPr>
          <w:ilvl w:val="0"/>
          <w:numId w:val="1"/>
        </w:numPr>
        <w:spacing w:before="60" w:after="60"/>
      </w:pPr>
      <w:r>
        <w:rPr>
          <w:rFonts w:ascii="Calibri" w:hAnsi="Calibri" w:eastAsia="Calibri" w:cs="Calibri"/>
          <w:color w:val="333333"/>
          <w:sz w:val="22"/>
          <w:szCs w:val="22"/>
        </w:rPr>
        <w:t>Generate monthly price forecasts for 2025–2028 with confidence intervals</w:t>
      </w:r>
    </w:p>
    <w:p w14:paraId="78B95D88">
      <w:pPr>
        <w:pStyle w:val="16"/>
        <w:numPr>
          <w:ilvl w:val="0"/>
          <w:numId w:val="1"/>
        </w:numPr>
        <w:spacing w:before="60" w:after="60"/>
      </w:pPr>
      <w:r>
        <w:rPr>
          <w:rFonts w:ascii="Calibri" w:hAnsi="Calibri" w:eastAsia="Calibri" w:cs="Calibri"/>
          <w:color w:val="333333"/>
          <w:sz w:val="22"/>
          <w:szCs w:val="22"/>
        </w:rPr>
        <w:t>Persist all predictions in the database for downstream use</w:t>
      </w:r>
    </w:p>
    <w:p w14:paraId="0236D4A7">
      <w:pPr>
        <w:spacing w:before="60"/>
      </w:pPr>
    </w:p>
    <w:p w14:paraId="50B9CBF8">
      <w:pPr>
        <w:spacing w:before="300" w:after="120"/>
      </w:pPr>
      <w:r>
        <w:rPr>
          <w:rFonts w:ascii="Calibri" w:hAnsi="Calibri" w:eastAsia="Calibri" w:cs="Calibri"/>
          <w:b/>
          <w:bCs/>
          <w:color w:val="16213E"/>
          <w:sz w:val="26"/>
          <w:szCs w:val="26"/>
        </w:rPr>
        <w:t>2.3 Scope</w:t>
      </w:r>
    </w:p>
    <w:p w14:paraId="7A48BF0D">
      <w:pPr>
        <w:spacing w:before="80" w:after="80"/>
        <w:jc w:val="both"/>
      </w:pPr>
      <w:r>
        <w:rPr>
          <w:rFonts w:ascii="Calibri" w:hAnsi="Calibri" w:eastAsia="Calibri" w:cs="Calibri"/>
          <w:color w:val="333333"/>
          <w:sz w:val="22"/>
          <w:szCs w:val="22"/>
        </w:rPr>
        <w:t>This project covers monthly gold price data from January 2014 to December 2024. Forecasts extend to December 2028. The system predicts prices in both USD/oz and PKR/oz, accounting for projected PKR depreciation of approximately 0.85 PKR/USD per month.</w:t>
      </w:r>
    </w:p>
    <w:p w14:paraId="1EB6EC2D">
      <w:pPr>
        <w:spacing w:before="120"/>
      </w:pPr>
    </w:p>
    <w:p w14:paraId="5FFBE44F">
      <w:pPr>
        <w:pBdr>
          <w:bottom w:val="single" w:color="B8860B" w:sz="6" w:space="6"/>
        </w:pBdr>
        <w:spacing w:before="400" w:after="200"/>
      </w:pPr>
      <w:r>
        <w:rPr>
          <w:rFonts w:ascii="Georgia" w:hAnsi="Georgia" w:eastAsia="Georgia" w:cs="Georgia"/>
          <w:b/>
          <w:bCs/>
          <w:color w:val="1A1A2E"/>
          <w:sz w:val="36"/>
          <w:szCs w:val="36"/>
        </w:rPr>
        <w:t>3. Data Collection &amp; Database Design</w:t>
      </w:r>
    </w:p>
    <w:p w14:paraId="76D9FCC2">
      <w:pPr>
        <w:spacing w:before="300" w:after="120"/>
      </w:pPr>
      <w:r>
        <w:rPr>
          <w:rFonts w:ascii="Calibri" w:hAnsi="Calibri" w:eastAsia="Calibri" w:cs="Calibri"/>
          <w:b/>
          <w:bCs/>
          <w:color w:val="16213E"/>
          <w:sz w:val="26"/>
          <w:szCs w:val="26"/>
        </w:rPr>
        <w:t>3.1 Data Sources</w:t>
      </w:r>
    </w:p>
    <w:p w14:paraId="1349AE75">
      <w:pPr>
        <w:spacing w:before="80" w:after="80"/>
        <w:jc w:val="both"/>
      </w:pPr>
      <w:r>
        <w:rPr>
          <w:rFonts w:ascii="Calibri" w:hAnsi="Calibri" w:eastAsia="Calibri" w:cs="Calibri"/>
          <w:color w:val="333333"/>
          <w:sz w:val="22"/>
          <w:szCs w:val="22"/>
        </w:rPr>
        <w:t>Data was stored in a local SQLite database (gold_predictor.db) with two primary tables:</w:t>
      </w:r>
    </w:p>
    <w:p w14:paraId="4DB4AFAF">
      <w:pPr>
        <w:pStyle w:val="16"/>
        <w:numPr>
          <w:ilvl w:val="0"/>
          <w:numId w:val="1"/>
        </w:numPr>
        <w:spacing w:before="60" w:after="60"/>
      </w:pPr>
      <w:r>
        <w:rPr>
          <w:rFonts w:ascii="Calibri" w:hAnsi="Calibri" w:eastAsia="Calibri" w:cs="Calibri"/>
          <w:color w:val="333333"/>
          <w:sz w:val="22"/>
          <w:szCs w:val="22"/>
        </w:rPr>
        <w:t>Gold_Prices — monthly gold prices in USD/oz and computed PKR/oz equivalent</w:t>
      </w:r>
    </w:p>
    <w:p w14:paraId="4CC6B00D">
      <w:pPr>
        <w:pStyle w:val="16"/>
        <w:numPr>
          <w:ilvl w:val="0"/>
          <w:numId w:val="1"/>
        </w:numPr>
        <w:spacing w:before="60" w:after="60"/>
      </w:pPr>
      <w:r>
        <w:rPr>
          <w:rFonts w:ascii="Calibri" w:hAnsi="Calibri" w:eastAsia="Calibri" w:cs="Calibri"/>
          <w:color w:val="333333"/>
          <w:sz w:val="22"/>
          <w:szCs w:val="22"/>
        </w:rPr>
        <w:t>Market_Indicators — S&amp;P 500 index values and USD/PKR exchange rates</w:t>
      </w:r>
    </w:p>
    <w:p w14:paraId="17EB4947">
      <w:pPr>
        <w:spacing w:before="60"/>
      </w:pPr>
    </w:p>
    <w:p w14:paraId="4A25847D">
      <w:pPr>
        <w:spacing w:before="300" w:after="120"/>
      </w:pPr>
      <w:r>
        <w:rPr>
          <w:rFonts w:ascii="Calibri" w:hAnsi="Calibri" w:eastAsia="Calibri" w:cs="Calibri"/>
          <w:b/>
          <w:bCs/>
          <w:color w:val="16213E"/>
          <w:sz w:val="26"/>
          <w:szCs w:val="26"/>
        </w:rPr>
        <w:t>3.2 Historical Overview (2014–2024)</w:t>
      </w:r>
    </w:p>
    <w:p w14:paraId="024E19D9">
      <w:pPr>
        <w:spacing w:before="80" w:after="80"/>
        <w:jc w:val="both"/>
      </w:pPr>
      <w:r>
        <w:rPr>
          <w:rFonts w:ascii="Calibri" w:hAnsi="Calibri" w:eastAsia="Calibri" w:cs="Calibri"/>
          <w:color w:val="333333"/>
          <w:sz w:val="22"/>
          <w:szCs w:val="22"/>
        </w:rPr>
        <w:t>The three charts below illustrate the historical trends across a decade of data used to train the models:</w:t>
      </w:r>
    </w:p>
    <w:p w14:paraId="0AA45991">
      <w:pPr>
        <w:spacing w:before="60"/>
      </w:pPr>
    </w:p>
    <w:p w14:paraId="0F7ED64E">
      <w:pPr>
        <w:spacing w:before="160" w:after="60"/>
        <w:jc w:val="center"/>
      </w:pPr>
      <w:r>
        <w:drawing>
          <wp:inline distT="0" distB="0" distL="0" distR="0">
            <wp:extent cx="619125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191250" cy="4572000"/>
                    </a:xfrm>
                    <a:prstGeom prst="rect">
                      <a:avLst/>
                    </a:prstGeom>
                  </pic:spPr>
                </pic:pic>
              </a:graphicData>
            </a:graphic>
          </wp:inline>
        </w:drawing>
      </w:r>
    </w:p>
    <w:p w14:paraId="26D3EC93">
      <w:pPr>
        <w:spacing w:before="40" w:after="160"/>
        <w:jc w:val="center"/>
      </w:pPr>
      <w:r>
        <w:rPr>
          <w:rFonts w:ascii="Calibri" w:hAnsi="Calibri" w:eastAsia="Calibri" w:cs="Calibri"/>
          <w:i/>
          <w:iCs/>
          <w:color w:val="666666"/>
          <w:sz w:val="18"/>
          <w:szCs w:val="18"/>
        </w:rPr>
        <w:t>Figure 1: Historical Gold Prices (USD &amp; PKR) and USD/PKR Exchange Rate (2014–2024)</w:t>
      </w:r>
    </w:p>
    <w:p w14:paraId="571AB50B">
      <w:pPr>
        <w:spacing w:before="60"/>
      </w:pPr>
    </w:p>
    <w:p w14:paraId="49F134E0">
      <w:pPr>
        <w:spacing w:before="80" w:after="80"/>
        <w:jc w:val="both"/>
      </w:pPr>
      <w:r>
        <w:rPr>
          <w:rFonts w:ascii="Calibri" w:hAnsi="Calibri" w:eastAsia="Calibri" w:cs="Calibri"/>
          <w:color w:val="333333"/>
          <w:sz w:val="22"/>
          <w:szCs w:val="22"/>
        </w:rPr>
        <w:t>Key observations from the historical data:</w:t>
      </w:r>
    </w:p>
    <w:p w14:paraId="1F3EB59B">
      <w:pPr>
        <w:pStyle w:val="16"/>
        <w:numPr>
          <w:ilvl w:val="0"/>
          <w:numId w:val="1"/>
        </w:numPr>
        <w:spacing w:before="60" w:after="60"/>
      </w:pPr>
      <w:r>
        <w:rPr>
          <w:rFonts w:ascii="Calibri" w:hAnsi="Calibri" w:eastAsia="Calibri" w:cs="Calibri"/>
          <w:color w:val="333333"/>
          <w:sz w:val="22"/>
          <w:szCs w:val="22"/>
        </w:rPr>
        <w:t>Gold in USD rose from ~$1,200/oz (2014) to ~$2,650/oz (2024), a 121% increase over 10 years</w:t>
      </w:r>
    </w:p>
    <w:p w14:paraId="4370B770">
      <w:pPr>
        <w:pStyle w:val="16"/>
        <w:numPr>
          <w:ilvl w:val="0"/>
          <w:numId w:val="1"/>
        </w:numPr>
        <w:spacing w:before="60" w:after="60"/>
      </w:pPr>
      <w:r>
        <w:rPr>
          <w:rFonts w:ascii="Calibri" w:hAnsi="Calibri" w:eastAsia="Calibri" w:cs="Calibri"/>
          <w:color w:val="333333"/>
          <w:sz w:val="22"/>
          <w:szCs w:val="22"/>
        </w:rPr>
        <w:t>Gold in PKR surged from ~PKR 120,000/oz (2014) to ~PKR 720,000/oz (2024), a 500% increase — driven by both USD gold appreciation and PKR depreciation</w:t>
      </w:r>
    </w:p>
    <w:p w14:paraId="5A16F6A8">
      <w:pPr>
        <w:pStyle w:val="16"/>
        <w:numPr>
          <w:ilvl w:val="0"/>
          <w:numId w:val="1"/>
        </w:numPr>
        <w:spacing w:before="60" w:after="60"/>
      </w:pPr>
      <w:r>
        <w:rPr>
          <w:rFonts w:ascii="Calibri" w:hAnsi="Calibri" w:eastAsia="Calibri" w:cs="Calibri"/>
          <w:color w:val="333333"/>
          <w:sz w:val="22"/>
          <w:szCs w:val="22"/>
        </w:rPr>
        <w:t>The USD/PKR exchange rate climbed from ~100 in 2014 to ~280 in 2024, with a sharp depreciation event visible in 2022–2023</w:t>
      </w:r>
    </w:p>
    <w:p w14:paraId="5B799C5E">
      <w:pPr>
        <w:spacing w:before="120"/>
      </w:pPr>
    </w:p>
    <w:p w14:paraId="6D847997">
      <w:pPr>
        <w:pBdr>
          <w:bottom w:val="single" w:color="B8860B" w:sz="6" w:space="6"/>
        </w:pBdr>
        <w:spacing w:before="400" w:after="200"/>
      </w:pPr>
      <w:r>
        <w:rPr>
          <w:rFonts w:ascii="Georgia" w:hAnsi="Georgia" w:eastAsia="Georgia" w:cs="Georgia"/>
          <w:b/>
          <w:bCs/>
          <w:color w:val="1A1A2E"/>
          <w:sz w:val="36"/>
          <w:szCs w:val="36"/>
        </w:rPr>
        <w:t>4. Exploratory Data Analysis</w:t>
      </w:r>
    </w:p>
    <w:p w14:paraId="6CA2D386">
      <w:pPr>
        <w:spacing w:before="300" w:after="120"/>
      </w:pPr>
      <w:r>
        <w:rPr>
          <w:rFonts w:ascii="Calibri" w:hAnsi="Calibri" w:eastAsia="Calibri" w:cs="Calibri"/>
          <w:b/>
          <w:bCs/>
          <w:color w:val="16213E"/>
          <w:sz w:val="26"/>
          <w:szCs w:val="26"/>
        </w:rPr>
        <w:t>4.1 Feature Correlation Matrix</w:t>
      </w:r>
    </w:p>
    <w:p w14:paraId="14FAF7F2">
      <w:pPr>
        <w:spacing w:before="80" w:after="80"/>
        <w:jc w:val="both"/>
      </w:pPr>
      <w:r>
        <w:rPr>
          <w:rFonts w:ascii="Calibri" w:hAnsi="Calibri" w:eastAsia="Calibri" w:cs="Calibri"/>
          <w:color w:val="333333"/>
          <w:sz w:val="22"/>
          <w:szCs w:val="22"/>
        </w:rPr>
        <w:t>To understand relationships between variables, a Pearson correlation matrix was computed across the four primary features:</w:t>
      </w:r>
    </w:p>
    <w:p w14:paraId="0A58BDF0">
      <w:pPr>
        <w:spacing w:before="60"/>
      </w:pPr>
    </w:p>
    <w:p w14:paraId="6C11667A">
      <w:pPr>
        <w:spacing w:before="160" w:after="60"/>
        <w:jc w:val="center"/>
      </w:pPr>
      <w:r>
        <w:drawing>
          <wp:inline distT="0" distB="0" distL="0" distR="0">
            <wp:extent cx="428625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286250" cy="3429000"/>
                    </a:xfrm>
                    <a:prstGeom prst="rect">
                      <a:avLst/>
                    </a:prstGeom>
                  </pic:spPr>
                </pic:pic>
              </a:graphicData>
            </a:graphic>
          </wp:inline>
        </w:drawing>
      </w:r>
    </w:p>
    <w:p w14:paraId="59D0ED23">
      <w:pPr>
        <w:spacing w:before="40" w:after="160"/>
        <w:jc w:val="center"/>
      </w:pPr>
      <w:r>
        <w:rPr>
          <w:rFonts w:ascii="Calibri" w:hAnsi="Calibri" w:eastAsia="Calibri" w:cs="Calibri"/>
          <w:i/>
          <w:iCs/>
          <w:color w:val="666666"/>
          <w:sz w:val="18"/>
          <w:szCs w:val="18"/>
        </w:rPr>
        <w:t>Figure 2: Feature Correlation Matrix</w:t>
      </w:r>
    </w:p>
    <w:p w14:paraId="5BF27418">
      <w:pPr>
        <w:spacing w:before="60"/>
      </w:pPr>
    </w:p>
    <w:p w14:paraId="0279D026">
      <w:pPr>
        <w:spacing w:before="80" w:after="80"/>
        <w:jc w:val="both"/>
      </w:pPr>
      <w:r>
        <w:rPr>
          <w:rFonts w:ascii="Calibri" w:hAnsi="Calibri" w:eastAsia="Calibri" w:cs="Calibri"/>
          <w:color w:val="333333"/>
          <w:sz w:val="22"/>
          <w:szCs w:val="22"/>
        </w:rPr>
        <w:t>The correlation analysis reveals strong interdependencies between all features. Gold Price (USD) shows 0.95 correlation with both the S&amp;P 500 index and the PKR equivalent price. Currency rate has the strongest correlation with Gold_Price_PKR (0.97), confirming that PKR depreciation is the dominant driver of local gold prices. All correlations exceed 0.88, indicating that the features are jointly informative for prediction.</w:t>
      </w:r>
    </w:p>
    <w:p w14:paraId="763F8F10">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BB3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2D0CB062">
            <w:pPr>
              <w:jc w:val="center"/>
            </w:pPr>
            <w:r>
              <w:rPr>
                <w:rFonts w:ascii="Calibri" w:hAnsi="Calibri" w:eastAsia="Calibri" w:cs="Calibri"/>
                <w:b/>
                <w:bCs/>
                <w:color w:val="FFFFFF"/>
                <w:sz w:val="18"/>
                <w:szCs w:val="18"/>
              </w:rPr>
              <w:t>Feature Pair</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2BF21159">
            <w:pPr>
              <w:jc w:val="center"/>
            </w:pPr>
            <w:r>
              <w:rPr>
                <w:rFonts w:ascii="Calibri" w:hAnsi="Calibri" w:eastAsia="Calibri" w:cs="Calibri"/>
                <w:b/>
                <w:bCs/>
                <w:color w:val="FFFFFF"/>
                <w:sz w:val="18"/>
                <w:szCs w:val="18"/>
              </w:rPr>
              <w:t>Price (USD)</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5D5F951D">
            <w:pPr>
              <w:jc w:val="center"/>
            </w:pPr>
            <w:r>
              <w:rPr>
                <w:rFonts w:ascii="Calibri" w:hAnsi="Calibri" w:eastAsia="Calibri" w:cs="Calibri"/>
                <w:b/>
                <w:bCs/>
                <w:color w:val="FFFFFF"/>
                <w:sz w:val="18"/>
                <w:szCs w:val="18"/>
              </w:rPr>
              <w:t>Stock Index</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71E91EC6">
            <w:pPr>
              <w:jc w:val="center"/>
            </w:pPr>
            <w:r>
              <w:rPr>
                <w:rFonts w:ascii="Calibri" w:hAnsi="Calibri" w:eastAsia="Calibri" w:cs="Calibri"/>
                <w:b/>
                <w:bCs/>
                <w:color w:val="FFFFFF"/>
                <w:sz w:val="18"/>
                <w:szCs w:val="18"/>
              </w:rPr>
              <w:t>Currency Rate</w:t>
            </w:r>
          </w:p>
        </w:tc>
      </w:tr>
      <w:tr w14:paraId="33F3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3C232E9">
            <w:pPr>
              <w:jc w:val="left"/>
            </w:pPr>
            <w:r>
              <w:rPr>
                <w:rFonts w:ascii="Calibri" w:hAnsi="Calibri" w:eastAsia="Calibri" w:cs="Calibri"/>
                <w:b/>
                <w:bCs/>
                <w:color w:val="333333"/>
                <w:sz w:val="20"/>
                <w:szCs w:val="20"/>
              </w:rPr>
              <w:t>Price (USD)</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2631AE7">
            <w:pPr>
              <w:jc w:val="center"/>
            </w:pPr>
            <w:r>
              <w:rPr>
                <w:rFonts w:ascii="Calibri" w:hAnsi="Calibri" w:eastAsia="Calibri" w:cs="Calibri"/>
                <w:b w:val="0"/>
                <w:bCs w:val="0"/>
                <w:color w:val="333333"/>
                <w:sz w:val="20"/>
                <w:szCs w:val="20"/>
              </w:rPr>
              <w:t>1.00</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F0BD0BE">
            <w:pPr>
              <w:jc w:val="center"/>
            </w:pPr>
            <w:r>
              <w:rPr>
                <w:rFonts w:ascii="Calibri" w:hAnsi="Calibri" w:eastAsia="Calibri" w:cs="Calibri"/>
                <w:b w:val="0"/>
                <w:bCs w:val="0"/>
                <w:color w:val="333333"/>
                <w:sz w:val="20"/>
                <w:szCs w:val="20"/>
              </w:rPr>
              <w:t>0.95</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0653C2F">
            <w:pPr>
              <w:jc w:val="center"/>
            </w:pPr>
            <w:r>
              <w:rPr>
                <w:rFonts w:ascii="Calibri" w:hAnsi="Calibri" w:eastAsia="Calibri" w:cs="Calibri"/>
                <w:b w:val="0"/>
                <w:bCs w:val="0"/>
                <w:color w:val="333333"/>
                <w:sz w:val="20"/>
                <w:szCs w:val="20"/>
              </w:rPr>
              <w:t>0.88</w:t>
            </w:r>
          </w:p>
        </w:tc>
      </w:tr>
      <w:tr w14:paraId="224B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68A1D2D">
            <w:pPr>
              <w:jc w:val="left"/>
            </w:pPr>
            <w:r>
              <w:rPr>
                <w:rFonts w:ascii="Calibri" w:hAnsi="Calibri" w:eastAsia="Calibri" w:cs="Calibri"/>
                <w:b/>
                <w:bCs/>
                <w:color w:val="333333"/>
                <w:sz w:val="20"/>
                <w:szCs w:val="20"/>
              </w:rPr>
              <w:t>Gold_Price_PKR</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2122074">
            <w:pPr>
              <w:jc w:val="center"/>
            </w:pPr>
            <w:r>
              <w:rPr>
                <w:rFonts w:ascii="Calibri" w:hAnsi="Calibri" w:eastAsia="Calibri" w:cs="Calibri"/>
                <w:b w:val="0"/>
                <w:bCs w:val="0"/>
                <w:color w:val="333333"/>
                <w:sz w:val="20"/>
                <w:szCs w:val="20"/>
              </w:rPr>
              <w:t>0.95</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AD65541">
            <w:pPr>
              <w:jc w:val="center"/>
            </w:pPr>
            <w:r>
              <w:rPr>
                <w:rFonts w:ascii="Calibri" w:hAnsi="Calibri" w:eastAsia="Calibri" w:cs="Calibri"/>
                <w:b w:val="0"/>
                <w:bCs w:val="0"/>
                <w:color w:val="333333"/>
                <w:sz w:val="20"/>
                <w:szCs w:val="20"/>
              </w:rPr>
              <w:t>0.92</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065D02A">
            <w:pPr>
              <w:jc w:val="center"/>
            </w:pPr>
            <w:r>
              <w:rPr>
                <w:rFonts w:ascii="Calibri" w:hAnsi="Calibri" w:eastAsia="Calibri" w:cs="Calibri"/>
                <w:b w:val="0"/>
                <w:bCs w:val="0"/>
                <w:color w:val="333333"/>
                <w:sz w:val="20"/>
                <w:szCs w:val="20"/>
              </w:rPr>
              <w:t>0.97</w:t>
            </w:r>
          </w:p>
        </w:tc>
      </w:tr>
      <w:tr w14:paraId="08EB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7F0EF7A">
            <w:pPr>
              <w:jc w:val="left"/>
            </w:pPr>
            <w:r>
              <w:rPr>
                <w:rFonts w:ascii="Calibri" w:hAnsi="Calibri" w:eastAsia="Calibri" w:cs="Calibri"/>
                <w:b/>
                <w:bCs/>
                <w:color w:val="333333"/>
                <w:sz w:val="20"/>
                <w:szCs w:val="20"/>
              </w:rPr>
              <w:t>Stock Index</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2B4F1C2">
            <w:pPr>
              <w:jc w:val="center"/>
            </w:pPr>
            <w:r>
              <w:rPr>
                <w:rFonts w:ascii="Calibri" w:hAnsi="Calibri" w:eastAsia="Calibri" w:cs="Calibri"/>
                <w:b w:val="0"/>
                <w:bCs w:val="0"/>
                <w:color w:val="333333"/>
                <w:sz w:val="20"/>
                <w:szCs w:val="20"/>
              </w:rPr>
              <w:t>0.95</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043B8A6">
            <w:pPr>
              <w:jc w:val="center"/>
            </w:pPr>
            <w:r>
              <w:rPr>
                <w:rFonts w:ascii="Calibri" w:hAnsi="Calibri" w:eastAsia="Calibri" w:cs="Calibri"/>
                <w:b w:val="0"/>
                <w:bCs w:val="0"/>
                <w:color w:val="333333"/>
                <w:sz w:val="20"/>
                <w:szCs w:val="20"/>
              </w:rPr>
              <w:t>1.00</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FFC2F4F">
            <w:pPr>
              <w:jc w:val="center"/>
            </w:pPr>
            <w:r>
              <w:rPr>
                <w:rFonts w:ascii="Calibri" w:hAnsi="Calibri" w:eastAsia="Calibri" w:cs="Calibri"/>
                <w:b w:val="0"/>
                <w:bCs w:val="0"/>
                <w:color w:val="333333"/>
                <w:sz w:val="20"/>
                <w:szCs w:val="20"/>
              </w:rPr>
              <w:t>0.88</w:t>
            </w:r>
          </w:p>
        </w:tc>
      </w:tr>
      <w:tr w14:paraId="509A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C16A822">
            <w:pPr>
              <w:jc w:val="left"/>
            </w:pPr>
            <w:r>
              <w:rPr>
                <w:rFonts w:ascii="Calibri" w:hAnsi="Calibri" w:eastAsia="Calibri" w:cs="Calibri"/>
                <w:b/>
                <w:bCs/>
                <w:color w:val="333333"/>
                <w:sz w:val="20"/>
                <w:szCs w:val="20"/>
              </w:rPr>
              <w:t>Currency Rate</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8DEEA72">
            <w:pPr>
              <w:jc w:val="center"/>
            </w:pPr>
            <w:r>
              <w:rPr>
                <w:rFonts w:ascii="Calibri" w:hAnsi="Calibri" w:eastAsia="Calibri" w:cs="Calibri"/>
                <w:b w:val="0"/>
                <w:bCs w:val="0"/>
                <w:color w:val="333333"/>
                <w:sz w:val="20"/>
                <w:szCs w:val="20"/>
              </w:rPr>
              <w:t>0.88</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E4D035D">
            <w:pPr>
              <w:jc w:val="center"/>
            </w:pPr>
            <w:r>
              <w:rPr>
                <w:rFonts w:ascii="Calibri" w:hAnsi="Calibri" w:eastAsia="Calibri" w:cs="Calibri"/>
                <w:b w:val="0"/>
                <w:bCs w:val="0"/>
                <w:color w:val="333333"/>
                <w:sz w:val="20"/>
                <w:szCs w:val="20"/>
              </w:rPr>
              <w:t>0.88</w:t>
            </w:r>
          </w:p>
        </w:tc>
        <w:tc>
          <w:tcPr>
            <w:tcW w:w="234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0B171C9D">
            <w:pPr>
              <w:jc w:val="center"/>
            </w:pPr>
            <w:r>
              <w:rPr>
                <w:rFonts w:ascii="Calibri" w:hAnsi="Calibri" w:eastAsia="Calibri" w:cs="Calibri"/>
                <w:b w:val="0"/>
                <w:bCs w:val="0"/>
                <w:color w:val="333333"/>
                <w:sz w:val="20"/>
                <w:szCs w:val="20"/>
              </w:rPr>
              <w:t>1.00</w:t>
            </w:r>
          </w:p>
        </w:tc>
      </w:tr>
    </w:tbl>
    <w:p w14:paraId="576DC678">
      <w:pPr>
        <w:spacing w:before="80" w:after="200"/>
        <w:jc w:val="center"/>
      </w:pPr>
      <w:r>
        <w:rPr>
          <w:rFonts w:ascii="Calibri" w:hAnsi="Calibri" w:eastAsia="Calibri" w:cs="Calibri"/>
          <w:i/>
          <w:iCs/>
          <w:color w:val="666666"/>
          <w:sz w:val="18"/>
          <w:szCs w:val="18"/>
        </w:rPr>
        <w:t>Table 1: Correlation Matrix Summary</w:t>
      </w:r>
    </w:p>
    <w:p w14:paraId="32BBB2B3">
      <w:pPr>
        <w:spacing w:before="120"/>
      </w:pPr>
    </w:p>
    <w:p w14:paraId="7F53E219">
      <w:pPr>
        <w:pBdr>
          <w:bottom w:val="single" w:color="B8860B" w:sz="6" w:space="6"/>
        </w:pBdr>
        <w:spacing w:before="400" w:after="200"/>
      </w:pPr>
      <w:r>
        <w:rPr>
          <w:rFonts w:ascii="Georgia" w:hAnsi="Georgia" w:eastAsia="Georgia" w:cs="Georgia"/>
          <w:b/>
          <w:bCs/>
          <w:color w:val="1A1A2E"/>
          <w:sz w:val="36"/>
          <w:szCs w:val="36"/>
        </w:rPr>
        <w:t>5. Feature Engineering</w:t>
      </w:r>
    </w:p>
    <w:p w14:paraId="7758D695">
      <w:pPr>
        <w:spacing w:before="80" w:after="80"/>
        <w:jc w:val="both"/>
      </w:pPr>
      <w:r>
        <w:rPr>
          <w:rFonts w:ascii="Calibri" w:hAnsi="Calibri" w:eastAsia="Calibri" w:cs="Calibri"/>
          <w:color w:val="333333"/>
          <w:sz w:val="22"/>
          <w:szCs w:val="22"/>
        </w:rPr>
        <w:t>Raw date and price data were transformed into predictive features:</w:t>
      </w:r>
    </w:p>
    <w:p w14:paraId="4668AA77">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263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390B3CF5">
            <w:pPr>
              <w:jc w:val="left"/>
            </w:pPr>
            <w:r>
              <w:rPr>
                <w:rFonts w:ascii="Calibri" w:hAnsi="Calibri" w:eastAsia="Calibri" w:cs="Calibri"/>
                <w:b/>
                <w:bCs/>
                <w:color w:val="FFFFFF"/>
                <w:sz w:val="20"/>
                <w:szCs w:val="20"/>
              </w:rPr>
              <w:t>Feature</w:t>
            </w:r>
          </w:p>
        </w:tc>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4C020446">
            <w:pPr>
              <w:jc w:val="center"/>
            </w:pPr>
            <w:r>
              <w:rPr>
                <w:rFonts w:ascii="Calibri" w:hAnsi="Calibri" w:eastAsia="Calibri" w:cs="Calibri"/>
                <w:b/>
                <w:bCs/>
                <w:color w:val="FFFFFF"/>
                <w:sz w:val="20"/>
                <w:szCs w:val="20"/>
              </w:rPr>
              <w:t>Description</w:t>
            </w:r>
          </w:p>
        </w:tc>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5470A800">
            <w:pPr>
              <w:jc w:val="center"/>
            </w:pPr>
            <w:r>
              <w:rPr>
                <w:rFonts w:ascii="Calibri" w:hAnsi="Calibri" w:eastAsia="Calibri" w:cs="Calibri"/>
                <w:b/>
                <w:bCs/>
                <w:color w:val="FFFFFF"/>
                <w:sz w:val="20"/>
                <w:szCs w:val="20"/>
              </w:rPr>
              <w:t>Rationale</w:t>
            </w:r>
          </w:p>
        </w:tc>
      </w:tr>
      <w:tr w14:paraId="2E85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FC38A9C">
            <w:r>
              <w:rPr>
                <w:rFonts w:ascii="Calibri" w:hAnsi="Calibri" w:eastAsia="Calibri" w:cs="Calibri"/>
                <w:b/>
                <w:bCs/>
                <w:color w:val="333333"/>
                <w:sz w:val="19"/>
                <w:szCs w:val="19"/>
              </w:rPr>
              <w:t>Month_Num</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163F2DB">
            <w:r>
              <w:rPr>
                <w:rFonts w:ascii="Calibri" w:hAnsi="Calibri" w:eastAsia="Calibri" w:cs="Calibri"/>
                <w:b w:val="0"/>
                <w:bCs w:val="0"/>
                <w:color w:val="333333"/>
                <w:sz w:val="19"/>
                <w:szCs w:val="19"/>
              </w:rPr>
              <w:t>Months since Jan 2014</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DEBD526">
            <w:r>
              <w:rPr>
                <w:rFonts w:ascii="Calibri" w:hAnsi="Calibri" w:eastAsia="Calibri" w:cs="Calibri"/>
                <w:b w:val="0"/>
                <w:bCs w:val="0"/>
                <w:color w:val="333333"/>
                <w:sz w:val="19"/>
                <w:szCs w:val="19"/>
              </w:rPr>
              <w:t>Captures long-term trend</w:t>
            </w:r>
          </w:p>
        </w:tc>
      </w:tr>
      <w:tr w14:paraId="68F6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D5F7E1A">
            <w:r>
              <w:rPr>
                <w:rFonts w:ascii="Calibri" w:hAnsi="Calibri" w:eastAsia="Calibri" w:cs="Calibri"/>
                <w:b/>
                <w:bCs/>
                <w:color w:val="333333"/>
                <w:sz w:val="19"/>
                <w:szCs w:val="19"/>
              </w:rPr>
              <w:t>Month</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5977D35">
            <w:r>
              <w:rPr>
                <w:rFonts w:ascii="Calibri" w:hAnsi="Calibri" w:eastAsia="Calibri" w:cs="Calibri"/>
                <w:b w:val="0"/>
                <w:bCs w:val="0"/>
                <w:color w:val="333333"/>
                <w:sz w:val="19"/>
                <w:szCs w:val="19"/>
              </w:rPr>
              <w:t>Calendar month (1–12)</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1EF8D79">
            <w:r>
              <w:rPr>
                <w:rFonts w:ascii="Calibri" w:hAnsi="Calibri" w:eastAsia="Calibri" w:cs="Calibri"/>
                <w:b w:val="0"/>
                <w:bCs w:val="0"/>
                <w:color w:val="333333"/>
                <w:sz w:val="19"/>
                <w:szCs w:val="19"/>
              </w:rPr>
              <w:t>Captures seasonality</w:t>
            </w:r>
          </w:p>
        </w:tc>
      </w:tr>
      <w:tr w14:paraId="3C04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BBFA288">
            <w:r>
              <w:rPr>
                <w:rFonts w:ascii="Calibri" w:hAnsi="Calibri" w:eastAsia="Calibri" w:cs="Calibri"/>
                <w:b/>
                <w:bCs/>
                <w:color w:val="333333"/>
                <w:sz w:val="19"/>
                <w:szCs w:val="19"/>
              </w:rPr>
              <w:t>Price_Lag1</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5CC684D">
            <w:r>
              <w:rPr>
                <w:rFonts w:ascii="Calibri" w:hAnsi="Calibri" w:eastAsia="Calibri" w:cs="Calibri"/>
                <w:b w:val="0"/>
                <w:bCs w:val="0"/>
                <w:color w:val="333333"/>
                <w:sz w:val="19"/>
                <w:szCs w:val="19"/>
              </w:rPr>
              <w:t>Gold price 1 month prior</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8497134">
            <w:r>
              <w:rPr>
                <w:rFonts w:ascii="Calibri" w:hAnsi="Calibri" w:eastAsia="Calibri" w:cs="Calibri"/>
                <w:b w:val="0"/>
                <w:bCs w:val="0"/>
                <w:color w:val="333333"/>
                <w:sz w:val="19"/>
                <w:szCs w:val="19"/>
              </w:rPr>
              <w:t>Short-term momentum</w:t>
            </w:r>
          </w:p>
        </w:tc>
      </w:tr>
      <w:tr w14:paraId="0B9D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BA638A5">
            <w:r>
              <w:rPr>
                <w:rFonts w:ascii="Calibri" w:hAnsi="Calibri" w:eastAsia="Calibri" w:cs="Calibri"/>
                <w:b/>
                <w:bCs/>
                <w:color w:val="333333"/>
                <w:sz w:val="19"/>
                <w:szCs w:val="19"/>
              </w:rPr>
              <w:t>Price_Lag3</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6F70E75">
            <w:r>
              <w:rPr>
                <w:rFonts w:ascii="Calibri" w:hAnsi="Calibri" w:eastAsia="Calibri" w:cs="Calibri"/>
                <w:b w:val="0"/>
                <w:bCs w:val="0"/>
                <w:color w:val="333333"/>
                <w:sz w:val="19"/>
                <w:szCs w:val="19"/>
              </w:rPr>
              <w:t>Gold price 3 months prior</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8FA331F">
            <w:r>
              <w:rPr>
                <w:rFonts w:ascii="Calibri" w:hAnsi="Calibri" w:eastAsia="Calibri" w:cs="Calibri"/>
                <w:b w:val="0"/>
                <w:bCs w:val="0"/>
                <w:color w:val="333333"/>
                <w:sz w:val="19"/>
                <w:szCs w:val="19"/>
              </w:rPr>
              <w:t>Medium-term momentum</w:t>
            </w:r>
          </w:p>
        </w:tc>
      </w:tr>
      <w:tr w14:paraId="01C7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3187ABD">
            <w:r>
              <w:rPr>
                <w:rFonts w:ascii="Calibri" w:hAnsi="Calibri" w:eastAsia="Calibri" w:cs="Calibri"/>
                <w:b/>
                <w:bCs/>
                <w:color w:val="333333"/>
                <w:sz w:val="19"/>
                <w:szCs w:val="19"/>
              </w:rPr>
              <w:t>MA_3</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1CD1352">
            <w:r>
              <w:rPr>
                <w:rFonts w:ascii="Calibri" w:hAnsi="Calibri" w:eastAsia="Calibri" w:cs="Calibri"/>
                <w:b w:val="0"/>
                <w:bCs w:val="0"/>
                <w:color w:val="333333"/>
                <w:sz w:val="19"/>
                <w:szCs w:val="19"/>
              </w:rPr>
              <w:t>3-month rolling average</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03E335C">
            <w:r>
              <w:rPr>
                <w:rFonts w:ascii="Calibri" w:hAnsi="Calibri" w:eastAsia="Calibri" w:cs="Calibri"/>
                <w:b w:val="0"/>
                <w:bCs w:val="0"/>
                <w:color w:val="333333"/>
                <w:sz w:val="19"/>
                <w:szCs w:val="19"/>
              </w:rPr>
              <w:t>Smooths noise</w:t>
            </w:r>
          </w:p>
        </w:tc>
      </w:tr>
      <w:tr w14:paraId="6142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74BE541">
            <w:r>
              <w:rPr>
                <w:rFonts w:ascii="Calibri" w:hAnsi="Calibri" w:eastAsia="Calibri" w:cs="Calibri"/>
                <w:b/>
                <w:bCs/>
                <w:color w:val="333333"/>
                <w:sz w:val="19"/>
                <w:szCs w:val="19"/>
              </w:rPr>
              <w:t>MA_6</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0060E1FD">
            <w:r>
              <w:rPr>
                <w:rFonts w:ascii="Calibri" w:hAnsi="Calibri" w:eastAsia="Calibri" w:cs="Calibri"/>
                <w:b w:val="0"/>
                <w:bCs w:val="0"/>
                <w:color w:val="333333"/>
                <w:sz w:val="19"/>
                <w:szCs w:val="19"/>
              </w:rPr>
              <w:t>6-month rolling average</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F685E6B">
            <w:r>
              <w:rPr>
                <w:rFonts w:ascii="Calibri" w:hAnsi="Calibri" w:eastAsia="Calibri" w:cs="Calibri"/>
                <w:b w:val="0"/>
                <w:bCs w:val="0"/>
                <w:color w:val="333333"/>
                <w:sz w:val="19"/>
                <w:szCs w:val="19"/>
              </w:rPr>
              <w:t>Trend identification</w:t>
            </w:r>
          </w:p>
        </w:tc>
      </w:tr>
      <w:tr w14:paraId="112A5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A41B33F">
            <w:r>
              <w:rPr>
                <w:rFonts w:ascii="Calibri" w:hAnsi="Calibri" w:eastAsia="Calibri" w:cs="Calibri"/>
                <w:b/>
                <w:bCs/>
                <w:color w:val="333333"/>
                <w:sz w:val="19"/>
                <w:szCs w:val="19"/>
              </w:rPr>
              <w:t>PKR_Lag1</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326F1B1">
            <w:r>
              <w:rPr>
                <w:rFonts w:ascii="Calibri" w:hAnsi="Calibri" w:eastAsia="Calibri" w:cs="Calibri"/>
                <w:b w:val="0"/>
                <w:bCs w:val="0"/>
                <w:color w:val="333333"/>
                <w:sz w:val="19"/>
                <w:szCs w:val="19"/>
              </w:rPr>
              <w:t>Exchange rate 1 month prior</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3A9C6FA">
            <w:r>
              <w:rPr>
                <w:rFonts w:ascii="Calibri" w:hAnsi="Calibri" w:eastAsia="Calibri" w:cs="Calibri"/>
                <w:b w:val="0"/>
                <w:bCs w:val="0"/>
                <w:color w:val="333333"/>
                <w:sz w:val="19"/>
                <w:szCs w:val="19"/>
              </w:rPr>
              <w:t>Currency momentum</w:t>
            </w:r>
          </w:p>
        </w:tc>
      </w:tr>
      <w:tr w14:paraId="6533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80F411A">
            <w:r>
              <w:rPr>
                <w:rFonts w:ascii="Calibri" w:hAnsi="Calibri" w:eastAsia="Calibri" w:cs="Calibri"/>
                <w:b/>
                <w:bCs/>
                <w:color w:val="333333"/>
                <w:sz w:val="19"/>
                <w:szCs w:val="19"/>
              </w:rPr>
              <w:t>stock_index</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396A40E">
            <w:r>
              <w:rPr>
                <w:rFonts w:ascii="Calibri" w:hAnsi="Calibri" w:eastAsia="Calibri" w:cs="Calibri"/>
                <w:b w:val="0"/>
                <w:bCs w:val="0"/>
                <w:color w:val="333333"/>
                <w:sz w:val="19"/>
                <w:szCs w:val="19"/>
              </w:rPr>
              <w:t>S&amp;P 500 index value</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7B311AD">
            <w:r>
              <w:rPr>
                <w:rFonts w:ascii="Calibri" w:hAnsi="Calibri" w:eastAsia="Calibri" w:cs="Calibri"/>
                <w:b w:val="0"/>
                <w:bCs w:val="0"/>
                <w:color w:val="333333"/>
                <w:sz w:val="19"/>
                <w:szCs w:val="19"/>
              </w:rPr>
              <w:t>Market sentiment</w:t>
            </w:r>
          </w:p>
        </w:tc>
      </w:tr>
      <w:tr w14:paraId="1D80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214851F">
            <w:r>
              <w:rPr>
                <w:rFonts w:ascii="Calibri" w:hAnsi="Calibri" w:eastAsia="Calibri" w:cs="Calibri"/>
                <w:b/>
                <w:bCs/>
                <w:color w:val="333333"/>
                <w:sz w:val="19"/>
                <w:szCs w:val="19"/>
              </w:rPr>
              <w:t>currency_rate</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4961346">
            <w:r>
              <w:rPr>
                <w:rFonts w:ascii="Calibri" w:hAnsi="Calibri" w:eastAsia="Calibri" w:cs="Calibri"/>
                <w:b w:val="0"/>
                <w:bCs w:val="0"/>
                <w:color w:val="333333"/>
                <w:sz w:val="19"/>
                <w:szCs w:val="19"/>
              </w:rPr>
              <w:t>USD/PKR exchange rate</w:t>
            </w:r>
          </w:p>
        </w:tc>
        <w:tc>
          <w:tcPr>
            <w:tcW w:w="312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D2067D3">
            <w:r>
              <w:rPr>
                <w:rFonts w:ascii="Calibri" w:hAnsi="Calibri" w:eastAsia="Calibri" w:cs="Calibri"/>
                <w:b w:val="0"/>
                <w:bCs w:val="0"/>
                <w:color w:val="333333"/>
                <w:sz w:val="19"/>
                <w:szCs w:val="19"/>
              </w:rPr>
              <w:t>PKR price driver</w:t>
            </w:r>
          </w:p>
        </w:tc>
      </w:tr>
    </w:tbl>
    <w:p w14:paraId="6BF53D65">
      <w:pPr>
        <w:spacing w:before="80" w:after="200"/>
        <w:jc w:val="center"/>
      </w:pPr>
      <w:r>
        <w:rPr>
          <w:rFonts w:ascii="Calibri" w:hAnsi="Calibri" w:eastAsia="Calibri" w:cs="Calibri"/>
          <w:i/>
          <w:iCs/>
          <w:color w:val="666666"/>
          <w:sz w:val="18"/>
          <w:szCs w:val="18"/>
        </w:rPr>
        <w:t>Table 2: Feature Engineering Summary</w:t>
      </w:r>
    </w:p>
    <w:p w14:paraId="6F3E3A22">
      <w:pPr>
        <w:spacing w:before="60"/>
      </w:pPr>
    </w:p>
    <w:p w14:paraId="3528EAF7">
      <w:pPr>
        <w:spacing w:before="80" w:after="80"/>
        <w:jc w:val="both"/>
      </w:pPr>
      <w:r>
        <w:rPr>
          <w:rFonts w:ascii="Calibri" w:hAnsi="Calibri" w:eastAsia="Calibri" w:cs="Calibri"/>
          <w:color w:val="333333"/>
          <w:sz w:val="22"/>
          <w:szCs w:val="22"/>
        </w:rPr>
        <w:t>After feature engineering and dropping rows with NaN values (due to lag windows), the clean dataset was used for training. The other_factors column was dropped due to 121 missing values.</w:t>
      </w:r>
    </w:p>
    <w:p w14:paraId="189A3CE7">
      <w:pPr>
        <w:spacing w:before="120"/>
      </w:pPr>
    </w:p>
    <w:p w14:paraId="6E48ABA9">
      <w:pPr>
        <w:pBdr>
          <w:bottom w:val="single" w:color="B8860B" w:sz="6" w:space="6"/>
        </w:pBdr>
        <w:spacing w:before="400" w:after="200"/>
      </w:pPr>
      <w:r>
        <w:rPr>
          <w:rFonts w:ascii="Georgia" w:hAnsi="Georgia" w:eastAsia="Georgia" w:cs="Georgia"/>
          <w:b/>
          <w:bCs/>
          <w:color w:val="1A1A2E"/>
          <w:sz w:val="36"/>
          <w:szCs w:val="36"/>
        </w:rPr>
        <w:t>6. Model Training &amp; Evaluation</w:t>
      </w:r>
    </w:p>
    <w:p w14:paraId="1A007371">
      <w:pPr>
        <w:spacing w:before="300" w:after="120"/>
      </w:pPr>
      <w:r>
        <w:rPr>
          <w:rFonts w:ascii="Calibri" w:hAnsi="Calibri" w:eastAsia="Calibri" w:cs="Calibri"/>
          <w:b/>
          <w:bCs/>
          <w:color w:val="16213E"/>
          <w:sz w:val="26"/>
          <w:szCs w:val="26"/>
        </w:rPr>
        <w:t>6.1 Train-Test Split</w:t>
      </w:r>
    </w:p>
    <w:p w14:paraId="0D2A74B5">
      <w:pPr>
        <w:spacing w:before="80" w:after="80"/>
        <w:jc w:val="both"/>
      </w:pPr>
      <w:r>
        <w:rPr>
          <w:rFonts w:ascii="Calibri" w:hAnsi="Calibri" w:eastAsia="Calibri" w:cs="Calibri"/>
          <w:color w:val="333333"/>
          <w:sz w:val="22"/>
          <w:szCs w:val="22"/>
        </w:rPr>
        <w:t>The dataset was split 80/20 (train/test) with shuffle=False to preserve temporal order. This simulates real-world forecasting where models are trained on past data and evaluated on future data.</w:t>
      </w:r>
    </w:p>
    <w:p w14:paraId="26E512D3">
      <w:pPr>
        <w:spacing w:before="60"/>
      </w:pPr>
    </w:p>
    <w:p w14:paraId="6B985562">
      <w:pPr>
        <w:spacing w:before="300" w:after="120"/>
      </w:pPr>
      <w:r>
        <w:rPr>
          <w:rFonts w:ascii="Calibri" w:hAnsi="Calibri" w:eastAsia="Calibri" w:cs="Calibri"/>
          <w:b/>
          <w:bCs/>
          <w:color w:val="16213E"/>
          <w:sz w:val="26"/>
          <w:szCs w:val="26"/>
        </w:rPr>
        <w:t>6.2 Models Trained</w:t>
      </w:r>
    </w:p>
    <w:p w14:paraId="74A58EB0">
      <w:pPr>
        <w:pStyle w:val="16"/>
        <w:numPr>
          <w:ilvl w:val="0"/>
          <w:numId w:val="1"/>
        </w:numPr>
        <w:spacing w:before="60" w:after="60"/>
      </w:pPr>
      <w:r>
        <w:rPr>
          <w:rFonts w:ascii="Calibri" w:hAnsi="Calibri" w:eastAsia="Calibri" w:cs="Calibri"/>
          <w:color w:val="333333"/>
          <w:sz w:val="22"/>
          <w:szCs w:val="22"/>
        </w:rPr>
        <w:t>Linear Regression — A baseline parametric model that fits a hyperplane through the feature space. It assumes a linear relationship between features and gold price.</w:t>
      </w:r>
    </w:p>
    <w:p w14:paraId="1905D926">
      <w:pPr>
        <w:pStyle w:val="16"/>
        <w:numPr>
          <w:ilvl w:val="0"/>
          <w:numId w:val="1"/>
        </w:numPr>
        <w:spacing w:before="60" w:after="60"/>
      </w:pPr>
      <w:r>
        <w:rPr>
          <w:rFonts w:ascii="Calibri" w:hAnsi="Calibri" w:eastAsia="Calibri" w:cs="Calibri"/>
          <w:color w:val="333333"/>
          <w:sz w:val="22"/>
          <w:szCs w:val="22"/>
        </w:rPr>
        <w:t>Random Forest Regressor — An ensemble of 200 decision trees (max_depth=10). It handles non-linear relationships and feature interactions, but is prone to overfitting on extrapolation tasks.</w:t>
      </w:r>
    </w:p>
    <w:p w14:paraId="1CA1DF4E">
      <w:pPr>
        <w:spacing w:before="60"/>
      </w:pPr>
    </w:p>
    <w:p w14:paraId="02812B8A">
      <w:pPr>
        <w:spacing w:before="300" w:after="120"/>
      </w:pPr>
      <w:r>
        <w:rPr>
          <w:rFonts w:ascii="Calibri" w:hAnsi="Calibri" w:eastAsia="Calibri" w:cs="Calibri"/>
          <w:b/>
          <w:bCs/>
          <w:color w:val="16213E"/>
          <w:sz w:val="26"/>
          <w:szCs w:val="26"/>
        </w:rPr>
        <w:t>6.3 Performance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24A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36B0C38A">
            <w:pPr>
              <w:jc w:val="left"/>
            </w:pPr>
            <w:r>
              <w:rPr>
                <w:rFonts w:ascii="Calibri" w:hAnsi="Calibri" w:eastAsia="Calibri" w:cs="Calibri"/>
                <w:b/>
                <w:bCs/>
                <w:color w:val="FFFFFF"/>
                <w:sz w:val="20"/>
                <w:szCs w:val="20"/>
              </w:rPr>
              <w:t>Metric</w:t>
            </w:r>
          </w:p>
        </w:tc>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5E4E30B8">
            <w:pPr>
              <w:jc w:val="center"/>
            </w:pPr>
            <w:r>
              <w:rPr>
                <w:rFonts w:ascii="Calibri" w:hAnsi="Calibri" w:eastAsia="Calibri" w:cs="Calibri"/>
                <w:b/>
                <w:bCs/>
                <w:color w:val="FFFFFF"/>
                <w:sz w:val="20"/>
                <w:szCs w:val="20"/>
              </w:rPr>
              <w:t>Linear Regression</w:t>
            </w:r>
          </w:p>
        </w:tc>
        <w:tc>
          <w:tcPr>
            <w:tcW w:w="312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173B406D">
            <w:pPr>
              <w:jc w:val="center"/>
            </w:pPr>
            <w:r>
              <w:rPr>
                <w:rFonts w:ascii="Calibri" w:hAnsi="Calibri" w:eastAsia="Calibri" w:cs="Calibri"/>
                <w:b/>
                <w:bCs/>
                <w:color w:val="FFFFFF"/>
                <w:sz w:val="20"/>
                <w:szCs w:val="20"/>
              </w:rPr>
              <w:t>Random Forest</w:t>
            </w:r>
          </w:p>
        </w:tc>
      </w:tr>
      <w:tr w14:paraId="47CB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758CE9AC">
            <w:r>
              <w:rPr>
                <w:rFonts w:ascii="Calibri" w:hAnsi="Calibri" w:eastAsia="Calibri" w:cs="Calibri"/>
                <w:b/>
                <w:bCs/>
                <w:color w:val="1A1A2E"/>
                <w:sz w:val="20"/>
                <w:szCs w:val="20"/>
              </w:rPr>
              <w:t>RMSE (USD)</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153EF054">
            <w:pPr>
              <w:jc w:val="center"/>
            </w:pPr>
            <w:r>
              <w:rPr>
                <w:rFonts w:ascii="Calibri" w:hAnsi="Calibri" w:eastAsia="Calibri" w:cs="Calibri"/>
                <w:color w:val="333333"/>
                <w:sz w:val="20"/>
                <w:szCs w:val="20"/>
              </w:rPr>
              <w:t>~$41.20</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2F0CDDD3">
            <w:pPr>
              <w:jc w:val="center"/>
            </w:pPr>
            <w:r>
              <w:rPr>
                <w:rFonts w:ascii="Calibri" w:hAnsi="Calibri" w:eastAsia="Calibri" w:cs="Calibri"/>
                <w:color w:val="333333"/>
                <w:sz w:val="20"/>
                <w:szCs w:val="20"/>
              </w:rPr>
              <w:t>~$89.50</w:t>
            </w:r>
          </w:p>
        </w:tc>
      </w:tr>
      <w:tr w14:paraId="7A8D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12588CF4">
            <w:r>
              <w:rPr>
                <w:rFonts w:ascii="Calibri" w:hAnsi="Calibri" w:eastAsia="Calibri" w:cs="Calibri"/>
                <w:b/>
                <w:bCs/>
                <w:color w:val="1A1A2E"/>
                <w:sz w:val="20"/>
                <w:szCs w:val="20"/>
              </w:rPr>
              <w:t>MAE (USD)</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36FDC30D">
            <w:pPr>
              <w:jc w:val="center"/>
            </w:pPr>
            <w:r>
              <w:rPr>
                <w:rFonts w:ascii="Calibri" w:hAnsi="Calibri" w:eastAsia="Calibri" w:cs="Calibri"/>
                <w:color w:val="333333"/>
                <w:sz w:val="20"/>
                <w:szCs w:val="20"/>
              </w:rPr>
              <w:t>~$31.50</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4CCEE4AC">
            <w:pPr>
              <w:jc w:val="center"/>
            </w:pPr>
            <w:r>
              <w:rPr>
                <w:rFonts w:ascii="Calibri" w:hAnsi="Calibri" w:eastAsia="Calibri" w:cs="Calibri"/>
                <w:color w:val="333333"/>
                <w:sz w:val="20"/>
                <w:szCs w:val="20"/>
              </w:rPr>
              <w:t>~$62.30</w:t>
            </w:r>
          </w:p>
        </w:tc>
      </w:tr>
      <w:tr w14:paraId="6536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773DBB21">
            <w:r>
              <w:rPr>
                <w:rFonts w:ascii="Calibri" w:hAnsi="Calibri" w:eastAsia="Calibri" w:cs="Calibri"/>
                <w:b/>
                <w:bCs/>
                <w:color w:val="1A1A2E"/>
                <w:sz w:val="20"/>
                <w:szCs w:val="20"/>
              </w:rPr>
              <w:t>R² Score</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47DE400F">
            <w:pPr>
              <w:jc w:val="center"/>
            </w:pPr>
            <w:r>
              <w:rPr>
                <w:rFonts w:ascii="Calibri" w:hAnsi="Calibri" w:eastAsia="Calibri" w:cs="Calibri"/>
                <w:color w:val="333333"/>
                <w:sz w:val="20"/>
                <w:szCs w:val="20"/>
              </w:rPr>
              <w:t>0.9796 ✓ Best</w:t>
            </w:r>
          </w:p>
        </w:tc>
        <w:tc>
          <w:tcPr>
            <w:tcW w:w="3120" w:type="dxa"/>
            <w:tcBorders>
              <w:top w:val="single" w:color="DDDDDD" w:sz="0" w:space="0"/>
              <w:left w:val="single" w:color="DDDDDD" w:sz="0" w:space="0"/>
              <w:bottom w:val="single" w:color="DDDDDD" w:sz="0" w:space="0"/>
              <w:right w:val="single" w:color="DDDDDD" w:sz="0" w:space="0"/>
            </w:tcBorders>
            <w:tcMar>
              <w:top w:w="80" w:type="dxa"/>
              <w:left w:w="150" w:type="dxa"/>
              <w:bottom w:w="80" w:type="dxa"/>
              <w:right w:w="150" w:type="dxa"/>
            </w:tcMar>
            <w:vAlign w:val="center"/>
          </w:tcPr>
          <w:p w14:paraId="370D6513">
            <w:pPr>
              <w:jc w:val="center"/>
            </w:pPr>
            <w:r>
              <w:rPr>
                <w:rFonts w:ascii="Calibri" w:hAnsi="Calibri" w:eastAsia="Calibri" w:cs="Calibri"/>
                <w:color w:val="333333"/>
                <w:sz w:val="20"/>
                <w:szCs w:val="20"/>
              </w:rPr>
              <w:t>0.9213</w:t>
            </w:r>
          </w:p>
        </w:tc>
      </w:tr>
    </w:tbl>
    <w:p w14:paraId="308F0145">
      <w:pPr>
        <w:spacing w:before="80" w:after="200"/>
        <w:jc w:val="center"/>
      </w:pPr>
      <w:r>
        <w:rPr>
          <w:rFonts w:ascii="Calibri" w:hAnsi="Calibri" w:eastAsia="Calibri" w:cs="Calibri"/>
          <w:i/>
          <w:iCs/>
          <w:color w:val="666666"/>
          <w:sz w:val="18"/>
          <w:szCs w:val="18"/>
        </w:rPr>
        <w:t>Table 3: Model Performance on Test Set</w:t>
      </w:r>
    </w:p>
    <w:p w14:paraId="4B3F3397">
      <w:pPr>
        <w:spacing w:before="60"/>
      </w:pPr>
    </w:p>
    <w:p w14:paraId="688C0C59">
      <w:pPr>
        <w:spacing w:before="80" w:after="80"/>
        <w:jc w:val="both"/>
      </w:pPr>
      <w:r>
        <w:rPr>
          <w:rFonts w:ascii="Calibri" w:hAnsi="Calibri" w:eastAsia="Calibri" w:cs="Calibri"/>
          <w:color w:val="333333"/>
          <w:sz w:val="22"/>
          <w:szCs w:val="22"/>
        </w:rPr>
        <w:t>Linear Regression outperformed Random Forest on all three metrics, achieving an R² of 0.9796. This is partly because gold price trend over time is largely linear when expressed in absolute USD terms. Random Forest, while more complex, overfit certain training patterns and generalized less well.</w:t>
      </w:r>
    </w:p>
    <w:p w14:paraId="5963D14A">
      <w:pPr>
        <w:spacing w:before="120"/>
      </w:pPr>
    </w:p>
    <w:p w14:paraId="335C3C21">
      <w:pPr>
        <w:pBdr>
          <w:bottom w:val="single" w:color="B8860B" w:sz="6" w:space="6"/>
        </w:pBdr>
        <w:spacing w:before="400" w:after="200"/>
      </w:pPr>
      <w:r>
        <w:rPr>
          <w:rFonts w:ascii="Georgia" w:hAnsi="Georgia" w:eastAsia="Georgia" w:cs="Georgia"/>
          <w:b/>
          <w:bCs/>
          <w:color w:val="1A1A2E"/>
          <w:sz w:val="36"/>
          <w:szCs w:val="36"/>
        </w:rPr>
        <w:t>7. Future Price Predictions (2025–2028)</w:t>
      </w:r>
    </w:p>
    <w:p w14:paraId="4A507BC1">
      <w:pPr>
        <w:spacing w:before="300" w:after="120"/>
      </w:pPr>
      <w:r>
        <w:rPr>
          <w:rFonts w:ascii="Calibri" w:hAnsi="Calibri" w:eastAsia="Calibri" w:cs="Calibri"/>
          <w:b/>
          <w:bCs/>
          <w:color w:val="16213E"/>
          <w:sz w:val="26"/>
          <w:szCs w:val="26"/>
        </w:rPr>
        <w:t>7.1 Methodology</w:t>
      </w:r>
    </w:p>
    <w:p w14:paraId="203070BE">
      <w:pPr>
        <w:spacing w:before="80" w:after="80"/>
        <w:jc w:val="both"/>
      </w:pPr>
      <w:r>
        <w:rPr>
          <w:rFonts w:ascii="Calibri" w:hAnsi="Calibri" w:eastAsia="Calibri" w:cs="Calibri"/>
          <w:color w:val="333333"/>
          <w:sz w:val="22"/>
          <w:szCs w:val="22"/>
        </w:rPr>
        <w:t>Future predictions were generated iteratively: each month's prediction was fed back as the next month's Price_Lag1 input. Projected inputs for the future period were estimated as follows:</w:t>
      </w:r>
    </w:p>
    <w:p w14:paraId="33452565">
      <w:pPr>
        <w:pStyle w:val="16"/>
        <w:numPr>
          <w:ilvl w:val="0"/>
          <w:numId w:val="1"/>
        </w:numPr>
        <w:spacing w:before="60" w:after="60"/>
      </w:pPr>
      <w:r>
        <w:rPr>
          <w:rFonts w:ascii="Calibri" w:hAnsi="Calibri" w:eastAsia="Calibri" w:cs="Calibri"/>
          <w:color w:val="333333"/>
          <w:sz w:val="22"/>
          <w:szCs w:val="22"/>
        </w:rPr>
        <w:t>PKR/USD exchange rate: projected to depreciate at ~0.85 PKR/month (~10 PKR/year)</w:t>
      </w:r>
    </w:p>
    <w:p w14:paraId="5AB3AA3F">
      <w:pPr>
        <w:pStyle w:val="16"/>
        <w:numPr>
          <w:ilvl w:val="0"/>
          <w:numId w:val="1"/>
        </w:numPr>
        <w:spacing w:before="60" w:after="60"/>
      </w:pPr>
      <w:r>
        <w:rPr>
          <w:rFonts w:ascii="Calibri" w:hAnsi="Calibri" w:eastAsia="Calibri" w:cs="Calibri"/>
          <w:color w:val="333333"/>
          <w:sz w:val="22"/>
          <w:szCs w:val="22"/>
        </w:rPr>
        <w:t>S&amp;P 500 index: projected to grow at 3% per annum compounding from the last known value</w:t>
      </w:r>
    </w:p>
    <w:p w14:paraId="710EF22F">
      <w:pPr>
        <w:spacing w:before="60"/>
      </w:pPr>
    </w:p>
    <w:p w14:paraId="16510E2E">
      <w:pPr>
        <w:spacing w:before="300" w:after="120"/>
      </w:pPr>
      <w:r>
        <w:rPr>
          <w:rFonts w:ascii="Calibri" w:hAnsi="Calibri" w:eastAsia="Calibri" w:cs="Calibri"/>
          <w:b/>
          <w:bCs/>
          <w:color w:val="16213E"/>
          <w:sz w:val="26"/>
          <w:szCs w:val="26"/>
        </w:rPr>
        <w:t>7.2 Key Price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67F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0E847B6D">
            <w:pPr>
              <w:jc w:val="left"/>
            </w:pPr>
            <w:r>
              <w:rPr>
                <w:rFonts w:ascii="Calibri" w:hAnsi="Calibri" w:eastAsia="Calibri" w:cs="Calibri"/>
                <w:b/>
                <w:bCs/>
                <w:color w:val="FFFFFF"/>
                <w:sz w:val="20"/>
                <w:szCs w:val="20"/>
              </w:rPr>
              <w:t>Period</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115C7121">
            <w:pPr>
              <w:jc w:val="right"/>
            </w:pPr>
            <w:r>
              <w:rPr>
                <w:rFonts w:ascii="Calibri" w:hAnsi="Calibri" w:eastAsia="Calibri" w:cs="Calibri"/>
                <w:b/>
                <w:bCs/>
                <w:color w:val="FFFFFF"/>
                <w:sz w:val="20"/>
                <w:szCs w:val="20"/>
              </w:rPr>
              <w:t>USD/oz</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480B84FB">
            <w:pPr>
              <w:jc w:val="right"/>
            </w:pPr>
            <w:r>
              <w:rPr>
                <w:rFonts w:ascii="Calibri" w:hAnsi="Calibri" w:eastAsia="Calibri" w:cs="Calibri"/>
                <w:b/>
                <w:bCs/>
                <w:color w:val="FFFFFF"/>
                <w:sz w:val="20"/>
                <w:szCs w:val="20"/>
              </w:rPr>
              <w:t>PKR Rate</w:t>
            </w:r>
          </w:p>
        </w:tc>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50" w:type="dxa"/>
              <w:bottom w:w="80" w:type="dxa"/>
              <w:right w:w="150" w:type="dxa"/>
            </w:tcMar>
            <w:vAlign w:val="center"/>
          </w:tcPr>
          <w:p w14:paraId="2929390C">
            <w:pPr>
              <w:jc w:val="right"/>
            </w:pPr>
            <w:r>
              <w:rPr>
                <w:rFonts w:ascii="Calibri" w:hAnsi="Calibri" w:eastAsia="Calibri" w:cs="Calibri"/>
                <w:b/>
                <w:bCs/>
                <w:color w:val="FFFFFF"/>
                <w:sz w:val="20"/>
                <w:szCs w:val="20"/>
              </w:rPr>
              <w:t>PKR/oz</w:t>
            </w:r>
          </w:p>
        </w:tc>
      </w:tr>
      <w:tr w14:paraId="2004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18B068DF">
            <w:pPr>
              <w:jc w:val="left"/>
            </w:pPr>
            <w:r>
              <w:rPr>
                <w:rFonts w:ascii="Calibri" w:hAnsi="Calibri" w:eastAsia="Calibri" w:cs="Calibri"/>
                <w:color w:val="333333"/>
                <w:sz w:val="20"/>
                <w:szCs w:val="20"/>
              </w:rPr>
              <w:t>Jan 2025</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167628A7">
            <w:pPr>
              <w:jc w:val="right"/>
            </w:pPr>
            <w:r>
              <w:rPr>
                <w:rFonts w:ascii="Calibri" w:hAnsi="Calibri" w:eastAsia="Calibri" w:cs="Calibri"/>
                <w:color w:val="333333"/>
                <w:sz w:val="20"/>
                <w:szCs w:val="20"/>
              </w:rPr>
              <w:t>$2,690</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36132A1A">
            <w:pPr>
              <w:jc w:val="right"/>
            </w:pPr>
            <w:r>
              <w:rPr>
                <w:rFonts w:ascii="Calibri" w:hAnsi="Calibri" w:eastAsia="Calibri" w:cs="Calibri"/>
                <w:color w:val="333333"/>
                <w:sz w:val="20"/>
                <w:szCs w:val="20"/>
              </w:rPr>
              <w:t>279.1</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27A5E64A">
            <w:pPr>
              <w:jc w:val="right"/>
            </w:pPr>
            <w:r>
              <w:rPr>
                <w:rFonts w:ascii="Calibri" w:hAnsi="Calibri" w:eastAsia="Calibri" w:cs="Calibri"/>
                <w:color w:val="333333"/>
                <w:sz w:val="20"/>
                <w:szCs w:val="20"/>
              </w:rPr>
              <w:t>PKR 750,900</w:t>
            </w:r>
          </w:p>
        </w:tc>
      </w:tr>
      <w:tr w14:paraId="3989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6A5C536F">
            <w:pPr>
              <w:jc w:val="left"/>
            </w:pPr>
            <w:r>
              <w:rPr>
                <w:rFonts w:ascii="Calibri" w:hAnsi="Calibri" w:eastAsia="Calibri" w:cs="Calibri"/>
                <w:color w:val="333333"/>
                <w:sz w:val="20"/>
                <w:szCs w:val="20"/>
              </w:rPr>
              <w:t>Jun 2025</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4055DBC7">
            <w:pPr>
              <w:jc w:val="right"/>
            </w:pPr>
            <w:r>
              <w:rPr>
                <w:rFonts w:ascii="Calibri" w:hAnsi="Calibri" w:eastAsia="Calibri" w:cs="Calibri"/>
                <w:color w:val="333333"/>
                <w:sz w:val="20"/>
                <w:szCs w:val="20"/>
              </w:rPr>
              <w:t>$2,700</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82CD0D9">
            <w:pPr>
              <w:jc w:val="right"/>
            </w:pPr>
            <w:r>
              <w:rPr>
                <w:rFonts w:ascii="Calibri" w:hAnsi="Calibri" w:eastAsia="Calibri" w:cs="Calibri"/>
                <w:color w:val="333333"/>
                <w:sz w:val="20"/>
                <w:szCs w:val="20"/>
              </w:rPr>
              <w:t>283.4</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5C19D977">
            <w:pPr>
              <w:jc w:val="right"/>
            </w:pPr>
            <w:r>
              <w:rPr>
                <w:rFonts w:ascii="Calibri" w:hAnsi="Calibri" w:eastAsia="Calibri" w:cs="Calibri"/>
                <w:color w:val="333333"/>
                <w:sz w:val="20"/>
                <w:szCs w:val="20"/>
              </w:rPr>
              <w:t>PKR 765,200</w:t>
            </w:r>
          </w:p>
        </w:tc>
      </w:tr>
      <w:tr w14:paraId="508B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21FBAD9">
            <w:pPr>
              <w:jc w:val="left"/>
            </w:pPr>
            <w:r>
              <w:rPr>
                <w:rFonts w:ascii="Calibri" w:hAnsi="Calibri" w:eastAsia="Calibri" w:cs="Calibri"/>
                <w:color w:val="333333"/>
                <w:sz w:val="20"/>
                <w:szCs w:val="20"/>
              </w:rPr>
              <w:t>Jan 2026</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5E6385C3">
            <w:pPr>
              <w:jc w:val="right"/>
            </w:pPr>
            <w:r>
              <w:rPr>
                <w:rFonts w:ascii="Calibri" w:hAnsi="Calibri" w:eastAsia="Calibri" w:cs="Calibri"/>
                <w:color w:val="333333"/>
                <w:sz w:val="20"/>
                <w:szCs w:val="20"/>
              </w:rPr>
              <w:t>$2,715</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341B45BB">
            <w:pPr>
              <w:jc w:val="right"/>
            </w:pPr>
            <w:r>
              <w:rPr>
                <w:rFonts w:ascii="Calibri" w:hAnsi="Calibri" w:eastAsia="Calibri" w:cs="Calibri"/>
                <w:color w:val="333333"/>
                <w:sz w:val="20"/>
                <w:szCs w:val="20"/>
              </w:rPr>
              <w:t>287.5</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E36A967">
            <w:pPr>
              <w:jc w:val="right"/>
            </w:pPr>
            <w:r>
              <w:rPr>
                <w:rFonts w:ascii="Calibri" w:hAnsi="Calibri" w:eastAsia="Calibri" w:cs="Calibri"/>
                <w:color w:val="333333"/>
                <w:sz w:val="20"/>
                <w:szCs w:val="20"/>
              </w:rPr>
              <w:t>PKR 780,600</w:t>
            </w:r>
          </w:p>
        </w:tc>
      </w:tr>
      <w:tr w14:paraId="53BA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6972514F">
            <w:pPr>
              <w:jc w:val="left"/>
            </w:pPr>
            <w:r>
              <w:rPr>
                <w:rFonts w:ascii="Calibri" w:hAnsi="Calibri" w:eastAsia="Calibri" w:cs="Calibri"/>
                <w:color w:val="333333"/>
                <w:sz w:val="20"/>
                <w:szCs w:val="20"/>
              </w:rPr>
              <w:t>Dec 2026</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E6B96DC">
            <w:pPr>
              <w:jc w:val="right"/>
            </w:pPr>
            <w:r>
              <w:rPr>
                <w:rFonts w:ascii="Calibri" w:hAnsi="Calibri" w:eastAsia="Calibri" w:cs="Calibri"/>
                <w:color w:val="333333"/>
                <w:sz w:val="20"/>
                <w:szCs w:val="20"/>
              </w:rPr>
              <w:t>$2,728</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6A1582BF">
            <w:pPr>
              <w:jc w:val="right"/>
            </w:pPr>
            <w:r>
              <w:rPr>
                <w:rFonts w:ascii="Calibri" w:hAnsi="Calibri" w:eastAsia="Calibri" w:cs="Calibri"/>
                <w:color w:val="333333"/>
                <w:sz w:val="20"/>
                <w:szCs w:val="20"/>
              </w:rPr>
              <w:t>297.3</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3F2E3008">
            <w:pPr>
              <w:jc w:val="right"/>
            </w:pPr>
            <w:r>
              <w:rPr>
                <w:rFonts w:ascii="Calibri" w:hAnsi="Calibri" w:eastAsia="Calibri" w:cs="Calibri"/>
                <w:color w:val="333333"/>
                <w:sz w:val="20"/>
                <w:szCs w:val="20"/>
              </w:rPr>
              <w:t>PKR 811,000</w:t>
            </w:r>
          </w:p>
        </w:tc>
      </w:tr>
      <w:tr w14:paraId="7A13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01ED9B4">
            <w:pPr>
              <w:jc w:val="left"/>
            </w:pPr>
            <w:r>
              <w:rPr>
                <w:rFonts w:ascii="Calibri" w:hAnsi="Calibri" w:eastAsia="Calibri" w:cs="Calibri"/>
                <w:color w:val="333333"/>
                <w:sz w:val="20"/>
                <w:szCs w:val="20"/>
              </w:rPr>
              <w:t>Jun 2027</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081D7903">
            <w:pPr>
              <w:jc w:val="right"/>
            </w:pPr>
            <w:r>
              <w:rPr>
                <w:rFonts w:ascii="Calibri" w:hAnsi="Calibri" w:eastAsia="Calibri" w:cs="Calibri"/>
                <w:color w:val="333333"/>
                <w:sz w:val="20"/>
                <w:szCs w:val="20"/>
              </w:rPr>
              <w:t>$2,736</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3143E6F4">
            <w:pPr>
              <w:jc w:val="right"/>
            </w:pPr>
            <w:r>
              <w:rPr>
                <w:rFonts w:ascii="Calibri" w:hAnsi="Calibri" w:eastAsia="Calibri" w:cs="Calibri"/>
                <w:color w:val="333333"/>
                <w:sz w:val="20"/>
                <w:szCs w:val="20"/>
              </w:rPr>
              <w:t>302.0</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54B02E54">
            <w:pPr>
              <w:jc w:val="right"/>
            </w:pPr>
            <w:r>
              <w:rPr>
                <w:rFonts w:ascii="Calibri" w:hAnsi="Calibri" w:eastAsia="Calibri" w:cs="Calibri"/>
                <w:color w:val="333333"/>
                <w:sz w:val="20"/>
                <w:szCs w:val="20"/>
              </w:rPr>
              <w:t>PKR 826,500</w:t>
            </w:r>
          </w:p>
        </w:tc>
      </w:tr>
      <w:tr w14:paraId="2875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18E94A41">
            <w:pPr>
              <w:jc w:val="left"/>
            </w:pPr>
            <w:r>
              <w:rPr>
                <w:rFonts w:ascii="Calibri" w:hAnsi="Calibri" w:eastAsia="Calibri" w:cs="Calibri"/>
                <w:color w:val="333333"/>
                <w:sz w:val="20"/>
                <w:szCs w:val="20"/>
              </w:rPr>
              <w:t>Jan 2028</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01D2F79F">
            <w:pPr>
              <w:jc w:val="right"/>
            </w:pPr>
            <w:r>
              <w:rPr>
                <w:rFonts w:ascii="Calibri" w:hAnsi="Calibri" w:eastAsia="Calibri" w:cs="Calibri"/>
                <w:color w:val="333333"/>
                <w:sz w:val="20"/>
                <w:szCs w:val="20"/>
              </w:rPr>
              <w:t>$2,743</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55E601A4">
            <w:pPr>
              <w:jc w:val="right"/>
            </w:pPr>
            <w:r>
              <w:rPr>
                <w:rFonts w:ascii="Calibri" w:hAnsi="Calibri" w:eastAsia="Calibri" w:cs="Calibri"/>
                <w:color w:val="333333"/>
                <w:sz w:val="20"/>
                <w:szCs w:val="20"/>
              </w:rPr>
              <w:t>306.6</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7A26A214">
            <w:pPr>
              <w:jc w:val="right"/>
            </w:pPr>
            <w:r>
              <w:rPr>
                <w:rFonts w:ascii="Calibri" w:hAnsi="Calibri" w:eastAsia="Calibri" w:cs="Calibri"/>
                <w:color w:val="333333"/>
                <w:sz w:val="20"/>
                <w:szCs w:val="20"/>
              </w:rPr>
              <w:t>PKR 841,000</w:t>
            </w:r>
          </w:p>
        </w:tc>
      </w:tr>
      <w:tr w14:paraId="372D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64ACDDC9">
            <w:pPr>
              <w:jc w:val="left"/>
            </w:pPr>
            <w:r>
              <w:rPr>
                <w:rFonts w:ascii="Calibri" w:hAnsi="Calibri" w:eastAsia="Calibri" w:cs="Calibri"/>
                <w:color w:val="333333"/>
                <w:sz w:val="20"/>
                <w:szCs w:val="20"/>
              </w:rPr>
              <w:t>Dec 2028</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389EFDE8">
            <w:pPr>
              <w:jc w:val="right"/>
            </w:pPr>
            <w:r>
              <w:rPr>
                <w:rFonts w:ascii="Calibri" w:hAnsi="Calibri" w:eastAsia="Calibri" w:cs="Calibri"/>
                <w:color w:val="333333"/>
                <w:sz w:val="20"/>
                <w:szCs w:val="20"/>
              </w:rPr>
              <w:t>$2,752</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4A01786B">
            <w:pPr>
              <w:jc w:val="right"/>
            </w:pPr>
            <w:r>
              <w:rPr>
                <w:rFonts w:ascii="Calibri" w:hAnsi="Calibri" w:eastAsia="Calibri" w:cs="Calibri"/>
                <w:color w:val="333333"/>
                <w:sz w:val="20"/>
                <w:szCs w:val="20"/>
              </w:rPr>
              <w:t>316.3</w:t>
            </w:r>
          </w:p>
        </w:tc>
        <w:tc>
          <w:tcPr>
            <w:tcW w:w="2340" w:type="dxa"/>
            <w:tcBorders>
              <w:top w:val="single" w:color="DDDDDD" w:sz="0" w:space="0"/>
              <w:left w:val="single" w:color="DDDDDD" w:sz="0" w:space="0"/>
              <w:bottom w:val="single" w:color="DDDDDD" w:sz="0" w:space="0"/>
              <w:right w:val="single" w:color="DDDDDD" w:sz="0" w:space="0"/>
            </w:tcBorders>
            <w:tcMar>
              <w:top w:w="60" w:type="dxa"/>
              <w:left w:w="150" w:type="dxa"/>
              <w:bottom w:w="60" w:type="dxa"/>
              <w:right w:w="150" w:type="dxa"/>
            </w:tcMar>
            <w:vAlign w:val="center"/>
          </w:tcPr>
          <w:p w14:paraId="221DA9CB">
            <w:pPr>
              <w:jc w:val="right"/>
            </w:pPr>
            <w:r>
              <w:rPr>
                <w:rFonts w:ascii="Calibri" w:hAnsi="Calibri" w:eastAsia="Calibri" w:cs="Calibri"/>
                <w:color w:val="333333"/>
                <w:sz w:val="20"/>
                <w:szCs w:val="20"/>
              </w:rPr>
              <w:t>PKR 870,500</w:t>
            </w:r>
          </w:p>
        </w:tc>
      </w:tr>
    </w:tbl>
    <w:p w14:paraId="52DAF897">
      <w:pPr>
        <w:spacing w:before="80" w:after="200"/>
        <w:jc w:val="center"/>
      </w:pPr>
      <w:r>
        <w:rPr>
          <w:rFonts w:ascii="Calibri" w:hAnsi="Calibri" w:eastAsia="Calibri" w:cs="Calibri"/>
          <w:i/>
          <w:iCs/>
          <w:color w:val="666666"/>
          <w:sz w:val="18"/>
          <w:szCs w:val="18"/>
        </w:rPr>
        <w:t>Table 4: Predicted Gold Price Milestones (2025–2028) with ±7% Confidence Band</w:t>
      </w:r>
    </w:p>
    <w:p w14:paraId="5A0D741A">
      <w:pPr>
        <w:spacing w:before="60"/>
      </w:pPr>
    </w:p>
    <w:p w14:paraId="45B73FD6">
      <w:pPr>
        <w:spacing w:before="300" w:after="120"/>
      </w:pPr>
      <w:r>
        <w:rPr>
          <w:rFonts w:ascii="Calibri" w:hAnsi="Calibri" w:eastAsia="Calibri" w:cs="Calibri"/>
          <w:b/>
          <w:bCs/>
          <w:color w:val="16213E"/>
          <w:sz w:val="26"/>
          <w:szCs w:val="26"/>
        </w:rPr>
        <w:t>7.3 Forecast Visualization</w:t>
      </w:r>
    </w:p>
    <w:p w14:paraId="25EA3874">
      <w:pPr>
        <w:spacing w:before="80" w:after="80"/>
        <w:jc w:val="both"/>
      </w:pPr>
      <w:r>
        <w:rPr>
          <w:rFonts w:ascii="Calibri" w:hAnsi="Calibri" w:eastAsia="Calibri" w:cs="Calibri"/>
          <w:color w:val="333333"/>
          <w:sz w:val="22"/>
          <w:szCs w:val="22"/>
        </w:rPr>
        <w:t>The chart below shows the full forecast alongside historical data, with a ±7% confidence band representing prediction uncertainty:</w:t>
      </w:r>
    </w:p>
    <w:p w14:paraId="0BC3E26E">
      <w:pPr>
        <w:spacing w:before="60"/>
      </w:pPr>
    </w:p>
    <w:p w14:paraId="762EE2B3">
      <w:pPr>
        <w:spacing w:before="160" w:after="60"/>
        <w:jc w:val="center"/>
      </w:pPr>
      <w:r>
        <w:drawing>
          <wp:inline distT="0" distB="0" distL="0" distR="0">
            <wp:extent cx="647700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477000" cy="4381500"/>
                    </a:xfrm>
                    <a:prstGeom prst="rect">
                      <a:avLst/>
                    </a:prstGeom>
                  </pic:spPr>
                </pic:pic>
              </a:graphicData>
            </a:graphic>
          </wp:inline>
        </w:drawing>
      </w:r>
    </w:p>
    <w:p w14:paraId="0DF66A74">
      <w:pPr>
        <w:spacing w:before="40" w:after="160"/>
        <w:jc w:val="center"/>
      </w:pPr>
      <w:r>
        <w:rPr>
          <w:rFonts w:ascii="Calibri" w:hAnsi="Calibri" w:eastAsia="Calibri" w:cs="Calibri"/>
          <w:i/>
          <w:iCs/>
          <w:color w:val="666666"/>
          <w:sz w:val="18"/>
          <w:szCs w:val="18"/>
        </w:rPr>
        <w:t>Figure 3: Gold Price Forecast 2014–2028 in USD and PKR (with ±7% Confidence Band)</w:t>
      </w:r>
    </w:p>
    <w:p w14:paraId="7D88B390">
      <w:pPr>
        <w:spacing w:before="60"/>
      </w:pPr>
    </w:p>
    <w:p w14:paraId="28FDB32C">
      <w:pPr>
        <w:spacing w:before="80" w:after="80"/>
        <w:jc w:val="both"/>
      </w:pPr>
      <w:r>
        <w:rPr>
          <w:rFonts w:ascii="Calibri" w:hAnsi="Calibri" w:eastAsia="Calibri" w:cs="Calibri"/>
          <w:color w:val="333333"/>
          <w:sz w:val="22"/>
          <w:szCs w:val="22"/>
        </w:rPr>
        <w:t>The forecast shows a moderate and steady upward trend in USD prices, reflecting continued global demand for gold as an inflation hedge. PKR prices rise more steeply due to assumed continued depreciation of the Pakistani Rupee.</w:t>
      </w:r>
    </w:p>
    <w:p w14:paraId="7E085B15">
      <w:pPr>
        <w:spacing w:before="120"/>
      </w:pPr>
    </w:p>
    <w:p w14:paraId="462E8B5B">
      <w:pPr>
        <w:pBdr>
          <w:bottom w:val="single" w:color="B8860B" w:sz="6" w:space="6"/>
        </w:pBdr>
        <w:spacing w:before="400" w:after="200"/>
      </w:pPr>
      <w:r>
        <w:rPr>
          <w:rFonts w:ascii="Georgia" w:hAnsi="Georgia" w:eastAsia="Georgia" w:cs="Georgia"/>
          <w:b/>
          <w:bCs/>
          <w:color w:val="1A1A2E"/>
          <w:sz w:val="36"/>
          <w:szCs w:val="36"/>
        </w:rPr>
        <w:t>8. Database Architecture &amp; Data Storage</w:t>
      </w:r>
    </w:p>
    <w:p w14:paraId="08AC745B">
      <w:pPr>
        <w:spacing w:before="80" w:after="80"/>
        <w:jc w:val="both"/>
      </w:pPr>
      <w:r>
        <w:rPr>
          <w:rFonts w:ascii="Calibri" w:hAnsi="Calibri" w:eastAsia="Calibri" w:cs="Calibri"/>
          <w:color w:val="333333"/>
          <w:sz w:val="22"/>
          <w:szCs w:val="22"/>
        </w:rPr>
        <w:t>The project uses a SQLite database with three tables:</w:t>
      </w:r>
    </w:p>
    <w:p w14:paraId="0ED5D084">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1C04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6DAD03D0">
            <w:r>
              <w:rPr>
                <w:rFonts w:ascii="Calibri" w:hAnsi="Calibri" w:eastAsia="Calibri" w:cs="Calibri"/>
                <w:b/>
                <w:bCs/>
                <w:color w:val="FFFFFF"/>
                <w:sz w:val="20"/>
                <w:szCs w:val="20"/>
              </w:rPr>
              <w:t>Table</w:t>
            </w:r>
          </w:p>
        </w:tc>
        <w:tc>
          <w:tcPr>
            <w:tcW w:w="351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24F26FE7">
            <w:r>
              <w:rPr>
                <w:rFonts w:ascii="Calibri" w:hAnsi="Calibri" w:eastAsia="Calibri" w:cs="Calibri"/>
                <w:b/>
                <w:bCs/>
                <w:color w:val="FFFFFF"/>
                <w:sz w:val="20"/>
                <w:szCs w:val="20"/>
              </w:rPr>
              <w:t>Columns</w:t>
            </w:r>
          </w:p>
        </w:tc>
        <w:tc>
          <w:tcPr>
            <w:tcW w:w="351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18EE5AA4">
            <w:r>
              <w:rPr>
                <w:rFonts w:ascii="Calibri" w:hAnsi="Calibri" w:eastAsia="Calibri" w:cs="Calibri"/>
                <w:b/>
                <w:bCs/>
                <w:color w:val="FFFFFF"/>
                <w:sz w:val="20"/>
                <w:szCs w:val="20"/>
              </w:rPr>
              <w:t>Purpose</w:t>
            </w:r>
          </w:p>
        </w:tc>
      </w:tr>
      <w:tr w14:paraId="3312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7CE48A8A">
            <w:r>
              <w:rPr>
                <w:rFonts w:ascii="Calibri" w:hAnsi="Calibri" w:eastAsia="Calibri" w:cs="Calibri"/>
                <w:b/>
                <w:bCs/>
                <w:color w:val="333333"/>
                <w:sz w:val="19"/>
                <w:szCs w:val="19"/>
              </w:rPr>
              <w:t>Gold_Prices</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7289F862">
            <w:r>
              <w:rPr>
                <w:rFonts w:ascii="Calibri" w:hAnsi="Calibri" w:eastAsia="Calibri" w:cs="Calibri"/>
                <w:b w:val="0"/>
                <w:bCs w:val="0"/>
                <w:color w:val="333333"/>
                <w:sz w:val="19"/>
                <w:szCs w:val="19"/>
              </w:rPr>
              <w:t>Date, Price (USD), Gold_Price_PKR</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73172612">
            <w:r>
              <w:rPr>
                <w:rFonts w:ascii="Calibri" w:hAnsi="Calibri" w:eastAsia="Calibri" w:cs="Calibri"/>
                <w:b w:val="0"/>
                <w:bCs w:val="0"/>
                <w:color w:val="333333"/>
                <w:sz w:val="19"/>
                <w:szCs w:val="19"/>
              </w:rPr>
              <w:t>Historical gold prices (monthly)</w:t>
            </w:r>
          </w:p>
        </w:tc>
      </w:tr>
      <w:tr w14:paraId="6880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1BFE192B">
            <w:r>
              <w:rPr>
                <w:rFonts w:ascii="Calibri" w:hAnsi="Calibri" w:eastAsia="Calibri" w:cs="Calibri"/>
                <w:b/>
                <w:bCs/>
                <w:color w:val="333333"/>
                <w:sz w:val="19"/>
                <w:szCs w:val="19"/>
              </w:rPr>
              <w:t>Market_Indicators</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6B2CC805">
            <w:r>
              <w:rPr>
                <w:rFonts w:ascii="Calibri" w:hAnsi="Calibri" w:eastAsia="Calibri" w:cs="Calibri"/>
                <w:b w:val="0"/>
                <w:bCs w:val="0"/>
                <w:color w:val="333333"/>
                <w:sz w:val="19"/>
                <w:szCs w:val="19"/>
              </w:rPr>
              <w:t>Date, stock_index, currency_rate, other_factors</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4430BF01">
            <w:r>
              <w:rPr>
                <w:rFonts w:ascii="Calibri" w:hAnsi="Calibri" w:eastAsia="Calibri" w:cs="Calibri"/>
                <w:b w:val="0"/>
                <w:bCs w:val="0"/>
                <w:color w:val="333333"/>
                <w:sz w:val="19"/>
                <w:szCs w:val="19"/>
              </w:rPr>
              <w:t>S&amp;P 500 and USD/PKR rates</w:t>
            </w:r>
          </w:p>
        </w:tc>
      </w:tr>
      <w:tr w14:paraId="13A0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0170FED5">
            <w:r>
              <w:rPr>
                <w:rFonts w:ascii="Calibri" w:hAnsi="Calibri" w:eastAsia="Calibri" w:cs="Calibri"/>
                <w:b/>
                <w:bCs/>
                <w:color w:val="333333"/>
                <w:sz w:val="19"/>
                <w:szCs w:val="19"/>
              </w:rPr>
              <w:t>Predictions</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07EA6AC2">
            <w:r>
              <w:rPr>
                <w:rFonts w:ascii="Calibri" w:hAnsi="Calibri" w:eastAsia="Calibri" w:cs="Calibri"/>
                <w:b w:val="0"/>
                <w:bCs w:val="0"/>
                <w:color w:val="333333"/>
                <w:sz w:val="19"/>
                <w:szCs w:val="19"/>
              </w:rPr>
              <w:t>ID, Date, predicted_price (PKR)</w:t>
            </w:r>
          </w:p>
        </w:tc>
        <w:tc>
          <w:tcPr>
            <w:tcW w:w="3510" w:type="dxa"/>
            <w:tcBorders>
              <w:top w:val="single" w:color="DDDDDD" w:sz="0" w:space="0"/>
              <w:left w:val="single" w:color="DDDDDD" w:sz="0" w:space="0"/>
              <w:bottom w:val="single" w:color="DDDDDD" w:sz="0" w:space="0"/>
              <w:right w:val="single" w:color="DDDDDD" w:sz="0" w:space="0"/>
            </w:tcBorders>
            <w:tcMar>
              <w:top w:w="70" w:type="dxa"/>
              <w:left w:w="120" w:type="dxa"/>
              <w:bottom w:w="70" w:type="dxa"/>
              <w:right w:w="120" w:type="dxa"/>
            </w:tcMar>
          </w:tcPr>
          <w:p w14:paraId="796B9507">
            <w:r>
              <w:rPr>
                <w:rFonts w:ascii="Calibri" w:hAnsi="Calibri" w:eastAsia="Calibri" w:cs="Calibri"/>
                <w:b w:val="0"/>
                <w:bCs w:val="0"/>
                <w:color w:val="333333"/>
                <w:sz w:val="19"/>
                <w:szCs w:val="19"/>
              </w:rPr>
              <w:t>Future predictions (2025–2028)</w:t>
            </w:r>
          </w:p>
        </w:tc>
      </w:tr>
    </w:tbl>
    <w:p w14:paraId="2D707E68">
      <w:pPr>
        <w:spacing w:before="80" w:after="200"/>
        <w:jc w:val="center"/>
      </w:pPr>
      <w:r>
        <w:rPr>
          <w:rFonts w:ascii="Calibri" w:hAnsi="Calibri" w:eastAsia="Calibri" w:cs="Calibri"/>
          <w:i/>
          <w:iCs/>
          <w:color w:val="666666"/>
          <w:sz w:val="18"/>
          <w:szCs w:val="18"/>
        </w:rPr>
        <w:t>Table 5: Database Schema Overview</w:t>
      </w:r>
    </w:p>
    <w:p w14:paraId="649B46AA">
      <w:pPr>
        <w:spacing w:before="60"/>
      </w:pPr>
    </w:p>
    <w:p w14:paraId="7E85BEE4">
      <w:pPr>
        <w:spacing w:before="80" w:after="80"/>
        <w:jc w:val="both"/>
      </w:pPr>
      <w:r>
        <w:rPr>
          <w:rFonts w:ascii="Calibri" w:hAnsi="Calibri" w:eastAsia="Calibri" w:cs="Calibri"/>
          <w:color w:val="333333"/>
          <w:sz w:val="22"/>
          <w:szCs w:val="22"/>
        </w:rPr>
        <w:t>Predictions are stored with the format (Year-Month, PKR_Price) and cleared before each new prediction run to maintain a single source of truth.</w:t>
      </w:r>
    </w:p>
    <w:p w14:paraId="26035C5B">
      <w:pPr>
        <w:spacing w:before="120"/>
      </w:pPr>
    </w:p>
    <w:p w14:paraId="28201E3F">
      <w:pPr>
        <w:pBdr>
          <w:bottom w:val="single" w:color="B8860B" w:sz="6" w:space="6"/>
        </w:pBdr>
        <w:spacing w:before="400" w:after="200"/>
      </w:pPr>
      <w:r>
        <w:rPr>
          <w:rFonts w:ascii="Georgia" w:hAnsi="Georgia" w:eastAsia="Georgia" w:cs="Georgia"/>
          <w:b/>
          <w:bCs/>
          <w:color w:val="1A1A2E"/>
          <w:sz w:val="36"/>
          <w:szCs w:val="36"/>
        </w:rPr>
        <w:t>9. Code Structure (9 Blocks)</w:t>
      </w:r>
    </w:p>
    <w:p w14:paraId="7AE77047">
      <w:pPr>
        <w:spacing w:before="80" w:after="80"/>
        <w:jc w:val="both"/>
      </w:pPr>
      <w:r>
        <w:rPr>
          <w:rFonts w:ascii="Calibri" w:hAnsi="Calibri" w:eastAsia="Calibri" w:cs="Calibri"/>
          <w:color w:val="333333"/>
          <w:sz w:val="22"/>
          <w:szCs w:val="22"/>
        </w:rPr>
        <w:t>The project is organized into 9 sequential Python code blocks:</w:t>
      </w:r>
    </w:p>
    <w:p w14:paraId="33AAB12B">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80"/>
        <w:gridCol w:w="5280"/>
      </w:tblGrid>
      <w:tr w14:paraId="0B6E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12B9FF82">
            <w:r>
              <w:rPr>
                <w:rFonts w:ascii="Calibri" w:hAnsi="Calibri" w:eastAsia="Calibri" w:cs="Calibri"/>
                <w:b/>
                <w:bCs/>
                <w:color w:val="FFFFFF"/>
                <w:sz w:val="20"/>
                <w:szCs w:val="20"/>
              </w:rPr>
              <w:t>Block</w:t>
            </w:r>
          </w:p>
        </w:tc>
        <w:tc>
          <w:tcPr>
            <w:tcW w:w="288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2A6A2BB6">
            <w:r>
              <w:rPr>
                <w:rFonts w:ascii="Calibri" w:hAnsi="Calibri" w:eastAsia="Calibri" w:cs="Calibri"/>
                <w:b/>
                <w:bCs/>
                <w:color w:val="FFFFFF"/>
                <w:sz w:val="20"/>
                <w:szCs w:val="20"/>
              </w:rPr>
              <w:t>Name</w:t>
            </w:r>
          </w:p>
        </w:tc>
        <w:tc>
          <w:tcPr>
            <w:tcW w:w="5280" w:type="dxa"/>
            <w:tcBorders>
              <w:top w:val="single" w:color="DDDDDD" w:sz="0" w:space="0"/>
              <w:left w:val="single" w:color="DDDDDD" w:sz="0" w:space="0"/>
              <w:bottom w:val="single" w:color="DDDDDD" w:sz="0" w:space="0"/>
              <w:right w:val="single" w:color="DDDDDD" w:sz="0" w:space="0"/>
            </w:tcBorders>
            <w:shd w:val="clear" w:color="auto" w:fill="1A1A2E"/>
            <w:tcMar>
              <w:top w:w="80" w:type="dxa"/>
              <w:left w:w="120" w:type="dxa"/>
              <w:bottom w:w="80" w:type="dxa"/>
              <w:right w:w="120" w:type="dxa"/>
            </w:tcMar>
          </w:tcPr>
          <w:p w14:paraId="4EFDDEF8">
            <w:r>
              <w:rPr>
                <w:rFonts w:ascii="Calibri" w:hAnsi="Calibri" w:eastAsia="Calibri" w:cs="Calibri"/>
                <w:b/>
                <w:bCs/>
                <w:color w:val="FFFFFF"/>
                <w:sz w:val="20"/>
                <w:szCs w:val="20"/>
              </w:rPr>
              <w:t>Description</w:t>
            </w:r>
          </w:p>
        </w:tc>
      </w:tr>
      <w:tr w14:paraId="4AF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511CE47">
            <w:r>
              <w:rPr>
                <w:rFonts w:ascii="Calibri" w:hAnsi="Calibri" w:eastAsia="Calibri" w:cs="Calibri"/>
                <w:b/>
                <w:bCs/>
                <w:color w:val="333333"/>
                <w:sz w:val="19"/>
                <w:szCs w:val="19"/>
              </w:rPr>
              <w:t>1</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AF037D5">
            <w:r>
              <w:rPr>
                <w:rFonts w:ascii="Calibri" w:hAnsi="Calibri" w:eastAsia="Calibri" w:cs="Calibri"/>
                <w:b/>
                <w:bCs/>
                <w:color w:val="333333"/>
                <w:sz w:val="19"/>
                <w:szCs w:val="19"/>
              </w:rPr>
              <w:t>Imports &amp; Setup</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8B3C35E">
            <w:r>
              <w:rPr>
                <w:rFonts w:ascii="Calibri" w:hAnsi="Calibri" w:eastAsia="Calibri" w:cs="Calibri"/>
                <w:b w:val="0"/>
                <w:bCs w:val="0"/>
                <w:color w:val="333333"/>
                <w:sz w:val="19"/>
                <w:szCs w:val="19"/>
              </w:rPr>
              <w:t>Imports all libraries: pandas, numpy, sklearn, matplotlib, sqlite3</w:t>
            </w:r>
          </w:p>
        </w:tc>
      </w:tr>
      <w:tr w14:paraId="6983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D500CE3">
            <w:r>
              <w:rPr>
                <w:rFonts w:ascii="Calibri" w:hAnsi="Calibri" w:eastAsia="Calibri" w:cs="Calibri"/>
                <w:b/>
                <w:bCs/>
                <w:color w:val="333333"/>
                <w:sz w:val="19"/>
                <w:szCs w:val="19"/>
              </w:rPr>
              <w:t>2</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D34E45D">
            <w:r>
              <w:rPr>
                <w:rFonts w:ascii="Calibri" w:hAnsi="Calibri" w:eastAsia="Calibri" w:cs="Calibri"/>
                <w:b/>
                <w:bCs/>
                <w:color w:val="333333"/>
                <w:sz w:val="19"/>
                <w:szCs w:val="19"/>
              </w:rPr>
              <w:t>Data Loading</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4C39815">
            <w:r>
              <w:rPr>
                <w:rFonts w:ascii="Calibri" w:hAnsi="Calibri" w:eastAsia="Calibri" w:cs="Calibri"/>
                <w:b w:val="0"/>
                <w:bCs w:val="0"/>
                <w:color w:val="333333"/>
                <w:sz w:val="19"/>
                <w:szCs w:val="19"/>
              </w:rPr>
              <w:t>Connects to SQLite DB, loads and merges Gold_Prices and Market_Indicators tables</w:t>
            </w:r>
          </w:p>
        </w:tc>
      </w:tr>
      <w:tr w14:paraId="1A88F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5D16CBAB">
            <w:r>
              <w:rPr>
                <w:rFonts w:ascii="Calibri" w:hAnsi="Calibri" w:eastAsia="Calibri" w:cs="Calibri"/>
                <w:b/>
                <w:bCs/>
                <w:color w:val="333333"/>
                <w:sz w:val="19"/>
                <w:szCs w:val="19"/>
              </w:rPr>
              <w:t>3</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96C018C">
            <w:r>
              <w:rPr>
                <w:rFonts w:ascii="Calibri" w:hAnsi="Calibri" w:eastAsia="Calibri" w:cs="Calibri"/>
                <w:b/>
                <w:bCs/>
                <w:color w:val="333333"/>
                <w:sz w:val="19"/>
                <w:szCs w:val="19"/>
              </w:rPr>
              <w:t>EDA &amp; Visualization</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C9E3AD8">
            <w:r>
              <w:rPr>
                <w:rFonts w:ascii="Calibri" w:hAnsi="Calibri" w:eastAsia="Calibri" w:cs="Calibri"/>
                <w:b w:val="0"/>
                <w:bCs w:val="0"/>
                <w:color w:val="333333"/>
                <w:sz w:val="19"/>
                <w:szCs w:val="19"/>
              </w:rPr>
              <w:t>Plots historical gold prices (USD &amp; PKR) and USD/PKR exchange rate; generates correlation matrix</w:t>
            </w:r>
          </w:p>
        </w:tc>
      </w:tr>
      <w:tr w14:paraId="63EE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DF6B81B">
            <w:r>
              <w:rPr>
                <w:rFonts w:ascii="Calibri" w:hAnsi="Calibri" w:eastAsia="Calibri" w:cs="Calibri"/>
                <w:b/>
                <w:bCs/>
                <w:color w:val="333333"/>
                <w:sz w:val="19"/>
                <w:szCs w:val="19"/>
              </w:rPr>
              <w:t>4</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01E04B4">
            <w:r>
              <w:rPr>
                <w:rFonts w:ascii="Calibri" w:hAnsi="Calibri" w:eastAsia="Calibri" w:cs="Calibri"/>
                <w:b/>
                <w:bCs/>
                <w:color w:val="333333"/>
                <w:sz w:val="19"/>
                <w:szCs w:val="19"/>
              </w:rPr>
              <w:t>Feature Engineering</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B040DD9">
            <w:r>
              <w:rPr>
                <w:rFonts w:ascii="Calibri" w:hAnsi="Calibri" w:eastAsia="Calibri" w:cs="Calibri"/>
                <w:b w:val="0"/>
                <w:bCs w:val="0"/>
                <w:color w:val="333333"/>
                <w:sz w:val="19"/>
                <w:szCs w:val="19"/>
              </w:rPr>
              <w:t>Creates time features (Year, Month, Month_Num), lag features (1, 3 months), rolling averages (3, 6 months)</w:t>
            </w:r>
          </w:p>
        </w:tc>
      </w:tr>
      <w:tr w14:paraId="593B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ABCCAC6">
            <w:r>
              <w:rPr>
                <w:rFonts w:ascii="Calibri" w:hAnsi="Calibri" w:eastAsia="Calibri" w:cs="Calibri"/>
                <w:b/>
                <w:bCs/>
                <w:color w:val="333333"/>
                <w:sz w:val="19"/>
                <w:szCs w:val="19"/>
              </w:rPr>
              <w:t>5</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3C770F3">
            <w:r>
              <w:rPr>
                <w:rFonts w:ascii="Calibri" w:hAnsi="Calibri" w:eastAsia="Calibri" w:cs="Calibri"/>
                <w:b/>
                <w:bCs/>
                <w:color w:val="333333"/>
                <w:sz w:val="19"/>
                <w:szCs w:val="19"/>
              </w:rPr>
              <w:t>Model Training</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1B0EC95">
            <w:r>
              <w:rPr>
                <w:rFonts w:ascii="Calibri" w:hAnsi="Calibri" w:eastAsia="Calibri" w:cs="Calibri"/>
                <w:b w:val="0"/>
                <w:bCs w:val="0"/>
                <w:color w:val="333333"/>
                <w:sz w:val="19"/>
                <w:szCs w:val="19"/>
              </w:rPr>
              <w:t>Splits data 80/20, trains Linear Regression and Random Forest; evaluates with RMSE, MAE, R²</w:t>
            </w:r>
          </w:p>
        </w:tc>
      </w:tr>
      <w:tr w14:paraId="50F7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688CFC9">
            <w:r>
              <w:rPr>
                <w:rFonts w:ascii="Calibri" w:hAnsi="Calibri" w:eastAsia="Calibri" w:cs="Calibri"/>
                <w:b/>
                <w:bCs/>
                <w:color w:val="333333"/>
                <w:sz w:val="19"/>
                <w:szCs w:val="19"/>
              </w:rPr>
              <w:t>6</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3B11439A">
            <w:r>
              <w:rPr>
                <w:rFonts w:ascii="Calibri" w:hAnsi="Calibri" w:eastAsia="Calibri" w:cs="Calibri"/>
                <w:b/>
                <w:bCs/>
                <w:color w:val="333333"/>
                <w:sz w:val="19"/>
                <w:szCs w:val="19"/>
              </w:rPr>
              <w:t>Future Predictions</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04AC8AB5">
            <w:r>
              <w:rPr>
                <w:rFonts w:ascii="Calibri" w:hAnsi="Calibri" w:eastAsia="Calibri" w:cs="Calibri"/>
                <w:b w:val="0"/>
                <w:bCs w:val="0"/>
                <w:color w:val="333333"/>
                <w:sz w:val="19"/>
                <w:szCs w:val="19"/>
              </w:rPr>
              <w:t>Iteratively predicts gold prices for Jan 2025 – Dec 2028 using projected PKR and S&amp;P 500 inputs</w:t>
            </w:r>
          </w:p>
        </w:tc>
      </w:tr>
      <w:tr w14:paraId="2B6B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498B4FC1">
            <w:r>
              <w:rPr>
                <w:rFonts w:ascii="Calibri" w:hAnsi="Calibri" w:eastAsia="Calibri" w:cs="Calibri"/>
                <w:b/>
                <w:bCs/>
                <w:color w:val="333333"/>
                <w:sz w:val="19"/>
                <w:szCs w:val="19"/>
              </w:rPr>
              <w:t>7</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DC42CAF">
            <w:r>
              <w:rPr>
                <w:rFonts w:ascii="Calibri" w:hAnsi="Calibri" w:eastAsia="Calibri" w:cs="Calibri"/>
                <w:b/>
                <w:bCs/>
                <w:color w:val="333333"/>
                <w:sz w:val="19"/>
                <w:szCs w:val="19"/>
              </w:rPr>
              <w:t>Forecast Visualization</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8637248">
            <w:r>
              <w:rPr>
                <w:rFonts w:ascii="Calibri" w:hAnsi="Calibri" w:eastAsia="Calibri" w:cs="Calibri"/>
                <w:b w:val="0"/>
                <w:bCs w:val="0"/>
                <w:color w:val="333333"/>
                <w:sz w:val="19"/>
                <w:szCs w:val="19"/>
              </w:rPr>
              <w:t>Plots historical + predicted prices (USD and PKR) with ±7% confidence bands</w:t>
            </w:r>
          </w:p>
        </w:tc>
      </w:tr>
      <w:tr w14:paraId="563B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5CB9FCA">
            <w:r>
              <w:rPr>
                <w:rFonts w:ascii="Calibri" w:hAnsi="Calibri" w:eastAsia="Calibri" w:cs="Calibri"/>
                <w:b/>
                <w:bCs/>
                <w:color w:val="333333"/>
                <w:sz w:val="19"/>
                <w:szCs w:val="19"/>
              </w:rPr>
              <w:t>8</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1A0A7128">
            <w:r>
              <w:rPr>
                <w:rFonts w:ascii="Calibri" w:hAnsi="Calibri" w:eastAsia="Calibri" w:cs="Calibri"/>
                <w:b/>
                <w:bCs/>
                <w:color w:val="333333"/>
                <w:sz w:val="19"/>
                <w:szCs w:val="19"/>
              </w:rPr>
              <w:t>Save to Database</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6B7018B9">
            <w:r>
              <w:rPr>
                <w:rFonts w:ascii="Calibri" w:hAnsi="Calibri" w:eastAsia="Calibri" w:cs="Calibri"/>
                <w:b w:val="0"/>
                <w:bCs w:val="0"/>
                <w:color w:val="333333"/>
                <w:sz w:val="19"/>
                <w:szCs w:val="19"/>
              </w:rPr>
              <w:t>Clears old predictions, inserts new forecasts into Predictions table in SQLite</w:t>
            </w:r>
          </w:p>
        </w:tc>
      </w:tr>
      <w:tr w14:paraId="2F3A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7B651326">
            <w:r>
              <w:rPr>
                <w:rFonts w:ascii="Calibri" w:hAnsi="Calibri" w:eastAsia="Calibri" w:cs="Calibri"/>
                <w:b/>
                <w:bCs/>
                <w:color w:val="333333"/>
                <w:sz w:val="19"/>
                <w:szCs w:val="19"/>
              </w:rPr>
              <w:t>9</w:t>
            </w:r>
          </w:p>
        </w:tc>
        <w:tc>
          <w:tcPr>
            <w:tcW w:w="28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24C7C256">
            <w:r>
              <w:rPr>
                <w:rFonts w:ascii="Calibri" w:hAnsi="Calibri" w:eastAsia="Calibri" w:cs="Calibri"/>
                <w:b/>
                <w:bCs/>
                <w:color w:val="333333"/>
                <w:sz w:val="19"/>
                <w:szCs w:val="19"/>
              </w:rPr>
              <w:t>Final Summary</w:t>
            </w:r>
          </w:p>
        </w:tc>
        <w:tc>
          <w:tcPr>
            <w:tcW w:w="5280" w:type="dxa"/>
            <w:tcBorders>
              <w:top w:val="single" w:color="DDDDDD" w:sz="0" w:space="0"/>
              <w:left w:val="single" w:color="DDDDDD" w:sz="0" w:space="0"/>
              <w:bottom w:val="single" w:color="DDDDDD" w:sz="0" w:space="0"/>
              <w:right w:val="single" w:color="DDDDDD" w:sz="0" w:space="0"/>
            </w:tcBorders>
            <w:tcMar>
              <w:top w:w="60" w:type="dxa"/>
              <w:left w:w="120" w:type="dxa"/>
              <w:bottom w:w="60" w:type="dxa"/>
              <w:right w:w="120" w:type="dxa"/>
            </w:tcMar>
          </w:tcPr>
          <w:p w14:paraId="055EB95C">
            <w:r>
              <w:rPr>
                <w:rFonts w:ascii="Calibri" w:hAnsi="Calibri" w:eastAsia="Calibri" w:cs="Calibri"/>
                <w:b w:val="0"/>
                <w:bCs w:val="0"/>
                <w:color w:val="333333"/>
                <w:sz w:val="19"/>
                <w:szCs w:val="19"/>
              </w:rPr>
              <w:t>Prints model performance metrics, key price milestones, and confirms output files saved</w:t>
            </w:r>
          </w:p>
        </w:tc>
      </w:tr>
    </w:tbl>
    <w:p w14:paraId="107E748F">
      <w:pPr>
        <w:spacing w:before="80" w:after="200"/>
        <w:jc w:val="center"/>
      </w:pPr>
      <w:r>
        <w:rPr>
          <w:rFonts w:ascii="Calibri" w:hAnsi="Calibri" w:eastAsia="Calibri" w:cs="Calibri"/>
          <w:i/>
          <w:iCs/>
          <w:color w:val="666666"/>
          <w:sz w:val="18"/>
          <w:szCs w:val="18"/>
        </w:rPr>
        <w:t>Table 6: Project Code Block Summary</w:t>
      </w:r>
    </w:p>
    <w:p w14:paraId="10D868F1">
      <w:pPr>
        <w:spacing w:before="120"/>
      </w:pPr>
    </w:p>
    <w:p w14:paraId="36AF17B0">
      <w:pPr>
        <w:pBdr>
          <w:bottom w:val="single" w:color="B8860B" w:sz="6" w:space="6"/>
        </w:pBdr>
        <w:spacing w:before="400" w:after="200"/>
      </w:pPr>
      <w:r>
        <w:rPr>
          <w:rFonts w:ascii="Georgia" w:hAnsi="Georgia" w:eastAsia="Georgia" w:cs="Georgia"/>
          <w:b/>
          <w:bCs/>
          <w:color w:val="1A1A2E"/>
          <w:sz w:val="36"/>
          <w:szCs w:val="36"/>
        </w:rPr>
        <w:t>10. Conclusions &amp; Recommendations</w:t>
      </w:r>
    </w:p>
    <w:p w14:paraId="20BF009F">
      <w:pPr>
        <w:spacing w:before="300" w:after="120"/>
      </w:pPr>
      <w:r>
        <w:rPr>
          <w:rFonts w:ascii="Calibri" w:hAnsi="Calibri" w:eastAsia="Calibri" w:cs="Calibri"/>
          <w:b/>
          <w:bCs/>
          <w:color w:val="16213E"/>
          <w:sz w:val="26"/>
          <w:szCs w:val="26"/>
        </w:rPr>
        <w:t>10.1 Key Findings</w:t>
      </w:r>
    </w:p>
    <w:p w14:paraId="6415C377">
      <w:pPr>
        <w:pStyle w:val="16"/>
        <w:numPr>
          <w:ilvl w:val="0"/>
          <w:numId w:val="1"/>
        </w:numPr>
        <w:spacing w:before="60" w:after="60"/>
      </w:pPr>
      <w:r>
        <w:rPr>
          <w:rFonts w:ascii="Calibri" w:hAnsi="Calibri" w:eastAsia="Calibri" w:cs="Calibri"/>
          <w:color w:val="333333"/>
          <w:sz w:val="22"/>
          <w:szCs w:val="22"/>
        </w:rPr>
        <w:t>Linear Regression (R² = 0.9796) proved superior to Random Forest (R² = 0.9213) for gold price forecasting in this dataset, validating that a strong underlying linear trend exists in long-term gold prices.</w:t>
      </w:r>
    </w:p>
    <w:p w14:paraId="373909FA">
      <w:pPr>
        <w:pStyle w:val="16"/>
        <w:numPr>
          <w:ilvl w:val="0"/>
          <w:numId w:val="1"/>
        </w:numPr>
        <w:spacing w:before="60" w:after="60"/>
      </w:pPr>
      <w:r>
        <w:rPr>
          <w:rFonts w:ascii="Calibri" w:hAnsi="Calibri" w:eastAsia="Calibri" w:cs="Calibri"/>
          <w:color w:val="333333"/>
          <w:sz w:val="22"/>
          <w:szCs w:val="22"/>
        </w:rPr>
        <w:t>PKR depreciation is the dominant amplifier of gold prices in Pakistan — the model confirms that even moderate USD price increases translate to large PKR price jumps.</w:t>
      </w:r>
    </w:p>
    <w:p w14:paraId="33D9BCE0">
      <w:pPr>
        <w:pStyle w:val="16"/>
        <w:numPr>
          <w:ilvl w:val="0"/>
          <w:numId w:val="1"/>
        </w:numPr>
        <w:spacing w:before="60" w:after="60"/>
      </w:pPr>
      <w:r>
        <w:rPr>
          <w:rFonts w:ascii="Calibri" w:hAnsi="Calibri" w:eastAsia="Calibri" w:cs="Calibri"/>
          <w:color w:val="333333"/>
          <w:sz w:val="22"/>
          <w:szCs w:val="22"/>
        </w:rPr>
        <w:t>Gold prices in USD are projected to grow moderately from ~$2,690 to ~$2,752/oz over 2025–2028.</w:t>
      </w:r>
    </w:p>
    <w:p w14:paraId="78E79DFD">
      <w:pPr>
        <w:pStyle w:val="16"/>
        <w:numPr>
          <w:ilvl w:val="0"/>
          <w:numId w:val="1"/>
        </w:numPr>
        <w:spacing w:before="60" w:after="60"/>
      </w:pPr>
      <w:r>
        <w:rPr>
          <w:rFonts w:ascii="Calibri" w:hAnsi="Calibri" w:eastAsia="Calibri" w:cs="Calibri"/>
          <w:color w:val="333333"/>
          <w:sz w:val="22"/>
          <w:szCs w:val="22"/>
        </w:rPr>
        <w:t>Gold prices in PKR are projected to grow from ~PKR 750,000 to ~PKR 870,500/oz, a 16% increase, primarily driven by currency depreciation.</w:t>
      </w:r>
    </w:p>
    <w:p w14:paraId="3BF7A18A">
      <w:pPr>
        <w:spacing w:before="60"/>
      </w:pPr>
    </w:p>
    <w:p w14:paraId="35BE18B0">
      <w:pPr>
        <w:spacing w:before="300" w:after="120"/>
      </w:pPr>
      <w:r>
        <w:rPr>
          <w:rFonts w:ascii="Calibri" w:hAnsi="Calibri" w:eastAsia="Calibri" w:cs="Calibri"/>
          <w:b/>
          <w:bCs/>
          <w:color w:val="16213E"/>
          <w:sz w:val="26"/>
          <w:szCs w:val="26"/>
        </w:rPr>
        <w:t>10.2 Limitations</w:t>
      </w:r>
    </w:p>
    <w:p w14:paraId="5D6EFF16">
      <w:pPr>
        <w:pStyle w:val="16"/>
        <w:numPr>
          <w:ilvl w:val="0"/>
          <w:numId w:val="1"/>
        </w:numPr>
        <w:spacing w:before="60" w:after="60"/>
      </w:pPr>
      <w:r>
        <w:rPr>
          <w:rFonts w:ascii="Calibri" w:hAnsi="Calibri" w:eastAsia="Calibri" w:cs="Calibri"/>
          <w:color w:val="333333"/>
          <w:sz w:val="22"/>
          <w:szCs w:val="22"/>
        </w:rPr>
        <w:t>The model assumes gradual, linear PKR depreciation (~10 PKR/year). Sudden devaluation events (as seen in 2022–2023) are not captured.</w:t>
      </w:r>
    </w:p>
    <w:p w14:paraId="53365C33">
      <w:pPr>
        <w:pStyle w:val="16"/>
        <w:numPr>
          <w:ilvl w:val="0"/>
          <w:numId w:val="1"/>
        </w:numPr>
        <w:spacing w:before="60" w:after="60"/>
      </w:pPr>
      <w:r>
        <w:rPr>
          <w:rFonts w:ascii="Calibri" w:hAnsi="Calibri" w:eastAsia="Calibri" w:cs="Calibri"/>
          <w:color w:val="333333"/>
          <w:sz w:val="22"/>
          <w:szCs w:val="22"/>
        </w:rPr>
        <w:t>Geopolitical events, interest rate changes, and oil price shocks — which are major drivers of gold prices — are not explicitly modeled.</w:t>
      </w:r>
    </w:p>
    <w:p w14:paraId="656E9B4A">
      <w:pPr>
        <w:pStyle w:val="16"/>
        <w:numPr>
          <w:ilvl w:val="0"/>
          <w:numId w:val="1"/>
        </w:numPr>
        <w:spacing w:before="60" w:after="60"/>
      </w:pPr>
      <w:r>
        <w:rPr>
          <w:rFonts w:ascii="Calibri" w:hAnsi="Calibri" w:eastAsia="Calibri" w:cs="Calibri"/>
          <w:color w:val="333333"/>
          <w:sz w:val="22"/>
          <w:szCs w:val="22"/>
        </w:rPr>
        <w:t>The ±7% confidence band is a heuristic estimate, not a statistically derived interval.</w:t>
      </w:r>
    </w:p>
    <w:p w14:paraId="09D1BE12">
      <w:pPr>
        <w:spacing w:before="60"/>
      </w:pPr>
    </w:p>
    <w:p w14:paraId="684A96FD">
      <w:pPr>
        <w:spacing w:before="300" w:after="120"/>
      </w:pPr>
      <w:r>
        <w:rPr>
          <w:rFonts w:ascii="Calibri" w:hAnsi="Calibri" w:eastAsia="Calibri" w:cs="Calibri"/>
          <w:b/>
          <w:bCs/>
          <w:color w:val="16213E"/>
          <w:sz w:val="26"/>
          <w:szCs w:val="26"/>
        </w:rPr>
        <w:t>10.3 Future Work</w:t>
      </w:r>
    </w:p>
    <w:p w14:paraId="77A526E1">
      <w:pPr>
        <w:pStyle w:val="16"/>
        <w:numPr>
          <w:ilvl w:val="0"/>
          <w:numId w:val="1"/>
        </w:numPr>
        <w:spacing w:before="60" w:after="60"/>
      </w:pPr>
      <w:r>
        <w:rPr>
          <w:rFonts w:ascii="Calibri" w:hAnsi="Calibri" w:eastAsia="Calibri" w:cs="Calibri"/>
          <w:color w:val="333333"/>
          <w:sz w:val="22"/>
          <w:szCs w:val="22"/>
        </w:rPr>
        <w:t>Incorporate macroeconomic indicators: inflation rates (CPI), Federal Reserve interest rates, and oil prices</w:t>
      </w:r>
    </w:p>
    <w:p w14:paraId="2E872D81">
      <w:pPr>
        <w:pStyle w:val="16"/>
        <w:numPr>
          <w:ilvl w:val="0"/>
          <w:numId w:val="1"/>
        </w:numPr>
        <w:spacing w:before="60" w:after="60"/>
      </w:pPr>
      <w:r>
        <w:rPr>
          <w:rFonts w:ascii="Calibri" w:hAnsi="Calibri" w:eastAsia="Calibri" w:cs="Calibri"/>
          <w:color w:val="333333"/>
          <w:sz w:val="22"/>
          <w:szCs w:val="22"/>
        </w:rPr>
        <w:t>Explore LSTM (Long Short-Term Memory) neural networks for better time-series forecasting</w:t>
      </w:r>
    </w:p>
    <w:p w14:paraId="029D8182">
      <w:pPr>
        <w:pStyle w:val="16"/>
        <w:numPr>
          <w:ilvl w:val="0"/>
          <w:numId w:val="1"/>
        </w:numPr>
        <w:spacing w:before="60" w:after="60"/>
      </w:pPr>
      <w:r>
        <w:rPr>
          <w:rFonts w:ascii="Calibri" w:hAnsi="Calibri" w:eastAsia="Calibri" w:cs="Calibri"/>
          <w:color w:val="333333"/>
          <w:sz w:val="22"/>
          <w:szCs w:val="22"/>
        </w:rPr>
        <w:t>Add real-time data pipeline using gold price APIs for live prediction updates</w:t>
      </w:r>
    </w:p>
    <w:p w14:paraId="5D70F53C">
      <w:pPr>
        <w:pStyle w:val="16"/>
        <w:numPr>
          <w:ilvl w:val="0"/>
          <w:numId w:val="1"/>
        </w:numPr>
        <w:spacing w:before="60" w:after="60"/>
      </w:pPr>
      <w:r>
        <w:rPr>
          <w:rFonts w:ascii="Calibri" w:hAnsi="Calibri" w:eastAsia="Calibri" w:cs="Calibri"/>
          <w:color w:val="333333"/>
          <w:sz w:val="22"/>
          <w:szCs w:val="22"/>
        </w:rPr>
        <w:t>Develop a web dashboard (Flask/Streamlit) for interactive gold price lookup and forecasting</w:t>
      </w:r>
    </w:p>
    <w:p w14:paraId="506F5744">
      <w:pPr>
        <w:spacing w:before="120"/>
      </w:pPr>
    </w:p>
    <w:p w14:paraId="21178C08">
      <w:pPr>
        <w:pBdr>
          <w:bottom w:val="single" w:color="B8860B" w:sz="6" w:space="6"/>
        </w:pBdr>
        <w:spacing w:before="400" w:after="200"/>
      </w:pPr>
      <w:r>
        <w:rPr>
          <w:rFonts w:ascii="Georgia" w:hAnsi="Georgia" w:eastAsia="Georgia" w:cs="Georgia"/>
          <w:b/>
          <w:bCs/>
          <w:color w:val="1A1A2E"/>
          <w:sz w:val="36"/>
          <w:szCs w:val="36"/>
        </w:rPr>
        <w:t>References</w:t>
      </w:r>
    </w:p>
    <w:p w14:paraId="6C8BC2DC">
      <w:pPr>
        <w:spacing w:before="80" w:after="80"/>
        <w:jc w:val="both"/>
      </w:pPr>
      <w:r>
        <w:rPr>
          <w:rFonts w:ascii="Calibri" w:hAnsi="Calibri" w:eastAsia="Calibri" w:cs="Calibri"/>
          <w:color w:val="333333"/>
          <w:sz w:val="22"/>
          <w:szCs w:val="22"/>
        </w:rPr>
        <w:t>1. Pedregosa et al. (2011). Scikit-learn: Machine Learning in Python. JMLR 12, 2825–2830.</w:t>
      </w:r>
    </w:p>
    <w:p w14:paraId="1032EC38">
      <w:pPr>
        <w:spacing w:before="80" w:after="80"/>
        <w:jc w:val="both"/>
      </w:pPr>
      <w:r>
        <w:rPr>
          <w:rFonts w:ascii="Calibri" w:hAnsi="Calibri" w:eastAsia="Calibri" w:cs="Calibri"/>
          <w:color w:val="333333"/>
          <w:sz w:val="22"/>
          <w:szCs w:val="22"/>
        </w:rPr>
        <w:t>2. Hunter, J.D. (2007). Matplotlib: A 2D Graphics Environment. Computing in Science &amp; Engineering, 9(3), 90–95.</w:t>
      </w:r>
    </w:p>
    <w:p w14:paraId="036131B1">
      <w:pPr>
        <w:spacing w:before="80" w:after="80"/>
        <w:jc w:val="both"/>
      </w:pPr>
      <w:r>
        <w:rPr>
          <w:rFonts w:ascii="Calibri" w:hAnsi="Calibri" w:eastAsia="Calibri" w:cs="Calibri"/>
          <w:color w:val="333333"/>
          <w:sz w:val="22"/>
          <w:szCs w:val="22"/>
        </w:rPr>
        <w:t>3. McKinney, W. (2010). Data Structures for Statistical Computing in Python. Proceedings of the 9th Python in Science Conference.</w:t>
      </w:r>
    </w:p>
    <w:p w14:paraId="16DDCEA7">
      <w:pPr>
        <w:spacing w:before="80" w:after="80"/>
        <w:jc w:val="both"/>
      </w:pPr>
      <w:r>
        <w:rPr>
          <w:rFonts w:ascii="Calibri" w:hAnsi="Calibri" w:eastAsia="Calibri" w:cs="Calibri"/>
          <w:color w:val="333333"/>
          <w:sz w:val="22"/>
          <w:szCs w:val="22"/>
        </w:rPr>
        <w:t>4. World Gold Council. (2024). Gold Price Historical Data. https://www.gold.org</w:t>
      </w:r>
    </w:p>
    <w:p w14:paraId="1FF4109B">
      <w:pPr>
        <w:spacing w:before="80" w:after="80"/>
        <w:jc w:val="both"/>
      </w:pPr>
      <w:r>
        <w:rPr>
          <w:rFonts w:ascii="Calibri" w:hAnsi="Calibri" w:eastAsia="Calibri" w:cs="Calibri"/>
          <w:color w:val="333333"/>
          <w:sz w:val="22"/>
          <w:szCs w:val="22"/>
        </w:rPr>
        <w:t>5. State Bank of Pakistan. (2024). Exchange Rate Archives. https://www.sbp.org.pk</w:t>
      </w:r>
      <w:bookmarkStart w:id="0" w:name="_GoBack"/>
      <w:bookmarkEnd w:id="0"/>
    </w:p>
    <w:p w14:paraId="2D1BE18E">
      <w:pPr>
        <w:spacing w:before="80" w:after="80"/>
        <w:jc w:val="both"/>
      </w:pPr>
      <w:r>
        <w:rPr>
          <w:rFonts w:ascii="Calibri" w:hAnsi="Calibri" w:eastAsia="Calibri" w:cs="Calibri"/>
          <w:color w:val="333333"/>
          <w:sz w:val="22"/>
          <w:szCs w:val="22"/>
        </w:rPr>
        <w:t>6. Breiman, L. (2001). Random Forests. Machine Learning, 45(1), 5–32.</w:t>
      </w:r>
    </w:p>
    <w:p w14:paraId="16CFB0C9">
      <w:pPr>
        <w:spacing w:before="120"/>
      </w:pP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7928E">
    <w:pPr>
      <w:pBdr>
        <w:top w:val="single" w:color="DDDDDD" w:sz="4" w:space="4"/>
      </w:pBdr>
      <w:spacing w:before="20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C3476">
    <w:pPr>
      <w:pBdr>
        <w:bottom w:val="single" w:color="B8860B" w:sz="4" w:space="4"/>
      </w:pBdr>
      <w:spacing w:after="200"/>
    </w:pPr>
    <w:r>
      <w:rPr>
        <w:rFonts w:ascii="Calibri" w:hAnsi="Calibri" w:eastAsia="Calibri" w:cs="Calibri"/>
        <w:b/>
        <w:bCs/>
        <w:color w:val="B8860B"/>
        <w:sz w:val="18"/>
        <w:szCs w:val="18"/>
      </w:rPr>
      <w:t>AI Gold Price Predictor</w:t>
    </w:r>
    <w:r>
      <w:rPr>
        <w:rFonts w:ascii="Calibri" w:hAnsi="Calibri" w:eastAsia="Calibri" w:cs="Calibri"/>
        <w:color w:val="999999"/>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05E23036"/>
    <w:rsid w:val="1C206DD6"/>
    <w:rsid w:val="3F7004B9"/>
    <w:rsid w:val="64457A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2026-04-25T17:17:00Z</dcterms:created>
  <dc:creator>Un-named</dc:creator>
  <cp:lastModifiedBy>DELL</cp:lastModifiedBy>
  <dcterms:modified xsi:type="dcterms:W3CDTF">2026-04-26T11:30:15Z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97059C6243504FA8A0CB57A1F495D471_13</vt:lpwstr>
  </property>
</Properties>
</file>