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5CD0" w:rsidRPr="00425CD0" w:rsidRDefault="00425CD0" w:rsidP="00425C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5C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Morpho: Decentralized Lending Infrastructure for Efficient On-Chain Credit</w:t>
      </w:r>
    </w:p>
    <w:p w:rsidR="00425CD0" w:rsidRPr="00425CD0" w:rsidRDefault="00425CD0" w:rsidP="00425CD0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t>Morpho is a DeFi lending protocol designed to improve capital efficiency by optimizing how lenders and borrowers interact. It combines the liquidity benefits of traditional lending pools with the efficiency of peer-to-peer matching.</w:t>
      </w:r>
    </w:p>
    <w:p w:rsidR="00425CD0" w:rsidRPr="00425CD0" w:rsidRDefault="00425CD0" w:rsidP="00425CD0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t>In simple terms:</w:t>
      </w:r>
    </w:p>
    <w:p w:rsidR="00425CD0" w:rsidRPr="00425CD0" w:rsidRDefault="00425CD0" w:rsidP="00425CD0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t>Morpho is trying to make crypto lending more efficient by directly matching lenders and borrowers whenever possible.</w:t>
      </w:r>
    </w:p>
    <w:p w:rsidR="00425CD0" w:rsidRPr="00425CD0" w:rsidRDefault="00425CD0" w:rsidP="00425CD0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25CD0" w:rsidRPr="00425CD0" w:rsidRDefault="00425CD0" w:rsidP="00425C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5CD0">
        <w:rPr>
          <w:rFonts w:ascii="Times New Roman" w:eastAsia="Times New Roman" w:hAnsi="Times New Roman" w:cs="Times New Roman"/>
          <w:b/>
          <w:bCs/>
          <w:sz w:val="36"/>
          <w:szCs w:val="36"/>
        </w:rPr>
        <w:t>Core Idea of Morpho</w:t>
      </w:r>
    </w:p>
    <w:p w:rsidR="00425CD0" w:rsidRPr="00425CD0" w:rsidRDefault="00425CD0" w:rsidP="00425CD0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t>Traditional DeFi lending protocols such as:</w:t>
      </w:r>
    </w:p>
    <w:p w:rsidR="00425CD0" w:rsidRPr="00425CD0" w:rsidRDefault="00425CD0" w:rsidP="00425CD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t xml:space="preserve">Aave </w:t>
      </w:r>
    </w:p>
    <w:p w:rsidR="00425CD0" w:rsidRPr="00425CD0" w:rsidRDefault="00425CD0" w:rsidP="00425CD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t xml:space="preserve">Compound </w:t>
      </w:r>
    </w:p>
    <w:p w:rsidR="00425CD0" w:rsidRPr="00425CD0" w:rsidRDefault="00425CD0" w:rsidP="00425CD0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t>use pooled liquidity models.</w:t>
      </w:r>
    </w:p>
    <w:p w:rsidR="00425CD0" w:rsidRPr="00425CD0" w:rsidRDefault="00425CD0" w:rsidP="00425CD0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425CD0" w:rsidRPr="00425CD0" w:rsidRDefault="00425CD0" w:rsidP="00425CD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t xml:space="preserve">Lenders deposit funds into a pool. </w:t>
      </w:r>
    </w:p>
    <w:p w:rsidR="00425CD0" w:rsidRPr="00425CD0" w:rsidRDefault="00425CD0" w:rsidP="00425CD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t xml:space="preserve">Borrowers take loans from the pool. </w:t>
      </w:r>
    </w:p>
    <w:p w:rsidR="00425CD0" w:rsidRPr="00425CD0" w:rsidRDefault="00425CD0" w:rsidP="00425CD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t xml:space="preserve">Interest rates are determined by supply and demand. </w:t>
      </w:r>
    </w:p>
    <w:p w:rsidR="00425CD0" w:rsidRPr="00425CD0" w:rsidRDefault="00425CD0" w:rsidP="00425CD0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t>While effective, this system can be inefficient because:</w:t>
      </w:r>
    </w:p>
    <w:p w:rsidR="00425CD0" w:rsidRPr="00425CD0" w:rsidRDefault="00425CD0" w:rsidP="00425CD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t xml:space="preserve">Lenders often earn lower yields. </w:t>
      </w:r>
    </w:p>
    <w:p w:rsidR="00425CD0" w:rsidRPr="00425CD0" w:rsidRDefault="00425CD0" w:rsidP="00425CD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t xml:space="preserve">Borrowers sometimes pay higher rates. </w:t>
      </w:r>
    </w:p>
    <w:p w:rsidR="00425CD0" w:rsidRPr="00425CD0" w:rsidRDefault="00425CD0" w:rsidP="00425CD0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t>Morpho attempts to solve this by:</w:t>
      </w:r>
    </w:p>
    <w:p w:rsidR="00425CD0" w:rsidRPr="00425CD0" w:rsidRDefault="00425CD0" w:rsidP="00425CD0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t>Matching lenders and borrowers directly while keeping the safety of lending pools as a fallback.</w:t>
      </w:r>
    </w:p>
    <w:p w:rsidR="00425CD0" w:rsidRPr="00425CD0" w:rsidRDefault="00425CD0" w:rsidP="00425CD0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25CD0" w:rsidRPr="00425CD0" w:rsidRDefault="00425CD0" w:rsidP="00425C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5CD0">
        <w:rPr>
          <w:rFonts w:ascii="Times New Roman" w:eastAsia="Times New Roman" w:hAnsi="Times New Roman" w:cs="Times New Roman"/>
          <w:b/>
          <w:bCs/>
          <w:sz w:val="36"/>
          <w:szCs w:val="36"/>
        </w:rPr>
        <w:t>How Morpho Works</w:t>
      </w:r>
    </w:p>
    <w:p w:rsidR="00425CD0" w:rsidRPr="00425CD0" w:rsidRDefault="00425CD0" w:rsidP="00425C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5CD0">
        <w:rPr>
          <w:rFonts w:ascii="Times New Roman" w:eastAsia="Times New Roman" w:hAnsi="Times New Roman" w:cs="Times New Roman"/>
          <w:b/>
          <w:bCs/>
          <w:sz w:val="27"/>
          <w:szCs w:val="27"/>
        </w:rPr>
        <w:t>1. Peer-to-Peer Matching</w:t>
      </w:r>
    </w:p>
    <w:p w:rsidR="00425CD0" w:rsidRPr="00425CD0" w:rsidRDefault="00425CD0" w:rsidP="00425CD0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t>When possible:</w:t>
      </w:r>
    </w:p>
    <w:p w:rsidR="00425CD0" w:rsidRPr="00425CD0" w:rsidRDefault="00425CD0" w:rsidP="00425CD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t xml:space="preserve">Lenders are matched directly with borrowers. </w:t>
      </w:r>
    </w:p>
    <w:p w:rsidR="00425CD0" w:rsidRPr="00425CD0" w:rsidRDefault="00425CD0" w:rsidP="00425CD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t xml:space="preserve">Borrowers receive lower rates. </w:t>
      </w:r>
    </w:p>
    <w:p w:rsidR="00425CD0" w:rsidRPr="00425CD0" w:rsidRDefault="00425CD0" w:rsidP="00425CD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Lenders earn higher yields. </w:t>
      </w:r>
    </w:p>
    <w:p w:rsidR="00425CD0" w:rsidRPr="00425CD0" w:rsidRDefault="00425CD0" w:rsidP="00425CD0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t>Both sides benefit.</w:t>
      </w:r>
    </w:p>
    <w:p w:rsidR="00425CD0" w:rsidRPr="00425CD0" w:rsidRDefault="00425CD0" w:rsidP="00425CD0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25CD0" w:rsidRPr="00425CD0" w:rsidRDefault="00425CD0" w:rsidP="00425C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5CD0">
        <w:rPr>
          <w:rFonts w:ascii="Times New Roman" w:eastAsia="Times New Roman" w:hAnsi="Times New Roman" w:cs="Times New Roman"/>
          <w:b/>
          <w:bCs/>
          <w:sz w:val="27"/>
          <w:szCs w:val="27"/>
        </w:rPr>
        <w:t>2. Pool Fallback Mechanism</w:t>
      </w:r>
    </w:p>
    <w:p w:rsidR="00425CD0" w:rsidRPr="00425CD0" w:rsidRDefault="00425CD0" w:rsidP="00425CD0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t>If direct matching is unavailable:</w:t>
      </w:r>
    </w:p>
    <w:p w:rsidR="00425CD0" w:rsidRPr="00425CD0" w:rsidRDefault="00425CD0" w:rsidP="00425CD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t xml:space="preserve">Deposits remain in liquidity pools. </w:t>
      </w:r>
    </w:p>
    <w:p w:rsidR="00425CD0" w:rsidRPr="00425CD0" w:rsidRDefault="00425CD0" w:rsidP="00425CD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t xml:space="preserve">Borrowers can still access liquidity. </w:t>
      </w:r>
    </w:p>
    <w:p w:rsidR="00425CD0" w:rsidRPr="00425CD0" w:rsidRDefault="00425CD0" w:rsidP="00425CD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t xml:space="preserve">Capital remains productive. </w:t>
      </w:r>
    </w:p>
    <w:p w:rsidR="00425CD0" w:rsidRPr="00425CD0" w:rsidRDefault="00425CD0" w:rsidP="00425CD0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t>This ensures reliability even when matching opportunities are limited.</w:t>
      </w:r>
    </w:p>
    <w:p w:rsidR="00425CD0" w:rsidRPr="00425CD0" w:rsidRDefault="00425CD0" w:rsidP="00425CD0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25CD0" w:rsidRPr="00425CD0" w:rsidRDefault="00425CD0" w:rsidP="00425C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5CD0">
        <w:rPr>
          <w:rFonts w:ascii="Times New Roman" w:eastAsia="Times New Roman" w:hAnsi="Times New Roman" w:cs="Times New Roman"/>
          <w:b/>
          <w:bCs/>
          <w:sz w:val="27"/>
          <w:szCs w:val="27"/>
        </w:rPr>
        <w:t>3. Permissionless Markets</w:t>
      </w:r>
    </w:p>
    <w:p w:rsidR="00425CD0" w:rsidRPr="00425CD0" w:rsidRDefault="00425CD0" w:rsidP="00425CD0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t>Morpho enables developers and institutions to create customized lending markets with:</w:t>
      </w:r>
    </w:p>
    <w:p w:rsidR="00425CD0" w:rsidRPr="00425CD0" w:rsidRDefault="00425CD0" w:rsidP="00425CD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t xml:space="preserve">Different collateral types </w:t>
      </w:r>
    </w:p>
    <w:p w:rsidR="00425CD0" w:rsidRPr="00425CD0" w:rsidRDefault="00425CD0" w:rsidP="00425CD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t xml:space="preserve">Risk parameters </w:t>
      </w:r>
    </w:p>
    <w:p w:rsidR="00425CD0" w:rsidRPr="00425CD0" w:rsidRDefault="00425CD0" w:rsidP="00425CD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t xml:space="preserve">Interest rate structures </w:t>
      </w:r>
    </w:p>
    <w:p w:rsidR="00425CD0" w:rsidRPr="00425CD0" w:rsidRDefault="00425CD0" w:rsidP="00425CD0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t>This expands flexibility beyond traditional lending systems.</w:t>
      </w:r>
    </w:p>
    <w:p w:rsidR="00425CD0" w:rsidRPr="00425CD0" w:rsidRDefault="00425CD0" w:rsidP="00425CD0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25CD0" w:rsidRPr="00425CD0" w:rsidRDefault="00425CD0" w:rsidP="00425C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5CD0">
        <w:rPr>
          <w:rFonts w:ascii="Times New Roman" w:eastAsia="Times New Roman" w:hAnsi="Times New Roman" w:cs="Times New Roman"/>
          <w:b/>
          <w:bCs/>
          <w:sz w:val="36"/>
          <w:szCs w:val="36"/>
        </w:rPr>
        <w:t>Morpho Blue</w:t>
      </w:r>
    </w:p>
    <w:p w:rsidR="00425CD0" w:rsidRPr="00425CD0" w:rsidRDefault="00425CD0" w:rsidP="00425CD0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t>One of Morpho's most important innovations is:</w:t>
      </w:r>
    </w:p>
    <w:p w:rsidR="00425CD0" w:rsidRPr="00425CD0" w:rsidRDefault="00425CD0" w:rsidP="00425CD0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t>Morpho Blue</w:t>
      </w:r>
    </w:p>
    <w:p w:rsidR="00425CD0" w:rsidRPr="00425CD0" w:rsidRDefault="00425CD0" w:rsidP="00425CD0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t>Morpho Blue provides:</w:t>
      </w:r>
    </w:p>
    <w:p w:rsidR="00425CD0" w:rsidRPr="00425CD0" w:rsidRDefault="00425CD0" w:rsidP="00425CD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t xml:space="preserve">Modular lending markets </w:t>
      </w:r>
    </w:p>
    <w:p w:rsidR="00425CD0" w:rsidRPr="00425CD0" w:rsidRDefault="00425CD0" w:rsidP="00425CD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t xml:space="preserve">Permissionless market creation </w:t>
      </w:r>
    </w:p>
    <w:p w:rsidR="00425CD0" w:rsidRPr="00425CD0" w:rsidRDefault="00425CD0" w:rsidP="00425CD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t xml:space="preserve">Simplified protocol architecture </w:t>
      </w:r>
    </w:p>
    <w:p w:rsidR="00425CD0" w:rsidRPr="00425CD0" w:rsidRDefault="00425CD0" w:rsidP="00425CD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t xml:space="preserve">Greater flexibility for developers </w:t>
      </w:r>
    </w:p>
    <w:p w:rsidR="00425CD0" w:rsidRPr="00425CD0" w:rsidRDefault="00425CD0" w:rsidP="00425CD0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t>Think of it as:</w:t>
      </w:r>
    </w:p>
    <w:p w:rsidR="00425CD0" w:rsidRPr="00425CD0" w:rsidRDefault="00425CD0" w:rsidP="00425CD0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t>A lending engine that others can build on top of.</w:t>
      </w:r>
    </w:p>
    <w:p w:rsidR="00425CD0" w:rsidRPr="00425CD0" w:rsidRDefault="00425CD0" w:rsidP="00425CD0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25CD0" w:rsidRPr="00425CD0" w:rsidRDefault="00425CD0" w:rsidP="00425C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5CD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Why Morpho Matters</w:t>
      </w:r>
    </w:p>
    <w:p w:rsidR="00425CD0" w:rsidRPr="00425CD0" w:rsidRDefault="00425CD0" w:rsidP="00425CD0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t>Lending is one of the largest sectors in DeFi because it enables:</w:t>
      </w:r>
    </w:p>
    <w:p w:rsidR="00425CD0" w:rsidRPr="00425CD0" w:rsidRDefault="00425CD0" w:rsidP="00425CD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t xml:space="preserve">Leverage </w:t>
      </w:r>
    </w:p>
    <w:p w:rsidR="00425CD0" w:rsidRPr="00425CD0" w:rsidRDefault="00425CD0" w:rsidP="00425CD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t xml:space="preserve">Liquidity access </w:t>
      </w:r>
    </w:p>
    <w:p w:rsidR="00425CD0" w:rsidRPr="00425CD0" w:rsidRDefault="00425CD0" w:rsidP="00425CD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t xml:space="preserve">Yield generation </w:t>
      </w:r>
    </w:p>
    <w:p w:rsidR="00425CD0" w:rsidRPr="00425CD0" w:rsidRDefault="00425CD0" w:rsidP="00425CD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t xml:space="preserve">Capital efficiency </w:t>
      </w:r>
    </w:p>
    <w:p w:rsidR="00425CD0" w:rsidRPr="00425CD0" w:rsidRDefault="00425CD0" w:rsidP="00425CD0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t>Morpho's goal is:</w:t>
      </w:r>
    </w:p>
    <w:p w:rsidR="00425CD0" w:rsidRPr="00425CD0" w:rsidRDefault="00425CD0" w:rsidP="00425CD0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t>Maximize efficiency without sacrificing liquidity.</w:t>
      </w:r>
    </w:p>
    <w:p w:rsidR="00425CD0" w:rsidRPr="00425CD0" w:rsidRDefault="00425CD0" w:rsidP="00425CD0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25CD0" w:rsidRPr="00425CD0" w:rsidRDefault="00425CD0" w:rsidP="00425C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5CD0">
        <w:rPr>
          <w:rFonts w:ascii="Times New Roman" w:eastAsia="Times New Roman" w:hAnsi="Times New Roman" w:cs="Times New Roman"/>
          <w:b/>
          <w:bCs/>
          <w:sz w:val="36"/>
          <w:szCs w:val="36"/>
        </w:rPr>
        <w:t>Key Use Cases</w:t>
      </w:r>
    </w:p>
    <w:p w:rsidR="00425CD0" w:rsidRPr="00425CD0" w:rsidRDefault="00425CD0" w:rsidP="00425C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5CD0">
        <w:rPr>
          <w:rFonts w:ascii="Times New Roman" w:eastAsia="Times New Roman" w:hAnsi="Times New Roman" w:cs="Times New Roman"/>
          <w:b/>
          <w:bCs/>
          <w:sz w:val="27"/>
          <w:szCs w:val="27"/>
        </w:rPr>
        <w:t>Borrowing</w:t>
      </w:r>
    </w:p>
    <w:p w:rsidR="00425CD0" w:rsidRPr="00425CD0" w:rsidRDefault="00425CD0" w:rsidP="00425CD0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t>Users can:</w:t>
      </w:r>
    </w:p>
    <w:p w:rsidR="00425CD0" w:rsidRPr="00425CD0" w:rsidRDefault="00425CD0" w:rsidP="00425CD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t xml:space="preserve">Borrow against crypto collateral </w:t>
      </w:r>
    </w:p>
    <w:p w:rsidR="00425CD0" w:rsidRPr="00425CD0" w:rsidRDefault="00425CD0" w:rsidP="00425CD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t xml:space="preserve">Access liquidity without selling assets </w:t>
      </w:r>
    </w:p>
    <w:p w:rsidR="00425CD0" w:rsidRPr="00425CD0" w:rsidRDefault="00425CD0" w:rsidP="00425CD0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25CD0" w:rsidRPr="00425CD0" w:rsidRDefault="00425CD0" w:rsidP="00425C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5CD0">
        <w:rPr>
          <w:rFonts w:ascii="Times New Roman" w:eastAsia="Times New Roman" w:hAnsi="Times New Roman" w:cs="Times New Roman"/>
          <w:b/>
          <w:bCs/>
          <w:sz w:val="27"/>
          <w:szCs w:val="27"/>
        </w:rPr>
        <w:t>Lending</w:t>
      </w:r>
    </w:p>
    <w:p w:rsidR="00425CD0" w:rsidRPr="00425CD0" w:rsidRDefault="00425CD0" w:rsidP="00425CD0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t>Lenders can:</w:t>
      </w:r>
    </w:p>
    <w:p w:rsidR="00425CD0" w:rsidRPr="00425CD0" w:rsidRDefault="00425CD0" w:rsidP="00425CD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t xml:space="preserve">Earn yield </w:t>
      </w:r>
    </w:p>
    <w:p w:rsidR="00425CD0" w:rsidRPr="00425CD0" w:rsidRDefault="00425CD0" w:rsidP="00425CD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t xml:space="preserve">Potentially achieve better returns through peer matching </w:t>
      </w:r>
    </w:p>
    <w:p w:rsidR="00425CD0" w:rsidRPr="00425CD0" w:rsidRDefault="00425CD0" w:rsidP="00425CD0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25CD0" w:rsidRPr="00425CD0" w:rsidRDefault="00425CD0" w:rsidP="00425C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5CD0">
        <w:rPr>
          <w:rFonts w:ascii="Times New Roman" w:eastAsia="Times New Roman" w:hAnsi="Times New Roman" w:cs="Times New Roman"/>
          <w:b/>
          <w:bCs/>
          <w:sz w:val="27"/>
          <w:szCs w:val="27"/>
        </w:rPr>
        <w:t>Institutional Markets</w:t>
      </w:r>
    </w:p>
    <w:p w:rsidR="00425CD0" w:rsidRPr="00425CD0" w:rsidRDefault="00425CD0" w:rsidP="00425CD0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t>Custom lending markets can be built for:</w:t>
      </w:r>
    </w:p>
    <w:p w:rsidR="00425CD0" w:rsidRPr="00425CD0" w:rsidRDefault="00425CD0" w:rsidP="00425CD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t xml:space="preserve">Funds </w:t>
      </w:r>
    </w:p>
    <w:p w:rsidR="00425CD0" w:rsidRPr="00425CD0" w:rsidRDefault="00425CD0" w:rsidP="00425CD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t xml:space="preserve">DAOs </w:t>
      </w:r>
    </w:p>
    <w:p w:rsidR="00425CD0" w:rsidRPr="00425CD0" w:rsidRDefault="00425CD0" w:rsidP="00425CD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t xml:space="preserve">Specialized credit products </w:t>
      </w:r>
    </w:p>
    <w:p w:rsidR="00425CD0" w:rsidRPr="00425CD0" w:rsidRDefault="00425CD0" w:rsidP="00425CD0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425CD0" w:rsidRPr="00425CD0" w:rsidRDefault="00425CD0" w:rsidP="00425C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5CD0">
        <w:rPr>
          <w:rFonts w:ascii="Times New Roman" w:eastAsia="Times New Roman" w:hAnsi="Times New Roman" w:cs="Times New Roman"/>
          <w:b/>
          <w:bCs/>
          <w:sz w:val="27"/>
          <w:szCs w:val="27"/>
        </w:rPr>
        <w:t>DeFi Infrastructure</w:t>
      </w:r>
    </w:p>
    <w:p w:rsidR="00425CD0" w:rsidRPr="00425CD0" w:rsidRDefault="00425CD0" w:rsidP="00425CD0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lastRenderedPageBreak/>
        <w:t>Developers can integrate Morpho lending functionality into their applications.</w:t>
      </w:r>
    </w:p>
    <w:p w:rsidR="00425CD0" w:rsidRPr="00425CD0" w:rsidRDefault="00425CD0" w:rsidP="00425CD0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425CD0" w:rsidRPr="00425CD0" w:rsidRDefault="00425CD0" w:rsidP="00425C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5CD0">
        <w:rPr>
          <w:rFonts w:ascii="Times New Roman" w:eastAsia="Times New Roman" w:hAnsi="Times New Roman" w:cs="Times New Roman"/>
          <w:b/>
          <w:bCs/>
          <w:sz w:val="36"/>
          <w:szCs w:val="36"/>
        </w:rPr>
        <w:t>Why Morpho Is Different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3167"/>
        <w:gridCol w:w="1602"/>
      </w:tblGrid>
      <w:tr w:rsidR="00425CD0" w:rsidRPr="00425CD0" w:rsidTr="00425C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5CD0" w:rsidRPr="00425CD0" w:rsidRDefault="00425CD0" w:rsidP="00425CD0">
            <w:pPr>
              <w:spacing w:before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5C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425CD0" w:rsidRPr="00425CD0" w:rsidRDefault="00425CD0" w:rsidP="00425CD0">
            <w:pPr>
              <w:spacing w:before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5C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Traditional Lending Protocols</w:t>
            </w:r>
          </w:p>
        </w:tc>
        <w:tc>
          <w:tcPr>
            <w:tcW w:w="0" w:type="auto"/>
            <w:vAlign w:val="center"/>
            <w:hideMark/>
          </w:tcPr>
          <w:p w:rsidR="00425CD0" w:rsidRPr="00425CD0" w:rsidRDefault="00425CD0" w:rsidP="00425CD0">
            <w:pPr>
              <w:spacing w:before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5C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Morpho</w:t>
            </w:r>
          </w:p>
        </w:tc>
      </w:tr>
      <w:tr w:rsidR="00425CD0" w:rsidRPr="00425CD0" w:rsidTr="00425C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5CD0" w:rsidRPr="00425CD0" w:rsidRDefault="00425CD0" w:rsidP="00425CD0">
            <w:pPr>
              <w:spacing w:before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CD0">
              <w:rPr>
                <w:rFonts w:ascii="Times New Roman" w:eastAsia="Times New Roman" w:hAnsi="Times New Roman" w:cs="Times New Roman"/>
                <w:sz w:val="24"/>
                <w:szCs w:val="24"/>
              </w:rPr>
              <w:t>Liquidity Source</w:t>
            </w:r>
          </w:p>
        </w:tc>
        <w:tc>
          <w:tcPr>
            <w:tcW w:w="0" w:type="auto"/>
            <w:vAlign w:val="center"/>
            <w:hideMark/>
          </w:tcPr>
          <w:p w:rsidR="00425CD0" w:rsidRPr="00425CD0" w:rsidRDefault="00425CD0" w:rsidP="00425CD0">
            <w:pPr>
              <w:spacing w:before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CD0">
              <w:rPr>
                <w:rFonts w:ascii="Times New Roman" w:eastAsia="Times New Roman" w:hAnsi="Times New Roman" w:cs="Times New Roman"/>
                <w:sz w:val="24"/>
                <w:szCs w:val="24"/>
              </w:rPr>
              <w:t>Shared pools</w:t>
            </w:r>
          </w:p>
        </w:tc>
        <w:tc>
          <w:tcPr>
            <w:tcW w:w="0" w:type="auto"/>
            <w:vAlign w:val="center"/>
            <w:hideMark/>
          </w:tcPr>
          <w:p w:rsidR="00425CD0" w:rsidRPr="00425CD0" w:rsidRDefault="00425CD0" w:rsidP="00425CD0">
            <w:pPr>
              <w:spacing w:before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CD0">
              <w:rPr>
                <w:rFonts w:ascii="Times New Roman" w:eastAsia="Times New Roman" w:hAnsi="Times New Roman" w:cs="Times New Roman"/>
                <w:sz w:val="24"/>
                <w:szCs w:val="24"/>
              </w:rPr>
              <w:t>P2P + pools</w:t>
            </w:r>
          </w:p>
        </w:tc>
      </w:tr>
      <w:tr w:rsidR="00425CD0" w:rsidRPr="00425CD0" w:rsidTr="00425C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5CD0" w:rsidRPr="00425CD0" w:rsidRDefault="00425CD0" w:rsidP="00425CD0">
            <w:pPr>
              <w:spacing w:before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CD0">
              <w:rPr>
                <w:rFonts w:ascii="Times New Roman" w:eastAsia="Times New Roman" w:hAnsi="Times New Roman" w:cs="Times New Roman"/>
                <w:sz w:val="24"/>
                <w:szCs w:val="24"/>
              </w:rPr>
              <w:t>Capital Efficiency</w:t>
            </w:r>
          </w:p>
        </w:tc>
        <w:tc>
          <w:tcPr>
            <w:tcW w:w="0" w:type="auto"/>
            <w:vAlign w:val="center"/>
            <w:hideMark/>
          </w:tcPr>
          <w:p w:rsidR="00425CD0" w:rsidRPr="00425CD0" w:rsidRDefault="00425CD0" w:rsidP="00425CD0">
            <w:pPr>
              <w:spacing w:before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CD0"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:rsidR="00425CD0" w:rsidRPr="00425CD0" w:rsidRDefault="00425CD0" w:rsidP="00425CD0">
            <w:pPr>
              <w:spacing w:before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CD0">
              <w:rPr>
                <w:rFonts w:ascii="Times New Roman" w:eastAsia="Times New Roman" w:hAnsi="Times New Roman" w:cs="Times New Roman"/>
                <w:sz w:val="24"/>
                <w:szCs w:val="24"/>
              </w:rPr>
              <w:t>Higher</w:t>
            </w:r>
          </w:p>
        </w:tc>
      </w:tr>
      <w:tr w:rsidR="00425CD0" w:rsidRPr="00425CD0" w:rsidTr="00425C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5CD0" w:rsidRPr="00425CD0" w:rsidRDefault="00425CD0" w:rsidP="00425CD0">
            <w:pPr>
              <w:spacing w:before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CD0">
              <w:rPr>
                <w:rFonts w:ascii="Times New Roman" w:eastAsia="Times New Roman" w:hAnsi="Times New Roman" w:cs="Times New Roman"/>
                <w:sz w:val="24"/>
                <w:szCs w:val="24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:rsidR="00425CD0" w:rsidRPr="00425CD0" w:rsidRDefault="00425CD0" w:rsidP="00425CD0">
            <w:pPr>
              <w:spacing w:before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CD0">
              <w:rPr>
                <w:rFonts w:ascii="Times New Roman" w:eastAsia="Times New Roman" w:hAnsi="Times New Roman" w:cs="Times New Roman"/>
                <w:sz w:val="24"/>
                <w:szCs w:val="24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:rsidR="00425CD0" w:rsidRPr="00425CD0" w:rsidRDefault="00425CD0" w:rsidP="00425CD0">
            <w:pPr>
              <w:spacing w:before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CD0">
              <w:rPr>
                <w:rFonts w:ascii="Times New Roman" w:eastAsia="Times New Roman" w:hAnsi="Times New Roman" w:cs="Times New Roman"/>
                <w:sz w:val="24"/>
                <w:szCs w:val="24"/>
              </w:rPr>
              <w:t>Highly modular</w:t>
            </w:r>
          </w:p>
        </w:tc>
      </w:tr>
      <w:tr w:rsidR="00425CD0" w:rsidRPr="00425CD0" w:rsidTr="00425C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5CD0" w:rsidRPr="00425CD0" w:rsidRDefault="00425CD0" w:rsidP="00425CD0">
            <w:pPr>
              <w:spacing w:before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CD0">
              <w:rPr>
                <w:rFonts w:ascii="Times New Roman" w:eastAsia="Times New Roman" w:hAnsi="Times New Roman" w:cs="Times New Roman"/>
                <w:sz w:val="24"/>
                <w:szCs w:val="24"/>
              </w:rPr>
              <w:t>Market Creation</w:t>
            </w:r>
          </w:p>
        </w:tc>
        <w:tc>
          <w:tcPr>
            <w:tcW w:w="0" w:type="auto"/>
            <w:vAlign w:val="center"/>
            <w:hideMark/>
          </w:tcPr>
          <w:p w:rsidR="00425CD0" w:rsidRPr="00425CD0" w:rsidRDefault="00425CD0" w:rsidP="00425CD0">
            <w:pPr>
              <w:spacing w:before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CD0">
              <w:rPr>
                <w:rFonts w:ascii="Times New Roman" w:eastAsia="Times New Roman" w:hAnsi="Times New Roman" w:cs="Times New Roman"/>
                <w:sz w:val="24"/>
                <w:szCs w:val="24"/>
              </w:rPr>
              <w:t>Restricted</w:t>
            </w:r>
          </w:p>
        </w:tc>
        <w:tc>
          <w:tcPr>
            <w:tcW w:w="0" w:type="auto"/>
            <w:vAlign w:val="center"/>
            <w:hideMark/>
          </w:tcPr>
          <w:p w:rsidR="00425CD0" w:rsidRPr="00425CD0" w:rsidRDefault="00425CD0" w:rsidP="00425CD0">
            <w:pPr>
              <w:spacing w:before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CD0">
              <w:rPr>
                <w:rFonts w:ascii="Times New Roman" w:eastAsia="Times New Roman" w:hAnsi="Times New Roman" w:cs="Times New Roman"/>
                <w:sz w:val="24"/>
                <w:szCs w:val="24"/>
              </w:rPr>
              <w:t>Permissionless</w:t>
            </w:r>
          </w:p>
        </w:tc>
      </w:tr>
    </w:tbl>
    <w:p w:rsidR="00425CD0" w:rsidRPr="00425CD0" w:rsidRDefault="00425CD0" w:rsidP="00425CD0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425CD0" w:rsidRPr="00425CD0" w:rsidRDefault="00425CD0" w:rsidP="00425C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5CD0">
        <w:rPr>
          <w:rFonts w:ascii="Times New Roman" w:eastAsia="Times New Roman" w:hAnsi="Times New Roman" w:cs="Times New Roman"/>
          <w:b/>
          <w:bCs/>
          <w:sz w:val="36"/>
          <w:szCs w:val="36"/>
        </w:rPr>
        <w:t>Token: MORPHO</w:t>
      </w:r>
    </w:p>
    <w:p w:rsidR="00425CD0" w:rsidRPr="00425CD0" w:rsidRDefault="00425CD0" w:rsidP="00425CD0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t>MORPHO is used for:</w:t>
      </w:r>
    </w:p>
    <w:p w:rsidR="00425CD0" w:rsidRPr="00425CD0" w:rsidRDefault="00425CD0" w:rsidP="00425CD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t xml:space="preserve">Governance </w:t>
      </w:r>
    </w:p>
    <w:p w:rsidR="00425CD0" w:rsidRPr="00425CD0" w:rsidRDefault="00425CD0" w:rsidP="00425CD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t xml:space="preserve">Protocol decisions </w:t>
      </w:r>
    </w:p>
    <w:p w:rsidR="00425CD0" w:rsidRPr="00425CD0" w:rsidRDefault="00425CD0" w:rsidP="00425CD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t xml:space="preserve">Ecosystem incentives </w:t>
      </w:r>
    </w:p>
    <w:p w:rsidR="00425CD0" w:rsidRPr="00425CD0" w:rsidRDefault="00425CD0" w:rsidP="00425CD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t xml:space="preserve">Community participation </w:t>
      </w:r>
    </w:p>
    <w:p w:rsidR="00425CD0" w:rsidRPr="00425CD0" w:rsidRDefault="00425CD0" w:rsidP="00425CD0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425CD0" w:rsidRPr="00425CD0" w:rsidRDefault="00425CD0" w:rsidP="00425C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5CD0">
        <w:rPr>
          <w:rFonts w:ascii="Times New Roman" w:eastAsia="Times New Roman" w:hAnsi="Times New Roman" w:cs="Times New Roman"/>
          <w:b/>
          <w:bCs/>
          <w:sz w:val="36"/>
          <w:szCs w:val="36"/>
        </w:rPr>
        <w:t>Strengths</w:t>
      </w:r>
    </w:p>
    <w:p w:rsidR="00425CD0" w:rsidRPr="00425CD0" w:rsidRDefault="00425CD0" w:rsidP="00425CD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t xml:space="preserve">Improves lending efficiency </w:t>
      </w:r>
    </w:p>
    <w:p w:rsidR="00425CD0" w:rsidRPr="00425CD0" w:rsidRDefault="00425CD0" w:rsidP="00425CD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t xml:space="preserve">Combines peer-to-peer and pooled liquidity </w:t>
      </w:r>
    </w:p>
    <w:p w:rsidR="00425CD0" w:rsidRPr="00425CD0" w:rsidRDefault="00425CD0" w:rsidP="00425CD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t xml:space="preserve">Highly modular architecture </w:t>
      </w:r>
    </w:p>
    <w:p w:rsidR="00425CD0" w:rsidRPr="00425CD0" w:rsidRDefault="00425CD0" w:rsidP="00425CD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t xml:space="preserve">Strong DeFi infrastructure positioning </w:t>
      </w:r>
    </w:p>
    <w:p w:rsidR="00425CD0" w:rsidRPr="00425CD0" w:rsidRDefault="00425CD0" w:rsidP="00425CD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t xml:space="preserve">Attractive to both retail and institutional users </w:t>
      </w:r>
    </w:p>
    <w:p w:rsidR="00425CD0" w:rsidRPr="00425CD0" w:rsidRDefault="00425CD0" w:rsidP="00425CD0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425CD0" w:rsidRPr="00425CD0" w:rsidRDefault="00425CD0" w:rsidP="00425C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5CD0">
        <w:rPr>
          <w:rFonts w:ascii="Times New Roman" w:eastAsia="Times New Roman" w:hAnsi="Times New Roman" w:cs="Times New Roman"/>
          <w:b/>
          <w:bCs/>
          <w:sz w:val="36"/>
          <w:szCs w:val="36"/>
        </w:rPr>
        <w:t>Risks and Challenges</w:t>
      </w:r>
    </w:p>
    <w:p w:rsidR="00425CD0" w:rsidRPr="00425CD0" w:rsidRDefault="00425CD0" w:rsidP="00425C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5CD0">
        <w:rPr>
          <w:rFonts w:ascii="Times New Roman" w:eastAsia="Times New Roman" w:hAnsi="Times New Roman" w:cs="Times New Roman"/>
          <w:b/>
          <w:bCs/>
          <w:sz w:val="27"/>
          <w:szCs w:val="27"/>
        </w:rPr>
        <w:t>1. Competition</w:t>
      </w:r>
    </w:p>
    <w:p w:rsidR="00425CD0" w:rsidRPr="00425CD0" w:rsidRDefault="00425CD0" w:rsidP="00425CD0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t>Competes with:</w:t>
      </w:r>
    </w:p>
    <w:p w:rsidR="00425CD0" w:rsidRPr="00425CD0" w:rsidRDefault="00425CD0" w:rsidP="00425CD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t xml:space="preserve">Aave </w:t>
      </w:r>
    </w:p>
    <w:p w:rsidR="00425CD0" w:rsidRPr="00425CD0" w:rsidRDefault="00425CD0" w:rsidP="00425CD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t xml:space="preserve">Compound </w:t>
      </w:r>
    </w:p>
    <w:p w:rsidR="00425CD0" w:rsidRPr="00425CD0" w:rsidRDefault="00425CD0" w:rsidP="00425CD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t xml:space="preserve">Spark </w:t>
      </w:r>
    </w:p>
    <w:p w:rsidR="00425CD0" w:rsidRPr="00425CD0" w:rsidRDefault="00425CD0" w:rsidP="00425CD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Other lending protocols </w:t>
      </w:r>
    </w:p>
    <w:p w:rsidR="00425CD0" w:rsidRPr="00425CD0" w:rsidRDefault="00425CD0" w:rsidP="00425CD0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425CD0" w:rsidRPr="00425CD0" w:rsidRDefault="00425CD0" w:rsidP="00425C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5CD0">
        <w:rPr>
          <w:rFonts w:ascii="Times New Roman" w:eastAsia="Times New Roman" w:hAnsi="Times New Roman" w:cs="Times New Roman"/>
          <w:b/>
          <w:bCs/>
          <w:sz w:val="27"/>
          <w:szCs w:val="27"/>
        </w:rPr>
        <w:t>2. Smart Contract Risk</w:t>
      </w:r>
    </w:p>
    <w:p w:rsidR="00425CD0" w:rsidRPr="00425CD0" w:rsidRDefault="00425CD0" w:rsidP="00425CD0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t>As with all DeFi protocols:</w:t>
      </w:r>
    </w:p>
    <w:p w:rsidR="00425CD0" w:rsidRPr="00425CD0" w:rsidRDefault="00425CD0" w:rsidP="00425CD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t xml:space="preserve">Bugs </w:t>
      </w:r>
    </w:p>
    <w:p w:rsidR="00425CD0" w:rsidRPr="00425CD0" w:rsidRDefault="00425CD0" w:rsidP="00425CD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t xml:space="preserve">Exploits </w:t>
      </w:r>
    </w:p>
    <w:p w:rsidR="00425CD0" w:rsidRPr="00425CD0" w:rsidRDefault="00425CD0" w:rsidP="00425CD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t xml:space="preserve">Security vulnerabilities </w:t>
      </w:r>
    </w:p>
    <w:p w:rsidR="00425CD0" w:rsidRPr="00425CD0" w:rsidRDefault="00425CD0" w:rsidP="00425CD0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t>remain possible.</w:t>
      </w:r>
    </w:p>
    <w:p w:rsidR="00425CD0" w:rsidRPr="00425CD0" w:rsidRDefault="00425CD0" w:rsidP="00425CD0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425CD0" w:rsidRPr="00425CD0" w:rsidRDefault="00425CD0" w:rsidP="00425C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5CD0">
        <w:rPr>
          <w:rFonts w:ascii="Times New Roman" w:eastAsia="Times New Roman" w:hAnsi="Times New Roman" w:cs="Times New Roman"/>
          <w:b/>
          <w:bCs/>
          <w:sz w:val="27"/>
          <w:szCs w:val="27"/>
        </w:rPr>
        <w:t>3. Liquidity Dependence</w:t>
      </w:r>
    </w:p>
    <w:p w:rsidR="00425CD0" w:rsidRPr="00425CD0" w:rsidRDefault="00425CD0" w:rsidP="00425CD0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t>Success depends on:</w:t>
      </w:r>
    </w:p>
    <w:p w:rsidR="00425CD0" w:rsidRPr="00425CD0" w:rsidRDefault="00425CD0" w:rsidP="00425CD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t xml:space="preserve">Active lenders </w:t>
      </w:r>
    </w:p>
    <w:p w:rsidR="00425CD0" w:rsidRPr="00425CD0" w:rsidRDefault="00425CD0" w:rsidP="00425CD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t xml:space="preserve">Active borrowers </w:t>
      </w:r>
    </w:p>
    <w:p w:rsidR="00425CD0" w:rsidRPr="00425CD0" w:rsidRDefault="00425CD0" w:rsidP="00425CD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t xml:space="preserve">Deep liquidity pools </w:t>
      </w:r>
    </w:p>
    <w:p w:rsidR="00425CD0" w:rsidRPr="00425CD0" w:rsidRDefault="00425CD0" w:rsidP="00425CD0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425CD0" w:rsidRPr="00425CD0" w:rsidRDefault="00425CD0" w:rsidP="00425C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5CD0">
        <w:rPr>
          <w:rFonts w:ascii="Times New Roman" w:eastAsia="Times New Roman" w:hAnsi="Times New Roman" w:cs="Times New Roman"/>
          <w:b/>
          <w:bCs/>
          <w:sz w:val="27"/>
          <w:szCs w:val="27"/>
        </w:rPr>
        <w:t>4. Market Conditions</w:t>
      </w:r>
    </w:p>
    <w:p w:rsidR="00425CD0" w:rsidRPr="00425CD0" w:rsidRDefault="00425CD0" w:rsidP="00425CD0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t>Lending demand can fluctuate significantly during:</w:t>
      </w:r>
    </w:p>
    <w:p w:rsidR="00425CD0" w:rsidRPr="00425CD0" w:rsidRDefault="00425CD0" w:rsidP="00425CD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t xml:space="preserve">Bull markets </w:t>
      </w:r>
    </w:p>
    <w:p w:rsidR="00425CD0" w:rsidRPr="00425CD0" w:rsidRDefault="00425CD0" w:rsidP="00425CD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t xml:space="preserve">Bear markets </w:t>
      </w:r>
    </w:p>
    <w:p w:rsidR="00425CD0" w:rsidRPr="00425CD0" w:rsidRDefault="00425CD0" w:rsidP="00425CD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t xml:space="preserve">Liquidity crises </w:t>
      </w:r>
    </w:p>
    <w:p w:rsidR="00425CD0" w:rsidRPr="00425CD0" w:rsidRDefault="00425CD0" w:rsidP="00425CD0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425CD0" w:rsidRPr="00425CD0" w:rsidRDefault="00425CD0" w:rsidP="00425C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5CD0">
        <w:rPr>
          <w:rFonts w:ascii="Times New Roman" w:eastAsia="Times New Roman" w:hAnsi="Times New Roman" w:cs="Times New Roman"/>
          <w:b/>
          <w:bCs/>
          <w:sz w:val="36"/>
          <w:szCs w:val="36"/>
        </w:rPr>
        <w:t>Why Many Investors Watch Morpho</w:t>
      </w:r>
    </w:p>
    <w:p w:rsidR="00425CD0" w:rsidRPr="00425CD0" w:rsidRDefault="00425CD0" w:rsidP="00425CD0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t>Morpho sits at the intersection of two major DeFi trends:</w:t>
      </w:r>
    </w:p>
    <w:p w:rsidR="00425CD0" w:rsidRPr="00425CD0" w:rsidRDefault="00425CD0" w:rsidP="00425C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5CD0">
        <w:rPr>
          <w:rFonts w:ascii="Times New Roman" w:eastAsia="Times New Roman" w:hAnsi="Times New Roman" w:cs="Times New Roman"/>
          <w:b/>
          <w:bCs/>
          <w:sz w:val="27"/>
          <w:szCs w:val="27"/>
        </w:rPr>
        <w:t>Capital Efficiency</w:t>
      </w:r>
    </w:p>
    <w:p w:rsidR="00425CD0" w:rsidRPr="00425CD0" w:rsidRDefault="00425CD0" w:rsidP="00425CD0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t>Making existing liquidity work better.</w:t>
      </w:r>
    </w:p>
    <w:p w:rsidR="00425CD0" w:rsidRPr="00425CD0" w:rsidRDefault="00425CD0" w:rsidP="00425C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5CD0">
        <w:rPr>
          <w:rFonts w:ascii="Times New Roman" w:eastAsia="Times New Roman" w:hAnsi="Times New Roman" w:cs="Times New Roman"/>
          <w:b/>
          <w:bCs/>
          <w:sz w:val="27"/>
          <w:szCs w:val="27"/>
        </w:rPr>
        <w:t>Modular Infrastructure</w:t>
      </w:r>
    </w:p>
    <w:p w:rsidR="00425CD0" w:rsidRPr="00425CD0" w:rsidRDefault="00425CD0" w:rsidP="00425CD0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lastRenderedPageBreak/>
        <w:t>Providing building blocks for future financial applications.</w:t>
      </w:r>
    </w:p>
    <w:p w:rsidR="00425CD0" w:rsidRPr="00425CD0" w:rsidRDefault="00425CD0" w:rsidP="00425CD0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t>Many view Morpho as:</w:t>
      </w:r>
    </w:p>
    <w:p w:rsidR="00425CD0" w:rsidRPr="00425CD0" w:rsidRDefault="00425CD0" w:rsidP="00425CD0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t>Infrastructure rather than a single lending application.</w:t>
      </w:r>
    </w:p>
    <w:p w:rsidR="00425CD0" w:rsidRPr="00425CD0" w:rsidRDefault="00425CD0" w:rsidP="00425CD0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425CD0" w:rsidRPr="00425CD0" w:rsidRDefault="00425CD0" w:rsidP="00425C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5CD0">
        <w:rPr>
          <w:rFonts w:ascii="Times New Roman" w:eastAsia="Times New Roman" w:hAnsi="Times New Roman" w:cs="Times New Roman"/>
          <w:b/>
          <w:bCs/>
          <w:sz w:val="36"/>
          <w:szCs w:val="36"/>
        </w:rPr>
        <w:t>Simple Mental Model</w:t>
      </w:r>
    </w:p>
    <w:p w:rsidR="00425CD0" w:rsidRPr="00425CD0" w:rsidRDefault="00425CD0" w:rsidP="00425CD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t xml:space="preserve">Compound → pooled lending </w:t>
      </w:r>
    </w:p>
    <w:p w:rsidR="00425CD0" w:rsidRPr="00425CD0" w:rsidRDefault="00425CD0" w:rsidP="00425CD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t xml:space="preserve">Aave → advanced lending markets </w:t>
      </w:r>
    </w:p>
    <w:p w:rsidR="00425CD0" w:rsidRPr="00425CD0" w:rsidRDefault="00425CD0" w:rsidP="00425CD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t xml:space="preserve">Maple → institutional credit markets </w:t>
      </w:r>
    </w:p>
    <w:p w:rsidR="00425CD0" w:rsidRPr="00425CD0" w:rsidRDefault="00425CD0" w:rsidP="00425CD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b/>
          <w:bCs/>
          <w:sz w:val="24"/>
          <w:szCs w:val="24"/>
        </w:rPr>
        <w:t>Morpho → optimized peer-to-peer lending infrastructure</w:t>
      </w:r>
      <w:r w:rsidRPr="00425C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5CD0" w:rsidRPr="00425CD0" w:rsidRDefault="00425CD0" w:rsidP="00425CD0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t>Or simply:</w:t>
      </w:r>
    </w:p>
    <w:p w:rsidR="00425CD0" w:rsidRPr="00425CD0" w:rsidRDefault="00425CD0" w:rsidP="00425CD0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t>Morpho helps lenders earn more and borrowers pay less by matching them directly whenever possible.</w:t>
      </w:r>
    </w:p>
    <w:p w:rsidR="00425CD0" w:rsidRPr="00425CD0" w:rsidRDefault="00425CD0" w:rsidP="00425CD0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425CD0" w:rsidRPr="00425CD0" w:rsidRDefault="00425CD0" w:rsidP="00425C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5CD0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:rsidR="00425CD0" w:rsidRPr="00425CD0" w:rsidRDefault="00425CD0" w:rsidP="00425CD0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25CD0">
        <w:rPr>
          <w:rFonts w:ascii="Times New Roman" w:eastAsia="Times New Roman" w:hAnsi="Times New Roman" w:cs="Times New Roman"/>
          <w:sz w:val="24"/>
          <w:szCs w:val="24"/>
        </w:rPr>
        <w:t>Morpho is a next-generation lending protocol that seeks to improve capital efficiency through peer-to-peer matching while preserving the liquidity advantages of traditional lending pools. With innovations like Morpho Blue, it is evolving into a modular lending infrastructure layer for the broader DeFi ecosystem.</w:t>
      </w:r>
    </w:p>
    <w:p w:rsidR="006D3A72" w:rsidRPr="00425CD0" w:rsidRDefault="006D3A72" w:rsidP="00425CD0">
      <w:bookmarkStart w:id="0" w:name="_GoBack"/>
      <w:bookmarkEnd w:id="0"/>
    </w:p>
    <w:sectPr w:rsidR="006D3A72" w:rsidRPr="00425CD0" w:rsidSect="00DD5358">
      <w:pgSz w:w="12240" w:h="15840"/>
      <w:pgMar w:top="1440" w:right="1440" w:bottom="1440" w:left="1440" w:header="288" w:footer="72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61038" w:rsidRDefault="00D61038">
      <w:pPr>
        <w:spacing w:line="240" w:lineRule="auto"/>
      </w:pPr>
      <w:r>
        <w:separator/>
      </w:r>
    </w:p>
  </w:endnote>
  <w:endnote w:type="continuationSeparator" w:id="0">
    <w:p w:rsidR="00D61038" w:rsidRDefault="00D6103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61038" w:rsidRDefault="00D61038">
      <w:pPr>
        <w:spacing w:line="240" w:lineRule="auto"/>
      </w:pPr>
      <w:r>
        <w:separator/>
      </w:r>
    </w:p>
  </w:footnote>
  <w:footnote w:type="continuationSeparator" w:id="0">
    <w:p w:rsidR="00D61038" w:rsidRDefault="00D6103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D5245F3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64F08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C127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A4221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72242BE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32A87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B85B8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6270F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907A25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D24B74"/>
    <w:multiLevelType w:val="multilevel"/>
    <w:tmpl w:val="EBB2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7212535"/>
    <w:multiLevelType w:val="multilevel"/>
    <w:tmpl w:val="3DF40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0F02D9"/>
    <w:multiLevelType w:val="multilevel"/>
    <w:tmpl w:val="0192A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B562EA"/>
    <w:multiLevelType w:val="multilevel"/>
    <w:tmpl w:val="04F0B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055402"/>
    <w:multiLevelType w:val="multilevel"/>
    <w:tmpl w:val="297E4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4F5634"/>
    <w:multiLevelType w:val="multilevel"/>
    <w:tmpl w:val="915AA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91202F"/>
    <w:multiLevelType w:val="multilevel"/>
    <w:tmpl w:val="D4DEE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2C4197"/>
    <w:multiLevelType w:val="multilevel"/>
    <w:tmpl w:val="13642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681BAE"/>
    <w:multiLevelType w:val="multilevel"/>
    <w:tmpl w:val="1F6CB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A76092"/>
    <w:multiLevelType w:val="multilevel"/>
    <w:tmpl w:val="3A6ED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DE7777"/>
    <w:multiLevelType w:val="multilevel"/>
    <w:tmpl w:val="AAEC8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F15FE2"/>
    <w:multiLevelType w:val="multilevel"/>
    <w:tmpl w:val="4E8A6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796A61"/>
    <w:multiLevelType w:val="multilevel"/>
    <w:tmpl w:val="A254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E60EEA"/>
    <w:multiLevelType w:val="multilevel"/>
    <w:tmpl w:val="D56C0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28785A"/>
    <w:multiLevelType w:val="multilevel"/>
    <w:tmpl w:val="D99AA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3D6ACB"/>
    <w:multiLevelType w:val="multilevel"/>
    <w:tmpl w:val="7338C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B25A6E"/>
    <w:multiLevelType w:val="multilevel"/>
    <w:tmpl w:val="CFB27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783250"/>
    <w:multiLevelType w:val="multilevel"/>
    <w:tmpl w:val="AE26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7B493F"/>
    <w:multiLevelType w:val="multilevel"/>
    <w:tmpl w:val="9250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4C77C6"/>
    <w:multiLevelType w:val="multilevel"/>
    <w:tmpl w:val="38AC6FF4"/>
    <w:lvl w:ilvl="0">
      <w:start w:val="1"/>
      <w:numFmt w:val="decimal"/>
      <w:pStyle w:val="ListNumber"/>
      <w:lvlText w:val="%1."/>
      <w:lvlJc w:val="left"/>
      <w:pPr>
        <w:ind w:left="792" w:hanging="360"/>
      </w:pPr>
      <w:rPr>
        <w:rFonts w:hint="default"/>
        <w:b/>
        <w:color w:val="2B579A" w:themeColor="accent5"/>
        <w:sz w:val="28"/>
        <w:szCs w:val="28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num w:numId="1">
    <w:abstractNumId w:val="28"/>
  </w:num>
  <w:num w:numId="2">
    <w:abstractNumId w:val="28"/>
    <w:lvlOverride w:ilvl="0">
      <w:startOverride w:val="1"/>
    </w:lvlOverride>
  </w:num>
  <w:num w:numId="3">
    <w:abstractNumId w:val="28"/>
  </w:num>
  <w:num w:numId="4">
    <w:abstractNumId w:val="28"/>
    <w:lvlOverride w:ilvl="0">
      <w:startOverride w:val="1"/>
    </w:lvlOverride>
  </w:num>
  <w:num w:numId="5">
    <w:abstractNumId w:val="8"/>
  </w:num>
  <w:num w:numId="6">
    <w:abstractNumId w:val="28"/>
    <w:lvlOverride w:ilvl="0">
      <w:startOverride w:val="1"/>
    </w:lvlOverride>
  </w:num>
  <w:num w:numId="7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9"/>
  </w:num>
  <w:num w:numId="9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</w:num>
  <w:num w:numId="12">
    <w:abstractNumId w:val="6"/>
  </w:num>
  <w:num w:numId="13">
    <w:abstractNumId w:val="5"/>
  </w:num>
  <w:num w:numId="14">
    <w:abstractNumId w:val="4"/>
  </w:num>
  <w:num w:numId="15">
    <w:abstractNumId w:val="3"/>
  </w:num>
  <w:num w:numId="16">
    <w:abstractNumId w:val="2"/>
  </w:num>
  <w:num w:numId="17">
    <w:abstractNumId w:val="1"/>
  </w:num>
  <w:num w:numId="18">
    <w:abstractNumId w:val="0"/>
  </w:num>
  <w:num w:numId="19">
    <w:abstractNumId w:val="19"/>
  </w:num>
  <w:num w:numId="20">
    <w:abstractNumId w:val="15"/>
  </w:num>
  <w:num w:numId="21">
    <w:abstractNumId w:val="17"/>
  </w:num>
  <w:num w:numId="22">
    <w:abstractNumId w:val="22"/>
  </w:num>
  <w:num w:numId="23">
    <w:abstractNumId w:val="11"/>
  </w:num>
  <w:num w:numId="24">
    <w:abstractNumId w:val="24"/>
  </w:num>
  <w:num w:numId="25">
    <w:abstractNumId w:val="21"/>
  </w:num>
  <w:num w:numId="26">
    <w:abstractNumId w:val="23"/>
  </w:num>
  <w:num w:numId="27">
    <w:abstractNumId w:val="16"/>
  </w:num>
  <w:num w:numId="28">
    <w:abstractNumId w:val="27"/>
  </w:num>
  <w:num w:numId="29">
    <w:abstractNumId w:val="20"/>
  </w:num>
  <w:num w:numId="30">
    <w:abstractNumId w:val="13"/>
  </w:num>
  <w:num w:numId="31">
    <w:abstractNumId w:val="14"/>
  </w:num>
  <w:num w:numId="32">
    <w:abstractNumId w:val="10"/>
  </w:num>
  <w:num w:numId="33">
    <w:abstractNumId w:val="18"/>
  </w:num>
  <w:num w:numId="34">
    <w:abstractNumId w:val="25"/>
  </w:num>
  <w:num w:numId="35">
    <w:abstractNumId w:val="12"/>
  </w:num>
  <w:num w:numId="3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removePersonalInformation/>
  <w:removeDateAndTime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5CD0"/>
    <w:rsid w:val="00007202"/>
    <w:rsid w:val="000150E9"/>
    <w:rsid w:val="00030E3C"/>
    <w:rsid w:val="00072D27"/>
    <w:rsid w:val="00083C22"/>
    <w:rsid w:val="00086E87"/>
    <w:rsid w:val="000871A8"/>
    <w:rsid w:val="000A036B"/>
    <w:rsid w:val="000D0E4A"/>
    <w:rsid w:val="000F11B9"/>
    <w:rsid w:val="00102341"/>
    <w:rsid w:val="00105960"/>
    <w:rsid w:val="001073CE"/>
    <w:rsid w:val="00121553"/>
    <w:rsid w:val="00131CAB"/>
    <w:rsid w:val="001D0BD1"/>
    <w:rsid w:val="002017AC"/>
    <w:rsid w:val="002359ED"/>
    <w:rsid w:val="00252520"/>
    <w:rsid w:val="002625F9"/>
    <w:rsid w:val="002631F7"/>
    <w:rsid w:val="0026484A"/>
    <w:rsid w:val="0026504D"/>
    <w:rsid w:val="00276926"/>
    <w:rsid w:val="002A67C8"/>
    <w:rsid w:val="002B40B7"/>
    <w:rsid w:val="002C5D75"/>
    <w:rsid w:val="00301789"/>
    <w:rsid w:val="00325194"/>
    <w:rsid w:val="003728E3"/>
    <w:rsid w:val="003962D3"/>
    <w:rsid w:val="003C7D9D"/>
    <w:rsid w:val="003E3A63"/>
    <w:rsid w:val="00425CD0"/>
    <w:rsid w:val="00457BEB"/>
    <w:rsid w:val="00461B2E"/>
    <w:rsid w:val="00482CFC"/>
    <w:rsid w:val="00487996"/>
    <w:rsid w:val="00491910"/>
    <w:rsid w:val="004A3D03"/>
    <w:rsid w:val="004B6D7F"/>
    <w:rsid w:val="004D785F"/>
    <w:rsid w:val="004E744B"/>
    <w:rsid w:val="004F7760"/>
    <w:rsid w:val="00520AC9"/>
    <w:rsid w:val="00594254"/>
    <w:rsid w:val="005B6EB8"/>
    <w:rsid w:val="00614CAB"/>
    <w:rsid w:val="00633BC0"/>
    <w:rsid w:val="00661DE5"/>
    <w:rsid w:val="006706DE"/>
    <w:rsid w:val="0069487E"/>
    <w:rsid w:val="006A648B"/>
    <w:rsid w:val="006B0B82"/>
    <w:rsid w:val="006B7EF2"/>
    <w:rsid w:val="006C3B5F"/>
    <w:rsid w:val="006D3A72"/>
    <w:rsid w:val="006F53EE"/>
    <w:rsid w:val="00717507"/>
    <w:rsid w:val="007263B8"/>
    <w:rsid w:val="00726D9C"/>
    <w:rsid w:val="00726F2C"/>
    <w:rsid w:val="00736D30"/>
    <w:rsid w:val="00742FF3"/>
    <w:rsid w:val="00794B27"/>
    <w:rsid w:val="007A73CB"/>
    <w:rsid w:val="007A7846"/>
    <w:rsid w:val="007B2795"/>
    <w:rsid w:val="007F66F5"/>
    <w:rsid w:val="00812400"/>
    <w:rsid w:val="0082203C"/>
    <w:rsid w:val="008360A8"/>
    <w:rsid w:val="008416E0"/>
    <w:rsid w:val="00853E64"/>
    <w:rsid w:val="00895251"/>
    <w:rsid w:val="00897BFF"/>
    <w:rsid w:val="008C61B9"/>
    <w:rsid w:val="00912477"/>
    <w:rsid w:val="009139AF"/>
    <w:rsid w:val="00943B06"/>
    <w:rsid w:val="00945864"/>
    <w:rsid w:val="009806F4"/>
    <w:rsid w:val="009853E9"/>
    <w:rsid w:val="00996E16"/>
    <w:rsid w:val="009B69C5"/>
    <w:rsid w:val="009D3947"/>
    <w:rsid w:val="009F72A7"/>
    <w:rsid w:val="00A119D9"/>
    <w:rsid w:val="00A1309F"/>
    <w:rsid w:val="00A21BED"/>
    <w:rsid w:val="00A27D99"/>
    <w:rsid w:val="00A60D92"/>
    <w:rsid w:val="00A86EAC"/>
    <w:rsid w:val="00A923E7"/>
    <w:rsid w:val="00AA661C"/>
    <w:rsid w:val="00AC2F58"/>
    <w:rsid w:val="00B369B4"/>
    <w:rsid w:val="00B53817"/>
    <w:rsid w:val="00B61F85"/>
    <w:rsid w:val="00BA3CC7"/>
    <w:rsid w:val="00BF457D"/>
    <w:rsid w:val="00BF4775"/>
    <w:rsid w:val="00CA0C45"/>
    <w:rsid w:val="00CC3AB0"/>
    <w:rsid w:val="00CD4A9C"/>
    <w:rsid w:val="00CF12AE"/>
    <w:rsid w:val="00D1798D"/>
    <w:rsid w:val="00D61038"/>
    <w:rsid w:val="00D902A4"/>
    <w:rsid w:val="00DB2323"/>
    <w:rsid w:val="00DB331E"/>
    <w:rsid w:val="00DC4E21"/>
    <w:rsid w:val="00DD5358"/>
    <w:rsid w:val="00E224A0"/>
    <w:rsid w:val="00E254F0"/>
    <w:rsid w:val="00E4313F"/>
    <w:rsid w:val="00E51168"/>
    <w:rsid w:val="00E55B4B"/>
    <w:rsid w:val="00E55FC7"/>
    <w:rsid w:val="00E72A21"/>
    <w:rsid w:val="00E7715A"/>
    <w:rsid w:val="00EB700D"/>
    <w:rsid w:val="00F33B83"/>
    <w:rsid w:val="00F41B42"/>
    <w:rsid w:val="00F54BD0"/>
    <w:rsid w:val="00FB3BB2"/>
    <w:rsid w:val="00FF44F1"/>
    <w:rsid w:val="00FF5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7EBD96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4" w:unhideWhenUsed="1" w:qFormat="1"/>
    <w:lsdException w:name="heading 3" w:semiHidden="1" w:uiPriority="6" w:unhideWhenUsed="1" w:qFormat="1"/>
    <w:lsdException w:name="heading 4" w:semiHidden="1" w:uiPriority="6" w:unhideWhenUsed="1" w:qFormat="1"/>
    <w:lsdException w:name="heading 5" w:semiHidden="1" w:uiPriority="6" w:unhideWhenUsed="1" w:qFormat="1"/>
    <w:lsdException w:name="heading 6" w:semiHidden="1" w:uiPriority="6" w:unhideWhenUsed="1" w:qFormat="1"/>
    <w:lsdException w:name="heading 7" w:semiHidden="1" w:uiPriority="6" w:unhideWhenUsed="1" w:qFormat="1"/>
    <w:lsdException w:name="heading 8" w:semiHidden="1" w:uiPriority="6" w:unhideWhenUsed="1" w:qFormat="1"/>
    <w:lsdException w:name="heading 9" w:semiHidden="1" w:uiPriority="6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4254"/>
  </w:style>
  <w:style w:type="paragraph" w:styleId="Heading1">
    <w:name w:val="heading 1"/>
    <w:basedOn w:val="Normal"/>
    <w:link w:val="Heading1Char"/>
    <w:uiPriority w:val="5"/>
    <w:qFormat/>
    <w:rsid w:val="0026504D"/>
    <w:pPr>
      <w:keepNext/>
      <w:keepLines/>
      <w:pBdr>
        <w:bottom w:val="single" w:sz="18" w:space="1" w:color="2B579A" w:themeColor="accent5"/>
      </w:pBdr>
      <w:spacing w:before="360" w:after="240" w:line="240" w:lineRule="auto"/>
      <w:contextualSpacing/>
      <w:outlineLvl w:val="0"/>
    </w:pPr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ing2">
    <w:name w:val="heading 2"/>
    <w:basedOn w:val="Normal"/>
    <w:next w:val="Normal"/>
    <w:link w:val="Heading2Char"/>
    <w:uiPriority w:val="6"/>
    <w:semiHidden/>
    <w:unhideWhenUsed/>
    <w:qFormat/>
    <w:rsid w:val="0048799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6"/>
    <w:semiHidden/>
    <w:unhideWhenUsed/>
    <w:qFormat/>
    <w:rsid w:val="00F33B8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6"/>
    <w:semiHidden/>
    <w:unhideWhenUsed/>
    <w:qFormat/>
    <w:rsid w:val="0048799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6"/>
    <w:semiHidden/>
    <w:unhideWhenUsed/>
    <w:qFormat/>
    <w:rsid w:val="0048799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6"/>
    <w:semiHidden/>
    <w:unhideWhenUsed/>
    <w:qFormat/>
    <w:rsid w:val="0048799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b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6"/>
    <w:semiHidden/>
    <w:unhideWhenUsed/>
    <w:qFormat/>
    <w:rsid w:val="00F33B8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6"/>
    <w:semiHidden/>
    <w:unhideWhenUsed/>
    <w:qFormat/>
    <w:rsid w:val="00F33B8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6"/>
    <w:semiHidden/>
    <w:unhideWhenUsed/>
    <w:qFormat/>
    <w:rsid w:val="00F33B83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5"/>
    <w:rsid w:val="0026504D"/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er">
    <w:name w:val="header"/>
    <w:basedOn w:val="Normal"/>
    <w:link w:val="HeaderChar"/>
    <w:uiPriority w:val="99"/>
    <w:unhideWhenUsed/>
    <w:pPr>
      <w:spacing w:line="240" w:lineRule="auto"/>
    </w:pPr>
    <w:rPr>
      <w:rFonts w:eastAsiaTheme="minorEastAsia"/>
      <w:color w:val="3B3838" w:themeColor="background2" w:themeShade="40"/>
      <w:sz w:val="24"/>
    </w:rPr>
  </w:style>
  <w:style w:type="character" w:customStyle="1" w:styleId="HeaderChar">
    <w:name w:val="Header Char"/>
    <w:basedOn w:val="DefaultParagraphFont"/>
    <w:link w:val="Header"/>
    <w:uiPriority w:val="99"/>
    <w:rPr>
      <w:rFonts w:eastAsiaTheme="minorEastAsia"/>
      <w:color w:val="3B3838" w:themeColor="background2" w:themeShade="40"/>
      <w:sz w:val="24"/>
    </w:rPr>
  </w:style>
  <w:style w:type="paragraph" w:styleId="ListNumber">
    <w:name w:val="List Number"/>
    <w:basedOn w:val="Normal"/>
    <w:uiPriority w:val="10"/>
    <w:qFormat/>
    <w:rsid w:val="00B61F85"/>
    <w:pPr>
      <w:numPr>
        <w:numId w:val="3"/>
      </w:numPr>
    </w:pPr>
    <w:rPr>
      <w:rFonts w:eastAsiaTheme="minorEastAsia"/>
      <w:color w:val="3B3838" w:themeColor="background2" w:themeShade="40"/>
    </w:rPr>
  </w:style>
  <w:style w:type="paragraph" w:styleId="Title">
    <w:name w:val="Title"/>
    <w:basedOn w:val="Normal"/>
    <w:link w:val="TitleChar"/>
    <w:uiPriority w:val="1"/>
    <w:qFormat/>
    <w:rsid w:val="0026504D"/>
    <w:pPr>
      <w:pBdr>
        <w:left w:val="single" w:sz="48" w:space="0" w:color="2B579A" w:themeColor="accent5"/>
      </w:pBdr>
      <w:shd w:val="clear" w:color="auto" w:fill="2B579A" w:themeFill="accent5"/>
      <w:spacing w:before="0" w:line="240" w:lineRule="auto"/>
      <w:ind w:left="144"/>
      <w:contextualSpacing/>
    </w:pPr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26504D"/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  <w:shd w:val="clear" w:color="auto" w:fill="2B579A" w:themeFill="accent5"/>
    </w:rPr>
  </w:style>
  <w:style w:type="paragraph" w:styleId="Subtitle">
    <w:name w:val="Subtitle"/>
    <w:basedOn w:val="Normal"/>
    <w:next w:val="Normal"/>
    <w:link w:val="SubtitleChar"/>
    <w:uiPriority w:val="2"/>
    <w:qFormat/>
    <w:rsid w:val="0026504D"/>
    <w:pPr>
      <w:numPr>
        <w:ilvl w:val="1"/>
      </w:numPr>
      <w:pBdr>
        <w:left w:val="single" w:sz="48" w:space="0" w:color="2B579A" w:themeColor="accent5"/>
        <w:bottom w:val="single" w:sz="48" w:space="1" w:color="2B579A" w:themeColor="accent5"/>
      </w:pBdr>
      <w:shd w:val="clear" w:color="auto" w:fill="2B579A" w:themeFill="accent5"/>
      <w:spacing w:before="0" w:after="120"/>
      <w:ind w:left="144"/>
      <w:contextualSpacing/>
    </w:pPr>
    <w:rPr>
      <w:rFonts w:asciiTheme="majorHAnsi" w:eastAsiaTheme="minorEastAsia" w:hAnsiTheme="majorHAnsi"/>
      <w:color w:val="FFFFFF" w:themeColor="background1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2"/>
    <w:rsid w:val="0026504D"/>
    <w:rPr>
      <w:rFonts w:asciiTheme="majorHAnsi" w:eastAsiaTheme="minorEastAsia" w:hAnsiTheme="majorHAnsi"/>
      <w:color w:val="FFFFFF" w:themeColor="background1"/>
      <w:spacing w:val="15"/>
      <w:sz w:val="36"/>
      <w:shd w:val="clear" w:color="auto" w:fill="2B579A" w:themeFill="accent5"/>
    </w:rPr>
  </w:style>
  <w:style w:type="table" w:styleId="TableGrid">
    <w:name w:val="Table Grid"/>
    <w:basedOn w:val="TableNormal"/>
    <w:uiPriority w:val="39"/>
    <w:pPr>
      <w:spacing w:line="240" w:lineRule="auto"/>
    </w:pPr>
    <w:rPr>
      <w:rFonts w:ascii="Arial" w:hAnsi="Arial"/>
      <w:color w:val="404040" w:themeColor="text1" w:themeTint="B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04040" w:themeColor="text1" w:themeTint="BF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IntenseEmphasis">
    <w:name w:val="Intense Emphasis"/>
    <w:basedOn w:val="DefaultParagraphFont"/>
    <w:uiPriority w:val="21"/>
    <w:qFormat/>
    <w:rPr>
      <w:i/>
      <w:iCs/>
      <w:color w:val="2B579A" w:themeColor="accent5"/>
    </w:rPr>
  </w:style>
  <w:style w:type="table" w:styleId="GridTable1Light">
    <w:name w:val="Grid Table 1 Light"/>
    <w:basedOn w:val="TableNormal"/>
    <w:uiPriority w:val="46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5">
    <w:name w:val="Grid Table 4 Accent 5"/>
    <w:basedOn w:val="TableNormal"/>
    <w:uiPriority w:val="49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1Light-Accent6">
    <w:name w:val="Grid Table 1 Light Accent 6"/>
    <w:basedOn w:val="TableNormal"/>
    <w:uiPriority w:val="46"/>
    <w:rsid w:val="00102341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">
    <w:name w:val="Grid Table 5 Dark"/>
    <w:basedOn w:val="TableNormal"/>
    <w:uiPriority w:val="50"/>
    <w:rsid w:val="006706D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-Accent1">
    <w:name w:val="Grid Table 1 Light Accent 1"/>
    <w:basedOn w:val="TableNormal"/>
    <w:uiPriority w:val="46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2Char">
    <w:name w:val="Heading 2 Char"/>
    <w:basedOn w:val="DefaultParagraphFont"/>
    <w:link w:val="Heading2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ListBullet">
    <w:name w:val="List Bullet"/>
    <w:basedOn w:val="Normal"/>
    <w:uiPriority w:val="11"/>
    <w:qFormat/>
    <w:rsid w:val="00B61F85"/>
    <w:pPr>
      <w:numPr>
        <w:numId w:val="5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1168"/>
    <w:pPr>
      <w:spacing w:line="240" w:lineRule="auto"/>
    </w:pPr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1168"/>
    <w:rPr>
      <w:rFonts w:cs="Segoe UI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648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648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648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48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484A"/>
    <w:rPr>
      <w:b/>
      <w:bCs/>
      <w:szCs w:val="20"/>
    </w:rPr>
  </w:style>
  <w:style w:type="character" w:styleId="Hyperlink">
    <w:name w:val="Hyperlink"/>
    <w:basedOn w:val="DefaultParagraphFont"/>
    <w:uiPriority w:val="99"/>
    <w:unhideWhenUsed/>
    <w:rsid w:val="006D3A72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3"/>
    <w:qFormat/>
    <w:rsid w:val="006B0B82"/>
    <w:rPr>
      <w:b/>
      <w:iCs/>
      <w:color w:val="BF0000" w:themeColor="accent2" w:themeShade="BF"/>
    </w:rPr>
  </w:style>
  <w:style w:type="character" w:styleId="FollowedHyperlink">
    <w:name w:val="FollowedHyperlink"/>
    <w:basedOn w:val="DefaultParagraphFont"/>
    <w:uiPriority w:val="99"/>
    <w:semiHidden/>
    <w:unhideWhenUsed/>
    <w:rsid w:val="008C61B9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4"/>
    <w:qFormat/>
    <w:rsid w:val="00B53817"/>
    <w:rPr>
      <w:b/>
      <w:bCs/>
      <w:color w:val="2B579A" w:themeColor="accent5"/>
    </w:rPr>
  </w:style>
  <w:style w:type="paragraph" w:customStyle="1" w:styleId="Heading1-PageBreak">
    <w:name w:val="Heading 1 - Page Break"/>
    <w:basedOn w:val="Normal"/>
    <w:uiPriority w:val="6"/>
    <w:qFormat/>
    <w:rsid w:val="0026504D"/>
    <w:pPr>
      <w:keepNext/>
      <w:keepLines/>
      <w:pageBreakBefore/>
      <w:pBdr>
        <w:bottom w:val="single" w:sz="18" w:space="1" w:color="2B579A" w:themeColor="accent5"/>
      </w:pBdr>
      <w:spacing w:before="360" w:after="240"/>
      <w:contextualSpacing/>
    </w:pPr>
    <w:rPr>
      <w:rFonts w:asciiTheme="majorHAnsi" w:hAnsiTheme="majorHAnsi"/>
      <w:color w:val="3B3838" w:themeColor="background2" w:themeShade="40"/>
      <w:sz w:val="52"/>
    </w:rPr>
  </w:style>
  <w:style w:type="paragraph" w:customStyle="1" w:styleId="Image">
    <w:name w:val="Image"/>
    <w:basedOn w:val="Normal"/>
    <w:uiPriority w:val="22"/>
    <w:qFormat/>
    <w:rsid w:val="001073CE"/>
    <w:pPr>
      <w:jc w:val="right"/>
    </w:pPr>
  </w:style>
  <w:style w:type="paragraph" w:styleId="Bibliography">
    <w:name w:val="Bibliography"/>
    <w:basedOn w:val="Normal"/>
    <w:next w:val="Normal"/>
    <w:uiPriority w:val="37"/>
    <w:semiHidden/>
    <w:unhideWhenUsed/>
    <w:rsid w:val="00F33B83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3B83"/>
    <w:pPr>
      <w:outlineLvl w:val="9"/>
    </w:pPr>
    <w:rPr>
      <w:kern w:val="0"/>
      <w:szCs w:val="32"/>
      <w14:ligatures w14:val="none"/>
      <w14:numForm w14:val="default"/>
    </w:rPr>
  </w:style>
  <w:style w:type="paragraph" w:styleId="BlockText">
    <w:name w:val="Block Text"/>
    <w:basedOn w:val="Normal"/>
    <w:uiPriority w:val="99"/>
    <w:semiHidden/>
    <w:unhideWhenUsed/>
    <w:rsid w:val="00487996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F33B8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33B83"/>
  </w:style>
  <w:style w:type="paragraph" w:styleId="BodyText2">
    <w:name w:val="Body Text 2"/>
    <w:basedOn w:val="Normal"/>
    <w:link w:val="BodyText2Char"/>
    <w:uiPriority w:val="99"/>
    <w:semiHidden/>
    <w:unhideWhenUsed/>
    <w:rsid w:val="00F33B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F33B83"/>
  </w:style>
  <w:style w:type="paragraph" w:styleId="BodyText3">
    <w:name w:val="Body Text 3"/>
    <w:basedOn w:val="Normal"/>
    <w:link w:val="BodyText3Char"/>
    <w:uiPriority w:val="99"/>
    <w:semiHidden/>
    <w:unhideWhenUsed/>
    <w:rsid w:val="00F33B83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33B83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F33B83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F33B8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F33B8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F33B8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F33B83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F33B8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F33B8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F33B83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F33B83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F33B83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594254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33B83"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F33B83"/>
  </w:style>
  <w:style w:type="table" w:styleId="ColorfulGrid">
    <w:name w:val="Colorful Grid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D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2457A" w:themeFill="accent5" w:themeFillShade="CC"/>
      </w:tcPr>
    </w:tblStylePr>
    <w:tblStylePr w:type="lastRow">
      <w:rPr>
        <w:b/>
        <w:bCs/>
        <w:color w:val="2245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0000" w:themeColor="accent2" w:themeShade="99"/>
          <w:insideV w:val="nil"/>
        </w:tcBorders>
        <w:shd w:val="clear" w:color="auto" w:fill="99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345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345C" w:themeColor="accent5" w:themeShade="99"/>
          <w:insideV w:val="nil"/>
        </w:tcBorders>
        <w:shd w:val="clear" w:color="auto" w:fill="19345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B579A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F33B83"/>
  </w:style>
  <w:style w:type="character" w:customStyle="1" w:styleId="DateChar">
    <w:name w:val="Date Char"/>
    <w:basedOn w:val="DefaultParagraphFont"/>
    <w:link w:val="Date"/>
    <w:uiPriority w:val="99"/>
    <w:semiHidden/>
    <w:rsid w:val="00F33B83"/>
  </w:style>
  <w:style w:type="paragraph" w:styleId="DocumentMap">
    <w:name w:val="Document Map"/>
    <w:basedOn w:val="Normal"/>
    <w:link w:val="DocumentMapChar"/>
    <w:uiPriority w:val="99"/>
    <w:semiHidden/>
    <w:unhideWhenUsed/>
    <w:rsid w:val="00F33B83"/>
    <w:pPr>
      <w:spacing w:before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33B83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F33B83"/>
    <w:pPr>
      <w:spacing w:before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33B83"/>
  </w:style>
  <w:style w:type="character" w:styleId="EndnoteReference">
    <w:name w:val="endnote reference"/>
    <w:basedOn w:val="DefaultParagraphFont"/>
    <w:uiPriority w:val="99"/>
    <w:semiHidden/>
    <w:unhideWhenUsed/>
    <w:rsid w:val="00F33B8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33B83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F33B83"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33B83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33B83"/>
    <w:rPr>
      <w:szCs w:val="20"/>
    </w:rPr>
  </w:style>
  <w:style w:type="table" w:styleId="GridTable1Light-Accent2">
    <w:name w:val="Grid Table 1 Light Accent 2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9999" w:themeColor="accent2" w:themeTint="66"/>
        <w:left w:val="single" w:sz="4" w:space="0" w:color="FF9999" w:themeColor="accent2" w:themeTint="66"/>
        <w:bottom w:val="single" w:sz="4" w:space="0" w:color="FF9999" w:themeColor="accent2" w:themeTint="66"/>
        <w:right w:val="single" w:sz="4" w:space="0" w:color="FF9999" w:themeColor="accent2" w:themeTint="66"/>
        <w:insideH w:val="single" w:sz="4" w:space="0" w:color="FF9999" w:themeColor="accent2" w:themeTint="66"/>
        <w:insideV w:val="single" w:sz="4" w:space="0" w:color="FF999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DB8E3" w:themeColor="accent5" w:themeTint="66"/>
        <w:left w:val="single" w:sz="4" w:space="0" w:color="9DB8E3" w:themeColor="accent5" w:themeTint="66"/>
        <w:bottom w:val="single" w:sz="4" w:space="0" w:color="9DB8E3" w:themeColor="accent5" w:themeTint="66"/>
        <w:right w:val="single" w:sz="4" w:space="0" w:color="9DB8E3" w:themeColor="accent5" w:themeTint="66"/>
        <w:insideH w:val="single" w:sz="4" w:space="0" w:color="9DB8E3" w:themeColor="accent5" w:themeTint="66"/>
        <w:insideV w:val="single" w:sz="4" w:space="0" w:color="9DB8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6666" w:themeColor="accent2" w:themeTint="99"/>
        <w:bottom w:val="single" w:sz="2" w:space="0" w:color="FF6666" w:themeColor="accent2" w:themeTint="99"/>
        <w:insideH w:val="single" w:sz="2" w:space="0" w:color="FF6666" w:themeColor="accent2" w:themeTint="99"/>
        <w:insideV w:val="single" w:sz="2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C95D6" w:themeColor="accent5" w:themeTint="99"/>
        <w:bottom w:val="single" w:sz="2" w:space="0" w:color="6C95D6" w:themeColor="accent5" w:themeTint="99"/>
        <w:insideH w:val="single" w:sz="2" w:space="0" w:color="6C95D6" w:themeColor="accent5" w:themeTint="99"/>
        <w:insideV w:val="single" w:sz="2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95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-Accent1">
    <w:name w:val="Grid Table 4 Accent 1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6">
    <w:name w:val="Grid Table 4 Accent 6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-Accent1">
    <w:name w:val="Grid Table 5 Dark Accent 1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6"/>
    <w:semiHidden/>
    <w:rsid w:val="00F33B8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6"/>
    <w:semiHidden/>
    <w:rsid w:val="00487996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6"/>
    <w:semiHidden/>
    <w:rsid w:val="00487996"/>
    <w:rPr>
      <w:rFonts w:asciiTheme="majorHAnsi" w:eastAsiaTheme="majorEastAsia" w:hAnsiTheme="majorHAnsi" w:cstheme="majorBidi"/>
      <w:b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6"/>
    <w:semiHidden/>
    <w:rsid w:val="00F33B83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6"/>
    <w:semiHidden/>
    <w:rsid w:val="00F33B83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6"/>
    <w:semiHidden/>
    <w:rsid w:val="00F33B83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F33B83"/>
  </w:style>
  <w:style w:type="paragraph" w:styleId="HTMLAddress">
    <w:name w:val="HTML Address"/>
    <w:basedOn w:val="Normal"/>
    <w:link w:val="HTMLAddressChar"/>
    <w:uiPriority w:val="99"/>
    <w:semiHidden/>
    <w:unhideWhenUsed/>
    <w:rsid w:val="00F33B83"/>
    <w:pPr>
      <w:spacing w:before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F33B8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F33B8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F33B83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3B83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F33B83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F33B83"/>
    <w:rPr>
      <w:i/>
      <w:iCs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F33B83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594254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94254"/>
    <w:rPr>
      <w:i/>
      <w:iCs/>
      <w:color w:val="1F4E79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594254"/>
    <w:rPr>
      <w:b/>
      <w:bCs/>
      <w:caps w:val="0"/>
      <w:smallCaps/>
      <w:color w:val="1F4E79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1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1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F33B83"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F33B83"/>
    <w:pPr>
      <w:spacing w:before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F33B83"/>
    <w:pPr>
      <w:spacing w:before="0"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F33B83"/>
    <w:pPr>
      <w:spacing w:before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F33B83"/>
    <w:pPr>
      <w:spacing w:before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F33B83"/>
    <w:pPr>
      <w:spacing w:before="0"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F33B83"/>
    <w:pPr>
      <w:spacing w:before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F33B83"/>
  </w:style>
  <w:style w:type="paragraph" w:styleId="List">
    <w:name w:val="List"/>
    <w:basedOn w:val="Normal"/>
    <w:uiPriority w:val="99"/>
    <w:semiHidden/>
    <w:unhideWhenUsed/>
    <w:rsid w:val="00F33B8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F33B8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F33B8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F33B8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F33B83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F33B83"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F33B83"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F33B83"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33B83"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F33B8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F33B8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F33B8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F33B8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F33B8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F33B83"/>
    <w:pPr>
      <w:numPr>
        <w:numId w:val="15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F33B83"/>
    <w:pPr>
      <w:numPr>
        <w:numId w:val="16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F33B83"/>
    <w:pPr>
      <w:numPr>
        <w:numId w:val="17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F33B83"/>
    <w:pPr>
      <w:numPr>
        <w:numId w:val="18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F33B8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bottom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bottom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00" w:themeColor="accent2"/>
          <w:right w:val="single" w:sz="4" w:space="0" w:color="FF0000" w:themeColor="accent2"/>
        </w:tcBorders>
      </w:tcPr>
    </w:tblStylePr>
    <w:tblStylePr w:type="band1Horz">
      <w:tblPr/>
      <w:tcPr>
        <w:tcBorders>
          <w:top w:val="single" w:sz="4" w:space="0" w:color="FF0000" w:themeColor="accent2"/>
          <w:bottom w:val="single" w:sz="4" w:space="0" w:color="FF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00" w:themeColor="accent2"/>
          <w:left w:val="nil"/>
        </w:tcBorders>
      </w:tcPr>
    </w:tblStylePr>
    <w:tblStylePr w:type="swCell">
      <w:tblPr/>
      <w:tcPr>
        <w:tcBorders>
          <w:top w:val="double" w:sz="4" w:space="0" w:color="FF000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2B579A" w:themeColor="accent5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579A" w:themeColor="accent5"/>
          <w:right w:val="single" w:sz="4" w:space="0" w:color="2B579A" w:themeColor="accent5"/>
        </w:tcBorders>
      </w:tcPr>
    </w:tblStylePr>
    <w:tblStylePr w:type="band1Horz">
      <w:tblPr/>
      <w:tcPr>
        <w:tcBorders>
          <w:top w:val="single" w:sz="4" w:space="0" w:color="2B579A" w:themeColor="accent5"/>
          <w:bottom w:val="single" w:sz="4" w:space="0" w:color="2B579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579A" w:themeColor="accent5"/>
          <w:left w:val="nil"/>
        </w:tcBorders>
      </w:tcPr>
    </w:tblStylePr>
    <w:tblStylePr w:type="swCell">
      <w:tblPr/>
      <w:tcPr>
        <w:tcBorders>
          <w:top w:val="double" w:sz="4" w:space="0" w:color="2B579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0000" w:themeColor="accent2"/>
        <w:left w:val="single" w:sz="24" w:space="0" w:color="FF0000" w:themeColor="accent2"/>
        <w:bottom w:val="single" w:sz="24" w:space="0" w:color="FF0000" w:themeColor="accent2"/>
        <w:right w:val="single" w:sz="24" w:space="0" w:color="FF0000" w:themeColor="accent2"/>
      </w:tblBorders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B579A" w:themeColor="accent5"/>
        <w:left w:val="single" w:sz="24" w:space="0" w:color="2B579A" w:themeColor="accent5"/>
        <w:bottom w:val="single" w:sz="24" w:space="0" w:color="2B579A" w:themeColor="accent5"/>
        <w:right w:val="single" w:sz="24" w:space="0" w:color="2B579A" w:themeColor="accent5"/>
      </w:tblBorders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0000" w:themeColor="accent2"/>
        <w:bottom w:val="single" w:sz="4" w:space="0" w:color="FF00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2B579A" w:themeColor="accent5"/>
        <w:bottom w:val="single" w:sz="4" w:space="0" w:color="2B579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2B579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579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579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579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579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F33B8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33B83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  <w:insideV w:val="single" w:sz="8" w:space="0" w:color="FF4040" w:themeColor="accent2" w:themeTint="BF"/>
      </w:tblBorders>
    </w:tblPr>
    <w:tcPr>
      <w:shd w:val="clear" w:color="auto" w:fill="FF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  <w:insideV w:val="single" w:sz="8" w:space="0" w:color="477BCB" w:themeColor="accent5" w:themeTint="BF"/>
      </w:tblBorders>
    </w:tblPr>
    <w:tcPr>
      <w:shd w:val="clear" w:color="auto" w:fill="C2D3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77BC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cPr>
      <w:shd w:val="clear" w:color="auto" w:fill="FF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sz="6" w:space="0" w:color="FF0000" w:themeColor="accent2"/>
          <w:insideV w:val="single" w:sz="6" w:space="0" w:color="FF0000" w:themeColor="accent2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cPr>
      <w:shd w:val="clear" w:color="auto" w:fill="C2D3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sz="6" w:space="0" w:color="2B579A" w:themeColor="accent5"/>
          <w:insideV w:val="single" w:sz="6" w:space="0" w:color="2B579A" w:themeColor="accent5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8080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D3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5A7DD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0000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579A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579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579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F33B8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F33B8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rsid w:val="00F33B83"/>
    <w:pPr>
      <w:spacing w:before="0" w:line="240" w:lineRule="auto"/>
    </w:pPr>
  </w:style>
  <w:style w:type="paragraph" w:styleId="NormalIndent">
    <w:name w:val="Normal Indent"/>
    <w:basedOn w:val="Normal"/>
    <w:uiPriority w:val="99"/>
    <w:semiHidden/>
    <w:unhideWhenUsed/>
    <w:rsid w:val="00F33B8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F33B83"/>
    <w:pPr>
      <w:spacing w:before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F33B83"/>
  </w:style>
  <w:style w:type="character" w:styleId="PageNumber">
    <w:name w:val="page number"/>
    <w:basedOn w:val="DefaultParagraphFont"/>
    <w:uiPriority w:val="99"/>
    <w:semiHidden/>
    <w:unhideWhenUsed/>
    <w:rsid w:val="00F33B83"/>
  </w:style>
  <w:style w:type="character" w:styleId="PlaceholderText">
    <w:name w:val="Placeholder Text"/>
    <w:basedOn w:val="DefaultParagraphFont"/>
    <w:uiPriority w:val="99"/>
    <w:semiHidden/>
    <w:rsid w:val="00487996"/>
    <w:rPr>
      <w:color w:val="595959" w:themeColor="text1" w:themeTint="A6"/>
    </w:rPr>
  </w:style>
  <w:style w:type="table" w:styleId="PlainTable1">
    <w:name w:val="Plain Table 1"/>
    <w:basedOn w:val="TableNormal"/>
    <w:uiPriority w:val="41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33B83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072D27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072D27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F33B8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F33B83"/>
  </w:style>
  <w:style w:type="paragraph" w:styleId="Signature">
    <w:name w:val="Signature"/>
    <w:basedOn w:val="Normal"/>
    <w:link w:val="SignatureCha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F33B83"/>
  </w:style>
  <w:style w:type="character" w:styleId="SubtleEmphasis">
    <w:name w:val="Subtle Emphasis"/>
    <w:basedOn w:val="DefaultParagraphFont"/>
    <w:uiPriority w:val="19"/>
    <w:semiHidden/>
    <w:unhideWhenUsed/>
    <w:qFormat/>
    <w:rsid w:val="00F33B8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F33B83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F33B83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F33B83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F33B8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F33B8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F33B8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F33B83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F33B83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F33B83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F33B83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F33B83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F33B8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F33B83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F33B83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F33B83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F33B83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F33B83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F33B83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F33B8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F33B8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F33B8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F33B8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F33B83"/>
  </w:style>
  <w:style w:type="table" w:styleId="TableProfessional">
    <w:name w:val="Table Professional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F33B83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F33B8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F33B8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F33B8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F33B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F33B83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F33B83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F33B83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F33B8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F33B8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F33B8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F33B8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F33B8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F33B8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F33B8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F33B8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F33B8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F33B83"/>
    <w:pPr>
      <w:spacing w:after="100"/>
      <w:ind w:left="1760"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B3B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281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7445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770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67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602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4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073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063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AppData\Roaming\Microsoft\Templates\Welcome%20to%20Word.dotx" TargetMode="External"/></Relationships>
</file>

<file path=word/theme/theme1.xml><?xml version="1.0" encoding="utf-8"?>
<a:theme xmlns:a="http://schemas.openxmlformats.org/drawingml/2006/main" name="Win32TaT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Welcome to Word</Template>
  <TotalTime>0</TotalTime>
  <Pages>6</Pages>
  <Words>664</Words>
  <Characters>3791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2026-06-21T15:16:00Z</dcterms:created>
  <dcterms:modified xsi:type="dcterms:W3CDTF">2026-06-21T15:17:00Z</dcterms:modified>
</cp:coreProperties>
</file>