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2"/>
        </w:rPr>
        <w:t>КОМПЛЕКС СТАНДАРТОВ НА АВТОМАТИЗИРОВАННЫЕ СИСТЕМЫ (ГОСТ 34.201-2020, ГОСТ Р 59795-2021)</w:t>
        <w:br/>
      </w:r>
      <w:r>
        <w:rPr>
          <w:rFonts w:ascii="Times New Roman" w:hAnsi="Times New Roman"/>
          <w:b/>
          <w:sz w:val="28"/>
        </w:rPr>
        <w:t>РУКОВОДСТВО ОПЕРАТОРА (ПОЛЬЗОВАТЕЛЯ) ИНФОРМАЦИОННОЙ СИСТЕМЫ</w:t>
        <w:br/>
      </w:r>
      <w:r>
        <w:rPr>
          <w:rFonts w:ascii="Times New Roman" w:hAnsi="Times New Roman"/>
          <w:b/>
          <w:sz w:val="24"/>
        </w:rPr>
        <w:t>АИС «ТехУчет-СПО» v1.2 (Веб-приложение на базе Flask и СУБД SQLite 3)</w:t>
        <w:br/>
        <w:t>Шифр документа: ТУ-СПО.РО.02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Паспорт эксплуатационного документа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40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Реквизит документа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Содержание реквизита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Наименование и шифр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РУКОВОДСТВО ОПЕРАТОРА (ПОЛЬЗОВАТЕЛЯ) ИНФОРМАЦИОННОЙ СИСТЕМЫ (ТУ-СПО.РО.02)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Объект автоматизации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Автоматизированная информационная система учета и сопровождения техники в техникуме («ТехУчет-СПО» v1.2)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Назначение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Пошаговый регламент работы техника-программиста, оператора учета, лаборанта и МОЛ в веб-интерфейсе Flask АИС «ТехУчет-СПО»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Разработчик документа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Студент группы ИСП 44-9 Закиров И. Р. (специальность 09.02.07 «Информационные системы и программирование»)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Руководитель учебной практики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Шадрина Арина Юрьевна</w:t>
            </w:r>
          </w:p>
        </w:tc>
      </w:tr>
      <w:tr>
        <w:trPr>
          <w:cantSplit/>
        </w:trPr>
        <w:tc>
          <w:tcPr>
            <w:tcW w:type="dxa" w:w="340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Нормативная база разработки</w:t>
            </w:r>
          </w:p>
        </w:tc>
        <w:tc>
          <w:tcPr>
            <w:tcW w:type="dxa" w:w="6236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ГОСТ 34.201-2020, ГОСТ Р 59795-2021, ГОСТ 34.602-2020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1. Назначение программы и общие положения (по ГОСТ Р 59795-2021)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1.1. Функциональное назначение АИС «ТехУчет-СПО»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Автоматизированная информационная система «ТехУчет-СПО» v1.2 (далее — Система) предназначена для автоматизации ежедневных учетных и диспетчерских операций информационно-технического отдела (ИТ-отдела) техникума. Система разработана в виде клиент-серверного веб-приложения на языке программирования Python 3 с использованием фреймворка Flask и реляционной базы данных SQLite 3.</w:t>
      </w:r>
    </w:p>
    <w:p>
      <w:pPr>
        <w:spacing w:before="0" w:after="6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Основные функции, выполняемые оператором в Системе: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Паспортизация и учет оборудования: </w:t>
      </w:r>
      <w:r>
        <w:rPr>
          <w:rFonts w:ascii="Times New Roman" w:hAnsi="Times New Roman"/>
          <w:color w:val="000000"/>
          <w:sz w:val="24"/>
        </w:rPr>
        <w:t>регистрация новых карточек ПЭВМ, ноутбуков, серверов, сетевого оборудования, интерактивных панелей и МФУ с автоматической проверкой уникальности инвентарного и серийного номеров.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Поиск и многокритериальная фильтрация: </w:t>
      </w:r>
      <w:r>
        <w:rPr>
          <w:rFonts w:ascii="Times New Roman" w:hAnsi="Times New Roman"/>
          <w:color w:val="000000"/>
          <w:sz w:val="24"/>
        </w:rPr>
        <w:t>быстрый отбор карточек техники по инвентарному номеру, заводскому серийному номеру, номеру аудитории, учебному корпусу и текущему техническому статусу.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Учет внутренних перемещений: </w:t>
      </w:r>
      <w:r>
        <w:rPr>
          <w:rFonts w:ascii="Times New Roman" w:hAnsi="Times New Roman"/>
          <w:color w:val="000000"/>
          <w:sz w:val="24"/>
        </w:rPr>
        <w:t>оформление актов передачи оборудования между учебными кабинетами и материально ответственными лицами (МОЛ) с ведением неизменяемого журнала истории перемещений.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Диспетчеризация заявок на ремонт и ТО: </w:t>
      </w:r>
      <w:r>
        <w:rPr>
          <w:rFonts w:ascii="Times New Roman" w:hAnsi="Times New Roman"/>
          <w:color w:val="000000"/>
          <w:sz w:val="24"/>
        </w:rPr>
        <w:t>регистрация обращений о неисправностях с автоматическим переводом техники в статус «В ремонте» и последующее закрытие заявок с возвратом оборудования в эксплуатацию.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Формирование отчетности и описей: </w:t>
      </w:r>
      <w:r>
        <w:rPr>
          <w:rFonts w:ascii="Times New Roman" w:hAnsi="Times New Roman"/>
          <w:color w:val="000000"/>
          <w:sz w:val="24"/>
        </w:rPr>
        <w:t>автоматическая выгрузка инвентаризационных ведомостей по учебным кабинетам и корпусам в формате CSV (кодировка UTF-8-BOM) для печати и импорта в MS Excel / «1С:БГУ».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1.2. Ролевая модель доступа и разграничение полномочий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В соответствии с требованиями информационной безопасности (код требования ТБ-01 Технического задания) функциональные возможности пользователей в веб-приложении разграничены по четырем ролям (таблица 1).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1 — Матрица ролей пользователей и разграничения прав доступа в АИС «ТехУчет-СПО»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19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Роль пользователя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Категория сотрудников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Разрешенные операции в веб-интерфейсе Flask</w:t>
            </w:r>
          </w:p>
        </w:tc>
        <w:tc>
          <w:tcPr>
            <w:tcW w:type="dxa" w:w="26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Запрещенные операции (ограничения)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Материально ответственное лицо (МОЛ)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Заведующие учебными кабинетами и лабораториями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Просмотр реестра закрепленной аудитории, подача заявок на ремонт и ТО, выгрузка ведомости CSV по своему кабинету.</w:t>
            </w:r>
          </w:p>
        </w:tc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инвентарных номеров, удаление карточек, запуск процедур резервного копирования и обслуживания БД.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Оператор учета (Лаборант ИТ)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Лаборанты, техники 1 категории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Паспортизация новой техники, оформление актов внутреннего перемещения между кабинетами и МОЛ, выгрузка сводных описей CSV.</w:t>
            </w:r>
          </w:p>
        </w:tc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Изменение структуры справочников, списание основных средств без акта комиссии.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Инженер по ремонту и ТО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Техники-программисты, инженеры ИТ-отдела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Регистрация заявок на ремонт, ввод технического заключения и расхода ЗИП, закрытие заявок, перевод статуса техники.</w:t>
            </w:r>
          </w:p>
        </w:tc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Модификация системных таблиц и удаление архивов резервных копий.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Администратор ИС</w:t>
            </w:r>
          </w:p>
        </w:tc>
        <w:tc>
          <w:tcPr>
            <w:tcW w:type="dxa" w:w="192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Системный администратор, руководитель ИТ-отдела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Полный доступ ко всем 5 вкладкам, ведение справочников, создание горячих резервных копий, восстановление и диагностика БД.</w:t>
            </w:r>
          </w:p>
        </w:tc>
        <w:tc>
          <w:tcPr>
            <w:tcW w:type="dxa" w:w="260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Ограничения отсутствуют (все операции фиксируются в системных журналах).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2. Условия эксплуатации и подготовка к работе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2.1. Требования к квалификации оператора и техническому оснащению АРМ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К самостоятельной работе с веб-приложением АИС «ТехУчет-СПО» допускаются сотрудники ИТ-отдела и лаборанты, прошедшие инструктаж по настоящему Руководству (ТУ-СПО.РО.02) и сдавшие контрольное тестирование (ТУ-СПО.КТ.05) с результатом не менее 80% правильных ответов. Автоматизированное рабочее место (АРМ) оператора должно удовлетворять техническим характеристикам, приведенным в таблице 2.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2 — Минимальные и рекомендуемые технические характеристики АРМ оператора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72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Параметр оснащения АРМ</w:t>
            </w:r>
          </w:p>
        </w:tc>
        <w:tc>
          <w:tcPr>
            <w:tcW w:type="dxa" w:w="345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Минимальные технические требования</w:t>
            </w:r>
          </w:p>
        </w:tc>
        <w:tc>
          <w:tcPr>
            <w:tcW w:type="dxa" w:w="345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Рекомендуемые характеристики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Центральный процессор (ЦП)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 ядра x86-64, тактовая частота от 1,8 ГГц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ядра x86-64, тактовая частота от 2,4 ГГц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Оперативная память (ОЗУ)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Не менее 4 ГБ DDR4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 ГБ DDR4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Монитор (дисплей)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Диагональ от 19 дюймов, разрешение 1280x720 (HD)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Диагональ 21,5–24 дюйма, разрешение 1920x1080 (Full HD)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Устройства ввода и периферия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Клавиатура, оптическая мышь (USB)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Клавиатура, мышь, лазерное МФУ А4, 2D-сканер QR-кодов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Операционная система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Windows 10 / Ubuntu 20.04 LTS / РЕД ОС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Windows 11 Pro / Astra Linux SE 1.7 / РЕД ОС 7.3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Программное обеспечение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Веб-браузер с поддержкой HTML5/CSS3, Python 3.9+ (Flask 3.x)</w:t>
            </w:r>
          </w:p>
        </w:tc>
        <w:tc>
          <w:tcPr>
            <w:tcW w:type="dxa" w:w="3458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Яндекс.Браузер / Google Chrome / Firefox (актуальная версия)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2.2. Порядок запуска системы и проверка готовности</w:t>
      </w:r>
    </w:p>
    <w:p>
      <w:pPr>
        <w:spacing w:before="0" w:after="6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Для запуска веб-приложения АИС «ТехУчет-СПО» перед началом рабочей смены оператор выполняет следующие действия: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Шаг 1. Запуск сервера приложения Flask: </w:t>
      </w:r>
      <w:r>
        <w:rPr>
          <w:rFonts w:ascii="Times New Roman" w:hAnsi="Times New Roman"/>
          <w:color w:val="000000"/>
          <w:sz w:val="24"/>
        </w:rPr>
        <w:t>в каталоге проекта дважды щелкнуть по пакетному файлу run_windows.bat (либо открыть терминал в папке проекта и выполнить команду python app.py). В окне консоли отобразится сообщение о запуске сервера на локальном порту 5000.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Шаг 2. Открытие веб-интерфейса в браузере: </w:t>
      </w:r>
      <w:r>
        <w:rPr>
          <w:rFonts w:ascii="Times New Roman" w:hAnsi="Times New Roman"/>
          <w:color w:val="000000"/>
          <w:sz w:val="24"/>
        </w:rPr>
        <w:t>открыть веб-браузер и перейти по адресу http://127.0.0.1:5000. На экране загрузится главная страница системы.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Шаг 3. Визуальный контроль статуса СУБД и панели KPI: </w:t>
      </w:r>
      <w:r>
        <w:rPr>
          <w:rFonts w:ascii="Times New Roman" w:hAnsi="Times New Roman"/>
          <w:color w:val="000000"/>
          <w:sz w:val="24"/>
        </w:rPr>
        <w:t>убедиться, что в правом верхнем углу шапки сайта горит зеленый индикатор «СУБД SQLite 3: АКТИВНА», указаны ФИО и роль оператора («Оператор: Закиров И. Р.»), а под навигационным меню отображаются 5 карточек ключевых показателей (KPI): «Всего единиц в БД», «В эксплуатации», «На складе резерва», «В ремонте и ТО», «Списано / акты».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главной страницы сайта Flask (http://127.0.0.1:5000/?tab=registry): шапка с индикатором «СУБД SQLite 3: АКТИВНА», 5 карточек KPI, панель поиска и таблица реестра техники.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1 — Главная экранная форма веб-приложения АИС «ТехУчет-СПО» (вкладка «1. Реестр техники» и панель индикаторов KPI)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3. Описание операций (пошаговые инструкции оператора)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3.1. Операция №1: Поиск и многокритериальная фильтрация оборудования в реестре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Операция предназначена для быстрого поиска карточки конкретной единицы техники по инвентарному или серийному номеру, а также для отбора оборудования по учебной аудитории, корпусу или техническому статусу.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1: </w:t>
      </w:r>
      <w:r>
        <w:rPr>
          <w:rFonts w:ascii="Times New Roman" w:hAnsi="Times New Roman"/>
          <w:color w:val="000000"/>
          <w:sz w:val="24"/>
        </w:rPr>
        <w:t>перейти на вкладку «1. Реестр техники» в верхнем навигационном меню.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в текстовое поле «Поиск: инв. номер, серийный №, каб. 304...» ввести искомый фрагмент (например, «Каб. 304» или «ИНВ-2026-00101»).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при необходимости выбрать требуемое значение в выпадающем списке «Статус» («В эксплуатации», «На складе», «В ремонте», «Списано») и в списке «Корпус» («Корпус №1» или «Корпус №2»).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4: </w:t>
      </w:r>
      <w:r>
        <w:rPr>
          <w:rFonts w:ascii="Times New Roman" w:hAnsi="Times New Roman"/>
          <w:color w:val="000000"/>
          <w:sz w:val="24"/>
        </w:rPr>
        <w:t>нажать синюю кнопку «Найти / Фильтр» (маршрут GET /?tab=registry&amp;q=...&amp;status=...). Таблица реестра мгновенно обновится, а в заголовке панели отобразится количество найденных карточек. Для возврата к полному списку нажать кнопку «Сбросить».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панели поиска и фильтрации на вкладке «1. Реестр техники» с выбранным фильтром (например, отбор по Каб. 304 или по статусу «В ремонте»).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2 — Выполнение поиска и фильтрации карточек оборудования по аудитории и техническому статусу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3.2. Операция №2: Паспортизация и регистрация новой единицы техники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Операция выполняется при поступлении нового оборудования на склад ИТ или при вводе его в эксплуатацию в учебную аудиторию.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1: </w:t>
      </w:r>
      <w:r>
        <w:rPr>
          <w:rFonts w:ascii="Times New Roman" w:hAnsi="Times New Roman"/>
          <w:color w:val="000000"/>
          <w:sz w:val="24"/>
        </w:rPr>
        <w:t>на вкладке «1. Реестр техники» нажать зеленую кнопку «+ Добавить технику» в правой части панели инструментов. Откроется модальное диалоговое окно «Паспортизация и регистрация новой единицы техники».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заполнить обязательные поля формы: «Инвентарный номер» (строго в формате ИНВ-ГГГГ-NNNNN), «Заводской серийный номер» (с шильдика корпуса устройства) и «Наименование и модель оборудования».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выбрать из выпадающих списков «Категорию» (например, «Персональные ПК и моноблоки»), «Аудиторию размещения» и «Материально ответственное лицо (МОЛ)».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4: </w:t>
      </w:r>
      <w:r>
        <w:rPr>
          <w:rFonts w:ascii="Times New Roman" w:hAnsi="Times New Roman"/>
          <w:color w:val="000000"/>
          <w:sz w:val="24"/>
        </w:rPr>
        <w:t>указать балансовую стоимость в рублях, дату ввода в эксплуатацию, дату окончания гарантии и краткие технические характеристики (модель процессора, объем ОЗУ, тип и объем накопителя).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5: </w:t>
      </w:r>
      <w:r>
        <w:rPr>
          <w:rFonts w:ascii="Times New Roman" w:hAnsi="Times New Roman"/>
          <w:color w:val="000000"/>
          <w:sz w:val="24"/>
        </w:rPr>
        <w:t>нажать кнопку «Сохранить карточку в БД» (маршрут POST /equipment/add). Система проверит уникальность номеров, сохранит запись в таблицу equipment, пересчитает показатели KPI и выведет зеленое уведомление об успешной регистрации.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открытого модального окна «Паспортизация и регистрация новой единицы техники» (после нажатия кнопки «+ Добавить технику»).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3 — Модальное диалоговое окно паспортизации и регистрации новой единицы оборудования в БД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3.3. Операция №3: Оформление акта внутреннего перемещения техники между кабинетами и МОЛ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Операция выполняется при передаче оборудования со склада ИТ в учебный кабинет, при перераспределении техники между аудиториями или при смене материально ответственного лица.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1: </w:t>
      </w:r>
      <w:r>
        <w:rPr>
          <w:rFonts w:ascii="Times New Roman" w:hAnsi="Times New Roman"/>
          <w:color w:val="000000"/>
          <w:sz w:val="24"/>
        </w:rPr>
        <w:t>перейти на вкладку «2. Внутренние перемещения» (либо нажать оранжевую кнопку «Перемещение МОЛ» на панели инструментов вкладки реестра).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в блоке «Оформление акта внутреннего перемещения техники» выбрать из выпадающего списка перемещаемую единицу оборудования (в списке отображаются ID, инвентарный номер, наименование, текущий кабинет и текущий МОЛ).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выбрать «Целевую аудиторию назначения» и «Новое материально ответственное лицо (МОЛ)».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4: </w:t>
      </w:r>
      <w:r>
        <w:rPr>
          <w:rFonts w:ascii="Times New Roman" w:hAnsi="Times New Roman"/>
          <w:color w:val="000000"/>
          <w:sz w:val="24"/>
        </w:rPr>
        <w:t>в поле «Реквизиты документа-основания» ввести номер и дату накладной или приказа (например, «Накладная на внутреннее перемещение № 49-ВП от 29.10.2026»).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5: </w:t>
      </w:r>
      <w:r>
        <w:rPr>
          <w:rFonts w:ascii="Times New Roman" w:hAnsi="Times New Roman"/>
          <w:color w:val="000000"/>
          <w:sz w:val="24"/>
        </w:rPr>
        <w:t>нажать кнопку «Провести перемещение в БД» (маршрут POST /equipment/move). Система атомарно обновит кабинет и МОЛ в карточке техники и добавит новую строку в нижнюю таблицу «Журнал истории внутренних перемещений оборудования».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«2. Внутренние перемещения» (http://127.0.0.1:5000/?tab=movements) с формой оформления акта и таблицей истории перемещений.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4 — Экранная форма вкладки «2. Внутренние перемещения» и журнал истории передачи оборудования между МОЛ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3.4. Операция №4: Регистрация и закрытие заявки на техническое обслуживание и ремонт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Операция обеспечивает полный цикл сопровождения неисправной техники: от фиксации обращения преподавателя до закрытия ремонта с указанием израсходованных запчастей (ЗИП).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 (Открытие заявки): </w:t>
      </w:r>
      <w:r>
        <w:rPr>
          <w:rFonts w:ascii="Times New Roman" w:hAnsi="Times New Roman"/>
          <w:color w:val="000000"/>
          <w:sz w:val="24"/>
        </w:rPr>
        <w:t>перейти на вкладку «3. Заявки на ремонт и ТО». В левой панели «Регистрация новой заявки на ремонт / плановое ТО» выбрать неисправную единицу техники из выпадающего списка.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ввести «Тип неисправности / вид работ» (например, «Отказ блока питания ATX»), выбрать назначенного инженера ИТ-отдела («Закиров И. Р.» или «Петров А. В.») и заполнить описание симптомов.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нажать кнопку «Создать заявку (перевести в статус В ремонте)» (маршрут POST /requests/create). В таблице заявок появится новая запись со статусом «В работе», а статус самой единицы техники в реестре и на карточках KPI автоматически сменится на «В ремонте».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4 (Закрытие заявки после ремонта): </w:t>
      </w:r>
      <w:r>
        <w:rPr>
          <w:rFonts w:ascii="Times New Roman" w:hAnsi="Times New Roman"/>
          <w:color w:val="000000"/>
          <w:sz w:val="24"/>
        </w:rPr>
        <w:t>после устранения неисправности в правой панели «Закрытие выполненной заявки и возврат техники в строй» выбрать номер активной заявки из списка.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5: </w:t>
      </w:r>
      <w:r>
        <w:rPr>
          <w:rFonts w:ascii="Times New Roman" w:hAnsi="Times New Roman"/>
          <w:color w:val="000000"/>
          <w:sz w:val="24"/>
        </w:rPr>
        <w:t>выбрать итоговый статус оборудования («В эксплуатации» — при возврате в кабинет; «На складе» — при переводе в резерв; «Списано» — при признании неремонтопригодным по акту технической экспертизы), ввести техническое заключение и нажать зеленую кнопку «Завершить ремонт и закрыть заявку» (маршрут POST /requests/close).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«3. Заявки на ремонт и ТО» (http://127.0.0.1:5000/?tab=requests) с панелями создания/закрытия заявки и журналом ремонтов.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5 — Экранная форма вкладки «3. Заявки на ремонт и ТО»: регистрация обращений, закрытие ремонтов и журнал заявок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3.5. Операция №5: Анализ оснащенности и выгрузка инвентаризационной ведомости в CSV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Операция используется при проведении плановых и годовых инвентаризаций, а также при подготовке сводных отчетов по оснащенности учебных корпусов и лабораторий.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1: </w:t>
      </w:r>
      <w:r>
        <w:rPr>
          <w:rFonts w:ascii="Times New Roman" w:hAnsi="Times New Roman"/>
          <w:color w:val="000000"/>
          <w:sz w:val="24"/>
        </w:rPr>
        <w:t>перейти на вкладку «5. Аналитика и отчеты». На экране отобразятся две сводные аналитические таблицы: «Распределение парка техники по категориям и учебным корпусам» и «Оснащенность учебных кабинетов и лабораторий».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в верхней панели выгрузки выбрать из выпадающего списка конкретную учебную аудиторию (например, «Каб. 304 (К1)») или оставить пункт «Все учебные аудитории и склады (332 ед.)».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нажать темно-синюю кнопку «Выгрузить ведомость в CSV» (маршрут GET /export/csv). Браузер скачает файл Инвентаризационная_ведомость_ТехУчет_СПО.csv в кодировке UTF-8-BOM с разделителем «;», который напрямую открывается в MS Excel и LibreOffice Calc без искажения кириллицы.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6" w:space="0" w:color="000000"/>
          <w:bottom w:val="dashed" w:sz="6" w:space="0" w:color="000000"/>
          <w:left w:val="dashed" w:sz="6" w:space="0" w:color="000000"/>
          <w:right w:val="dashed" w:sz="6" w:space="0" w:color="000000"/>
          <w:insideH w:val="dashed" w:sz="6" w:space="0" w:color="000000"/>
          <w:insideV w:val="dashed" w:sz="6" w:space="0" w:color="000000"/>
        </w:tblBorders>
      </w:tblPr>
      <w:tblGrid>
        <w:gridCol w:w="9639"/>
      </w:tblGrid>
      <w:tr>
        <w:trPr>
          <w:cantSplit/>
        </w:trPr>
        <w:tc>
          <w:tcPr>
            <w:tcW w:type="dxa" w:w="9354"/>
            <w:tcMar>
              <w:top w:w="280" w:type="dxa"/>
              <w:bottom w:w="280" w:type="dxa"/>
              <w:left w:w="180" w:type="dxa"/>
              <w:right w:w="180" w:type="dxa"/>
            </w:tcMar>
          </w:tcPr>
          <w:p>
            <w:pPr>
              <w:keepNext/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Место для вставки скриншота с сайта Flask ]</w:t>
              <w:br/>
              <w:t>Вставьте сюда скриншот вкладки «5. Аналитика и отчеты» (http://127.0.0.1:5000/?tab=analytics) со сводными таблицами по категориям, корпусам и кабинетам.</w:t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/>
          <w:b/>
          <w:i w:val="0"/>
          <w:color w:val="000000"/>
          <w:sz w:val="21"/>
        </w:rPr>
        <w:t>Рисунок 6 — Экранная форма вкладки «5. Аналитика и отчеты» и панель формирования инвентаризационной ведомости в формате CSV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0000"/>
          <w:sz w:val="26"/>
        </w:rPr>
        <w:t>3.6. Операция №6: Создание оперативной резервной копии и штатное завершение работы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1: </w:t>
      </w:r>
      <w:r>
        <w:rPr>
          <w:rFonts w:ascii="Times New Roman" w:hAnsi="Times New Roman"/>
          <w:color w:val="000000"/>
          <w:sz w:val="24"/>
        </w:rPr>
        <w:t>в конце рабочей смены (или после массового ввода карточек новой поставки) перейти на вкладку «4. Бэкап и диагностика БД».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2: </w:t>
      </w:r>
      <w:r>
        <w:rPr>
          <w:rFonts w:ascii="Times New Roman" w:hAnsi="Times New Roman"/>
          <w:color w:val="000000"/>
          <w:sz w:val="24"/>
        </w:rPr>
        <w:t>в левой панели выбрать тип копии «DAILY — Ежедневная оперативная копия» и нажать зеленую кнопку «Создать горячую резервную копию (ZIP + SHA-256)».</w:t>
      </w:r>
    </w:p>
    <w:p>
      <w:pPr>
        <w:pStyle w:val="ListBullet"/>
        <w:spacing w:before="20" w:after="6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3: </w:t>
      </w:r>
      <w:r>
        <w:rPr>
          <w:rFonts w:ascii="Times New Roman" w:hAnsi="Times New Roman"/>
          <w:color w:val="000000"/>
          <w:sz w:val="24"/>
        </w:rPr>
        <w:t>убедиться в появлении зеленого уведомления об успешном создании архива и новой строки со статусом STATUS=OK в нижнем журнале манифеста.</w:t>
      </w:r>
    </w:p>
    <w:p>
      <w:pPr>
        <w:pStyle w:val="ListBullet"/>
        <w:spacing w:before="20" w:after="120" w:line="276" w:lineRule="auto"/>
        <w:ind w:left="56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Действие 4: </w:t>
      </w:r>
      <w:r>
        <w:rPr>
          <w:rFonts w:ascii="Times New Roman" w:hAnsi="Times New Roman"/>
          <w:color w:val="000000"/>
          <w:sz w:val="24"/>
        </w:rPr>
        <w:t>закрыть вкладку браузера и остановить локальный сервер Flask нажатием комбинации клавиш Ctrl+C в окне терминала.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00000"/>
          <w:sz w:val="28"/>
        </w:rPr>
        <w:t>4. Аварийные и нештатные ситуации (действия оператора при ошибках)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/>
          <w:color w:val="000000"/>
          <w:sz w:val="24"/>
        </w:rPr>
        <w:t>При нарушении правил ввода данных или сбоях среды функционирования веб-приложение перехватывает исключения и выводит в верхней части экрана диагностическое сообщение на красном фоне. Перечень типовых ошибок и порядок действий оператора приведены в таблице 3.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000000"/>
          <w:sz w:val="23"/>
        </w:rPr>
        <w:t>Таблица 3 — Диагностические сообщения об ошибках и действия оператора по их устранению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721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 / Сообщение в интерфейсе Flask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Причина возникновения нештатной ситуации</w:t>
            </w:r>
          </w:p>
        </w:tc>
        <w:tc>
          <w:tcPr>
            <w:tcW w:type="dxa" w:w="374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Порядок действий оператора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UNIQUE constraint failed: equipment.inv_number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зарегистрировать карточку с инвентарным номером, который уже существует в реестре.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Ввести данный инвентарный номер в строку поиска на вкладке «1. Реестр техники», сверить карточку и исправить опечатку.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UNIQUE constraint failed: equipment.serial_number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повторного ввода заводского серийного номера устройства.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Проверить заводской шильдик на корпусе оборудования и убедиться, что устройство не было оприходовано ранее.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Перемещение списанного оборудования запрещено регламентом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Вызов операции перемещения для карточки со статусом «Списано».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Отменить операцию. Списанная техника снята с баланса и не подлежит выдаче в учебные аудитории.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FOREIGN KEY constraint failed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Попытка привязки карточки к несуществующему коду категории, кабинета или сотрудника МОЛ.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Обновить страницу браузера клавишей F5 и выбрать корректное значение из выпадающего списка формы.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sqlite3.OperationalError: database is locked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Кратковременная блокировка файла БД при одновременном запуске дефрагментации VACUUM.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Подождать 5–10 секунд до завершения фоновой оптимизации и повторить отправку формы.</w:t>
            </w:r>
          </w:p>
        </w:tc>
      </w:tr>
      <w:tr>
        <w:trPr>
          <w:cantSplit/>
        </w:trPr>
        <w:tc>
          <w:tcPr>
            <w:tcW w:type="dxa" w:w="2721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Сервер недоступен (ERR_CONNECTION_REFUSED на 127.0.0.1:5000)</w:t>
            </w:r>
          </w:p>
        </w:tc>
        <w:tc>
          <w:tcPr>
            <w:tcW w:type="dxa" w:w="3175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Окно консоли с процессом Flask (python app.py) было закрыто или остановлено.</w:t>
            </w:r>
          </w:p>
        </w:tc>
        <w:tc>
          <w:tcPr>
            <w:tcW w:type="dxa" w:w="3742"/>
            <w:tcMar>
              <w:top w:w="75" w:type="dxa"/>
              <w:bottom w:w="75" w:type="dxa"/>
              <w:left w:w="90" w:type="dxa"/>
              <w:right w:w="90" w:type="dxa"/>
            </w:tcMar>
            <w:vAlign w:val="center"/>
          </w:tcPr>
          <w:p>
            <w:pPr>
              <w:spacing w:before="4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Запустить сервер заново через ярлык run_windows.bat или командой python app.py, затем обновить страницу браузера.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left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keepNext/>
              <w:spacing w:before="160" w:after="40"/>
            </w:pPr>
            <w:r>
              <w:rPr>
                <w:rFonts w:ascii="Times New Roman" w:hAnsi="Times New Roman"/>
                <w:b/>
                <w:sz w:val="23"/>
              </w:rPr>
              <w:t>Разработчик (студент группы ИСП 44-9):</w:t>
            </w:r>
          </w:p>
        </w:tc>
        <w:tc>
          <w:tcPr>
            <w:tcW w:type="dxa" w:w="4819"/>
          </w:tcPr>
          <w:p>
            <w:pPr>
              <w:keepNext/>
              <w:spacing w:before="16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Закиров И. Р. /</w:t>
            </w:r>
          </w:p>
        </w:tc>
      </w:tr>
      <w:tr>
        <w:tc>
          <w:tcPr>
            <w:tcW w:type="dxa" w:w="4819"/>
          </w:tcPr>
          <w:p>
            <w:pPr>
              <w:keepNext/>
              <w:spacing w:before="160" w:after="40"/>
            </w:pPr>
            <w:r>
              <w:rPr>
                <w:rFonts w:ascii="Times New Roman" w:hAnsi="Times New Roman"/>
                <w:b/>
                <w:sz w:val="23"/>
              </w:rPr>
              <w:t>Руководитель учебной практики:</w:t>
            </w:r>
          </w:p>
        </w:tc>
        <w:tc>
          <w:tcPr>
            <w:tcW w:type="dxa" w:w="4819"/>
          </w:tcPr>
          <w:p>
            <w:pPr>
              <w:keepNext/>
              <w:spacing w:before="160" w:after="40"/>
              <w:jc w:val="right"/>
            </w:pPr>
            <w:r>
              <w:rPr>
                <w:rFonts w:ascii="Times New Roman" w:hAnsi="Times New Roman"/>
                <w:sz w:val="23"/>
              </w:rPr>
              <w:t>_______________________ / Шадрина А. Ю.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