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Executive-Ready EDA Report: Hotel Booking Dataset</w:t>
      </w:r>
    </w:p>
    <w:p>
      <w:r>
        <w:t>Prepared from the Day 15 Hotel Booking dataset using an end-to-end data science workflow.</w:t>
      </w:r>
    </w:p>
    <w:p>
      <w:pPr>
        <w:pStyle w:val="Heading1"/>
      </w:pPr>
      <w:r>
        <w:t>1. Executive Summary</w:t>
      </w:r>
    </w:p>
    <w:p>
      <w:r>
        <w:t>The dataset contains 25,180 booking records and 35 variables. After removing 180 duplicate rows, standardizing inconsistent categorical values, imputing appropriate missing values, validating numeric ranges, and capping extreme values using the IQR method, 25,000 records remained for analysis. The cleaned data shows an overall cancellation rate of 72.2%.</w:t>
      </w:r>
    </w:p>
    <w:p>
      <w:pPr>
        <w:pStyle w:val="Heading1"/>
      </w:pPr>
      <w:r>
        <w:t>2. Data Quality and Preprocessing</w:t>
      </w:r>
    </w:p>
    <w:p>
      <w:r>
        <w:t>Missing values were concentrated in Company_ID (20,729), Country (466), Agent_ID (304), Meal_Type (245), Satisfaction_Score (164), Children (121), Hotel_Location (106), and ADR (82). Median imputation was used for numeric fields and mode imputation for selected categorical fields. Dates were converted to datetime. Duplicate records were removed. Inconsistent labels such as different capitalization of hotel and market-segment values were standardized.</w:t>
      </w:r>
    </w:p>
    <w:p>
      <w:r>
        <w:t>Outliers were assessed with the IQR rule for lead time, ADR, estimated revenue, and total nights. Extreme values were capped rather than automatically deleted to reduce the risk of removing genuine high-value bookings.</w:t>
      </w:r>
    </w:p>
    <w:p>
      <w:pPr>
        <w:pStyle w:val="Heading1"/>
      </w:pPr>
      <w:r>
        <w:t>3. Descriptive and Group-wise Analysis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Hotel Type</w:t>
            </w:r>
          </w:p>
        </w:tc>
        <w:tc>
          <w:tcPr>
            <w:tcW w:type="dxa" w:w="1728"/>
          </w:tcPr>
          <w:p>
            <w:r>
              <w:t>Bookings</w:t>
            </w:r>
          </w:p>
        </w:tc>
        <w:tc>
          <w:tcPr>
            <w:tcW w:type="dxa" w:w="1728"/>
          </w:tcPr>
          <w:p>
            <w:r>
              <w:t>Cancellation Rate</w:t>
            </w:r>
          </w:p>
        </w:tc>
        <w:tc>
          <w:tcPr>
            <w:tcW w:type="dxa" w:w="1728"/>
          </w:tcPr>
          <w:p>
            <w:r>
              <w:t>Avg ADR</w:t>
            </w:r>
          </w:p>
        </w:tc>
        <w:tc>
          <w:tcPr>
            <w:tcW w:type="dxa" w:w="1728"/>
          </w:tcPr>
          <w:p>
            <w:r>
              <w:t>Avg Revenue</w:t>
            </w:r>
          </w:p>
        </w:tc>
      </w:tr>
      <w:tr>
        <w:tc>
          <w:tcPr>
            <w:tcW w:type="dxa" w:w="1728"/>
          </w:tcPr>
          <w:p>
            <w:r>
              <w:t>Resort Hotel</w:t>
            </w:r>
          </w:p>
        </w:tc>
        <w:tc>
          <w:tcPr>
            <w:tcW w:type="dxa" w:w="1728"/>
          </w:tcPr>
          <w:p>
            <w:r>
              <w:t>9,389</w:t>
            </w:r>
          </w:p>
        </w:tc>
        <w:tc>
          <w:tcPr>
            <w:tcW w:type="dxa" w:w="1728"/>
          </w:tcPr>
          <w:p>
            <w:r>
              <w:t>70.3%</w:t>
            </w:r>
          </w:p>
        </w:tc>
        <w:tc>
          <w:tcPr>
            <w:tcW w:type="dxa" w:w="1728"/>
          </w:tcPr>
          <w:p>
            <w:r>
              <w:t>172.93</w:t>
            </w:r>
          </w:p>
        </w:tc>
        <w:tc>
          <w:tcPr>
            <w:tcW w:type="dxa" w:w="1728"/>
          </w:tcPr>
          <w:p>
            <w:r>
              <w:t>764.20</w:t>
            </w:r>
          </w:p>
        </w:tc>
      </w:tr>
      <w:tr>
        <w:tc>
          <w:tcPr>
            <w:tcW w:type="dxa" w:w="1728"/>
          </w:tcPr>
          <w:p>
            <w:r>
              <w:t>City Hotel</w:t>
            </w:r>
          </w:p>
        </w:tc>
        <w:tc>
          <w:tcPr>
            <w:tcW w:type="dxa" w:w="1728"/>
          </w:tcPr>
          <w:p>
            <w:r>
              <w:t>15,611</w:t>
            </w:r>
          </w:p>
        </w:tc>
        <w:tc>
          <w:tcPr>
            <w:tcW w:type="dxa" w:w="1728"/>
          </w:tcPr>
          <w:p>
            <w:r>
              <w:t>73.3%</w:t>
            </w:r>
          </w:p>
        </w:tc>
        <w:tc>
          <w:tcPr>
            <w:tcW w:type="dxa" w:w="1728"/>
          </w:tcPr>
          <w:p>
            <w:r>
              <w:t>120.71</w:t>
            </w:r>
          </w:p>
        </w:tc>
        <w:tc>
          <w:tcPr>
            <w:tcW w:type="dxa" w:w="1728"/>
          </w:tcPr>
          <w:p>
            <w:r>
              <w:t>385.26</w:t>
            </w:r>
          </w:p>
        </w:tc>
      </w:tr>
    </w:tbl>
    <w:p>
      <w:pPr>
        <w:pStyle w:val="Heading1"/>
      </w:pPr>
      <w:r>
        <w:t>4. Key Business Insights</w:t>
      </w:r>
    </w:p>
    <w:p>
      <w:pPr>
        <w:pStyle w:val="ListBullet"/>
      </w:pPr>
      <w:r>
        <w:t>Cancellation risk is high overall: 72.2% of cleaned booking records are canceled.</w:t>
      </w:r>
    </w:p>
    <w:p>
      <w:pPr>
        <w:pStyle w:val="ListBullet"/>
      </w:pPr>
      <w:r>
        <w:t>Lead time is a major cancellation indicator, with a Pearson correlation of 0.344; longer booking horizons are associated with higher cancellation risk.</w:t>
      </w:r>
    </w:p>
    <w:p>
      <w:pPr>
        <w:pStyle w:val="ListBullet"/>
      </w:pPr>
      <w:r>
        <w:t>Resort Hotel outperforms City Hotel on commercial value, with average ADR of 172.93 and average estimated revenue of 764.20.</w:t>
      </w:r>
    </w:p>
    <w:p>
      <w:pPr>
        <w:pStyle w:val="ListBullet"/>
      </w:pPr>
      <w:r>
        <w:t>Online TA has the highest cancellation rate among the standardized market segments, at 75.1%.</w:t>
      </w:r>
    </w:p>
    <w:p>
      <w:pPr>
        <w:pStyle w:val="ListBullet"/>
      </w:pPr>
      <w:r>
        <w:t>Revenue performance is closely connected to pricing and stay economics; management should jointly monitor ADR, nights, guest volume, and cancellation behavior.</w:t>
      </w:r>
    </w:p>
    <w:p>
      <w:pPr>
        <w:pStyle w:val="Heading1"/>
      </w:pPr>
      <w:r>
        <w:t>5. Management Recommendations</w:t>
      </w:r>
    </w:p>
    <w:p>
      <w:pPr>
        <w:pStyle w:val="ListNumber"/>
      </w:pPr>
      <w:r>
        <w:t>Introduce cancellation-risk rules for long-lead bookings, including deposit or partial non-refundable options where commercially appropriate.</w:t>
      </w:r>
    </w:p>
    <w:p>
      <w:pPr>
        <w:pStyle w:val="ListNumber"/>
      </w:pPr>
      <w:r>
        <w:t>Create market-segment-specific cancellation policies and monitor Online TA bookings closely.</w:t>
      </w:r>
    </w:p>
    <w:p>
      <w:pPr>
        <w:pStyle w:val="ListNumber"/>
      </w:pPr>
      <w:r>
        <w:t>Maintain premium pricing discipline at Resort Hotels while using packages and upselling to increase value per stay.</w:t>
      </w:r>
    </w:p>
    <w:p>
      <w:pPr>
        <w:pStyle w:val="ListNumber"/>
      </w:pPr>
      <w:r>
        <w:t>Use ADR, total nights, lead time, and cancellation probability together in revenue-management decisions.</w:t>
      </w:r>
    </w:p>
    <w:p>
      <w:pPr>
        <w:pStyle w:val="ListNumber"/>
      </w:pPr>
      <w:r>
        <w:t>Track cancellation rate, ADR, estimated revenue, and satisfaction by hotel type and market segment in a recurring management dashboard.</w:t>
      </w:r>
    </w:p>
    <w:p>
      <w:pPr>
        <w:pStyle w:val="ListNumber"/>
      </w:pPr>
      <w:r>
        <w:t>Strengthen data-quality controls by standardizing categorical labels and validating dates, ranges, and identifiers at source.</w:t>
      </w:r>
    </w:p>
    <w:p>
      <w:pPr>
        <w:pStyle w:val="ListNumber"/>
      </w:pPr>
      <w:r>
        <w:t>Review extreme high-value bookings separately before treating them as errors, since they may represent legitimate premium demand.</w:t>
      </w:r>
    </w:p>
    <w:p>
      <w:pPr>
        <w:pStyle w:val="Heading1"/>
      </w:pPr>
      <w:r>
        <w:t>6. Conclusion</w:t>
      </w:r>
    </w:p>
    <w:p>
      <w:r>
        <w:t>The EDA indicates that cancellation management and revenue optimization are the most important commercial levers. Booking lead time provides a useful early warning signal for cancellations, while hotel type and pricing-related variables explain meaningful differences in revenue performance. The cleaned dataset is suitable for further predictive modeling, including cancellation-risk prediction and revenue forecasting.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