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Pr="009E059C" w:rsidRDefault="0071070C" w:rsidP="009E059C">
      <w:pPr>
        <w:pStyle w:val="1"/>
        <w:jc w:val="center"/>
      </w:pPr>
      <w:r w:rsidRPr="009E059C">
        <w:t>霍乱</w:t>
      </w:r>
    </w:p>
    <w:p w:rsidR="0071070C" w:rsidRPr="0071070C" w:rsidRDefault="0071070C" w:rsidP="00AD66BE">
      <w:pPr>
        <w:pStyle w:val="2"/>
      </w:pPr>
      <w:r w:rsidRPr="0071070C">
        <w:rPr>
          <w:rStyle w:val="headline-content"/>
        </w:rPr>
        <w:t>基本信息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英文名称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    cholera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就诊科室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    感染科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常见发病部位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消化系统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常见病因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    由霍乱弧菌感染所致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常见症状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    突然腹泻，继而呕吐；血压下降、脉搏微弱等</w:t>
      </w:r>
    </w:p>
    <w:p w:rsidR="0071070C" w:rsidRPr="0071070C" w:rsidRDefault="0071070C" w:rsidP="0071070C">
      <w:pPr>
        <w:rPr>
          <w:rFonts w:ascii="宋体" w:hAnsi="宋体"/>
        </w:rPr>
      </w:pPr>
      <w:r w:rsidRPr="0071070C">
        <w:rPr>
          <w:rFonts w:ascii="宋体" w:hAnsi="宋体"/>
        </w:rPr>
        <w:t>传染性</w:t>
      </w:r>
      <w:r w:rsidRPr="0071070C">
        <w:rPr>
          <w:rFonts w:ascii="宋体" w:hAnsi="宋体" w:hint="eastAsia"/>
        </w:rPr>
        <w:t xml:space="preserve"> </w:t>
      </w:r>
      <w:r w:rsidRPr="0071070C">
        <w:rPr>
          <w:rFonts w:ascii="宋体" w:hAnsi="宋体"/>
        </w:rPr>
        <w:t xml:space="preserve">        有</w:t>
      </w:r>
    </w:p>
    <w:p w:rsidR="0071070C" w:rsidRPr="0071070C" w:rsidRDefault="0071070C" w:rsidP="0071070C">
      <w:pPr>
        <w:pStyle w:val="2"/>
        <w:rPr>
          <w:rStyle w:val="headline-content"/>
        </w:rPr>
      </w:pPr>
      <w:bookmarkStart w:id="0" w:name="1"/>
      <w:bookmarkStart w:id="1" w:name="sub43353_1"/>
      <w:bookmarkStart w:id="2" w:name="病因"/>
      <w:bookmarkEnd w:id="0"/>
      <w:bookmarkEnd w:id="1"/>
      <w:bookmarkEnd w:id="2"/>
      <w:r w:rsidRPr="0071070C">
        <w:rPr>
          <w:rStyle w:val="headline-content"/>
          <w:rFonts w:hint="eastAsia"/>
        </w:rPr>
        <w:t>病因</w:t>
      </w:r>
    </w:p>
    <w:p w:rsidR="0071070C" w:rsidRPr="009E059C" w:rsidRDefault="0071070C" w:rsidP="009E059C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霍乱是由霍乱弧菌所引起的。霍乱弧菌为革兰染色阴性，对干燥、日光、热、酸及一般消毒剂均敏感。霍乱弧菌产生致病性的是内毒素及外毒素。正常胃酸可杀死弧菌，当胃酸暂时低下时或入侵病毒菌数量增多时，未被胃酸杀死的弧菌进入小肠，在碱性肠液内迅速繁殖，并产生大量强烈的外毒素。这种外毒素具有ADP-核糖转移酶活性，进入细胞催化胞内的NAD+的ADP核糖基共价结合亚基上后，会使这种亚基不能将自身结合的GTP水解为GDP，从而使这种亚基处于持续活化状态，不断激活腺苷酸环化酶，致使小肠上皮细胞中的cAMP水平增高，导致细胞大量钠离子和水持续外流。这种外毒素对小肠黏膜的作用引起肠液的大量分泌，其分泌量很大，超过肠管再吸收的能力，在临床上出现剧烈泻吐，严重脱水，致使血浆容量明显减少，体内盐分缺乏，血液浓缩，出现周围循环衰竭。由于剧烈泻吐，电解质丢失、缺钾缺钠、肌肉痉挛、酸中毒等甚至发生休克及急性肾衰竭。</w:t>
      </w:r>
    </w:p>
    <w:p w:rsidR="0071070C" w:rsidRPr="0071070C" w:rsidRDefault="0071070C" w:rsidP="0071070C">
      <w:pPr>
        <w:pStyle w:val="2"/>
        <w:rPr>
          <w:rStyle w:val="headline-content"/>
        </w:rPr>
      </w:pPr>
      <w:r w:rsidRPr="0071070C">
        <w:rPr>
          <w:rStyle w:val="headline-content"/>
          <w:rFonts w:hint="eastAsia"/>
        </w:rPr>
        <w:t>临床表现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1.泻吐期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proofErr w:type="gramStart"/>
      <w:r w:rsidRPr="009E059C">
        <w:rPr>
          <w:rFonts w:ascii="宋体" w:hAnsi="宋体"/>
        </w:rPr>
        <w:t>泻吐期多</w:t>
      </w:r>
      <w:proofErr w:type="gramEnd"/>
      <w:r w:rsidRPr="009E059C">
        <w:rPr>
          <w:rFonts w:ascii="宋体" w:hAnsi="宋体"/>
        </w:rPr>
        <w:t>以突然腹泻开始，继而呕吐。一般无明显腹痛，无里急后重感。每日大便数次甚至难以计数，量多，每天2000～4000ml，严重者8000ml以上。初为黄水样，不久转为米泔水水样便，少数患者有血性水样便或柏油样便，腹泻后出现喷射性和边疆性呕吐，初为胃内容物，继而水样，米</w:t>
      </w:r>
      <w:proofErr w:type="gramStart"/>
      <w:r w:rsidRPr="009E059C">
        <w:rPr>
          <w:rFonts w:ascii="宋体" w:hAnsi="宋体"/>
        </w:rPr>
        <w:t>泔</w:t>
      </w:r>
      <w:proofErr w:type="gramEnd"/>
      <w:r w:rsidRPr="009E059C">
        <w:rPr>
          <w:rFonts w:ascii="宋体" w:hAnsi="宋体"/>
        </w:rPr>
        <w:t>样。呕吐多</w:t>
      </w:r>
      <w:proofErr w:type="gramStart"/>
      <w:r w:rsidRPr="009E059C">
        <w:rPr>
          <w:rFonts w:ascii="宋体" w:hAnsi="宋体"/>
        </w:rPr>
        <w:t>不</w:t>
      </w:r>
      <w:proofErr w:type="gramEnd"/>
      <w:r w:rsidRPr="009E059C">
        <w:rPr>
          <w:rFonts w:ascii="宋体" w:hAnsi="宋体"/>
        </w:rPr>
        <w:t>伴有恶心，喷射样，其内容物与大便性状相似。少部分的患者腹泻时</w:t>
      </w:r>
      <w:proofErr w:type="gramStart"/>
      <w:r w:rsidRPr="009E059C">
        <w:rPr>
          <w:rFonts w:ascii="宋体" w:hAnsi="宋体"/>
        </w:rPr>
        <w:t>不</w:t>
      </w:r>
      <w:proofErr w:type="gramEnd"/>
      <w:r w:rsidRPr="009E059C">
        <w:rPr>
          <w:rFonts w:ascii="宋体" w:hAnsi="宋体"/>
        </w:rPr>
        <w:t>伴有呕吐。由于严重泻</w:t>
      </w:r>
      <w:proofErr w:type="gramStart"/>
      <w:r w:rsidRPr="009E059C">
        <w:rPr>
          <w:rFonts w:ascii="宋体" w:hAnsi="宋体"/>
        </w:rPr>
        <w:t>吐引起</w:t>
      </w:r>
      <w:proofErr w:type="gramEnd"/>
      <w:r w:rsidRPr="009E059C">
        <w:rPr>
          <w:rFonts w:ascii="宋体" w:hAnsi="宋体"/>
        </w:rPr>
        <w:t>体液与电解质的大量丢失，出现循环衰竭，表现为血压下降、脉搏微弱、血红蛋白及血浆比重显著增高，尿量减少甚至无尿。机体内有机酸及氮素产物</w:t>
      </w:r>
      <w:proofErr w:type="gramStart"/>
      <w:r w:rsidRPr="009E059C">
        <w:rPr>
          <w:rFonts w:ascii="宋体" w:hAnsi="宋体"/>
        </w:rPr>
        <w:t>排泄受</w:t>
      </w:r>
      <w:proofErr w:type="gramEnd"/>
      <w:r w:rsidRPr="009E059C">
        <w:rPr>
          <w:rFonts w:ascii="宋体" w:hAnsi="宋体"/>
        </w:rPr>
        <w:t>障碍，患者往往出现酸中毒及尿毒症的初期症状。血液</w:t>
      </w:r>
      <w:proofErr w:type="gramStart"/>
      <w:r w:rsidRPr="009E059C">
        <w:rPr>
          <w:rFonts w:ascii="宋体" w:hAnsi="宋体"/>
        </w:rPr>
        <w:t>中钠钾等</w:t>
      </w:r>
      <w:proofErr w:type="gramEnd"/>
      <w:r w:rsidRPr="009E059C">
        <w:rPr>
          <w:rFonts w:ascii="宋体" w:hAnsi="宋体"/>
        </w:rPr>
        <w:t>电解质大量丢失，患者出现全身性电解质紊乱。缺钠可引起肌肉痉挛，</w:t>
      </w:r>
      <w:proofErr w:type="gramStart"/>
      <w:r w:rsidRPr="009E059C">
        <w:rPr>
          <w:rFonts w:ascii="宋体" w:hAnsi="宋体"/>
        </w:rPr>
        <w:t>特别</w:t>
      </w:r>
      <w:proofErr w:type="gramEnd"/>
      <w:r w:rsidRPr="009E059C">
        <w:rPr>
          <w:rFonts w:ascii="宋体" w:hAnsi="宋体"/>
        </w:rPr>
        <w:t>以腓肠肌和腹直肌为最常见。缺钾可引起低钾综合征，如全身肌肉张力减退、肌腱反射消失、鼓肠、心动过速、心律不齐等。由于碳酸氢根离子的大量丢失，可出现代谢性酸中毒，严重者神志不清，血压下降。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2.脱水虚脱期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脱水虚脱期患者的外观表现非常明显，严重者眼窝深陷，声音嘶哑，皮肤干燥皱缩、弹性消失，腹下陷呈舟状，唇舌干燥、口渴欲饮，四肢冰凉、体温常降至正常以下，肌肉痉挛或抽搐。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3.恢复期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少数患者（以儿童多见）此时可出现发热性反应，体温升高至38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～39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，一般持续1～3天后自行消退，故此期又称为反应期。病程平均3～7天。</w:t>
      </w:r>
    </w:p>
    <w:p w:rsidR="0071070C" w:rsidRPr="0071070C" w:rsidRDefault="0071070C" w:rsidP="0071070C">
      <w:pPr>
        <w:pStyle w:val="2"/>
        <w:rPr>
          <w:rStyle w:val="headline-content"/>
        </w:rPr>
      </w:pPr>
      <w:bookmarkStart w:id="3" w:name="3"/>
      <w:bookmarkStart w:id="4" w:name="sub43353_3"/>
      <w:bookmarkStart w:id="5" w:name="检查"/>
      <w:bookmarkEnd w:id="3"/>
      <w:bookmarkEnd w:id="4"/>
      <w:bookmarkEnd w:id="5"/>
      <w:r w:rsidRPr="0071070C">
        <w:rPr>
          <w:rStyle w:val="headline-content"/>
          <w:rFonts w:hint="eastAsia"/>
        </w:rPr>
        <w:t>检查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1.血液检查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红细胞计数和血红蛋白增高，白细胞计数增高，中性粒细胞及大单核细胞计数增多。血清钾、钠、氯化</w:t>
      </w:r>
      <w:r w:rsidRPr="009E059C">
        <w:rPr>
          <w:rStyle w:val="22"/>
        </w:rPr>
        <w:t>物和碳酸盐</w:t>
      </w:r>
      <w:r w:rsidRPr="009E059C">
        <w:rPr>
          <w:rFonts w:ascii="宋体" w:hAnsi="宋体"/>
        </w:rPr>
        <w:t>降低，血pH下降，尿素氮增加。治疗前由于细胞内钾离子外移，</w:t>
      </w:r>
      <w:proofErr w:type="gramStart"/>
      <w:r w:rsidRPr="009E059C">
        <w:rPr>
          <w:rFonts w:ascii="宋体" w:hAnsi="宋体"/>
        </w:rPr>
        <w:t>血清钾可在</w:t>
      </w:r>
      <w:proofErr w:type="gramEnd"/>
      <w:r w:rsidRPr="009E059C">
        <w:rPr>
          <w:rFonts w:ascii="宋体" w:hAnsi="宋体"/>
        </w:rPr>
        <w:t>正常范围内，当酸中毒纠正后，钾离子移入细胞内而出现低钾血症。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2.尿检查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少数患者尿中可有蛋白，红、白细胞及管型。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3.病原菌检查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（1）常规镜检可见黏液和少许红、白细胞。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（2）涂片染色取粪便或早期培养物涂片作革兰染色镜检，可见革兰阴性稍弯曲的弧菌。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（3）悬</w:t>
      </w:r>
      <w:proofErr w:type="gramStart"/>
      <w:r w:rsidRPr="009E059C">
        <w:rPr>
          <w:rFonts w:ascii="宋体" w:hAnsi="宋体"/>
        </w:rPr>
        <w:t>滴检查</w:t>
      </w:r>
      <w:proofErr w:type="gramEnd"/>
      <w:r w:rsidRPr="009E059C">
        <w:rPr>
          <w:rFonts w:ascii="宋体" w:hAnsi="宋体"/>
        </w:rPr>
        <w:t>将新鲜粪便作悬滴或暗视野显微镜检，可见运动活泼呈穿梭状的弧菌。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（4）制动试验取急性期患者的水样粪便或碱性</w:t>
      </w:r>
      <w:proofErr w:type="gramStart"/>
      <w:r w:rsidRPr="009E059C">
        <w:rPr>
          <w:rFonts w:ascii="宋体" w:hAnsi="宋体"/>
        </w:rPr>
        <w:t>胨</w:t>
      </w:r>
      <w:proofErr w:type="gramEnd"/>
      <w:r w:rsidRPr="009E059C">
        <w:rPr>
          <w:rFonts w:ascii="宋体" w:hAnsi="宋体"/>
        </w:rPr>
        <w:t>水增菌培养6小时左右的表层生长物，先作暗视野显微镜检，观察动力。如有穿梭样运动物时，则加入O1群多价血清一滴，若是O1群霍乱弧菌，由于抗原抗体作用，则凝集成块，弧菌运动即停止。如加O1群血清后，不能制止运动，应再用O139血清重作试验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（5）增菌培养所有怀疑霍乱患者的粪便，除作显微镜检外，均应作增菌培养。粪便留取应在使用抗菌药物之前，且应尽快送到实验室作培养。增菌培养基一般用pH8.4的碱性蛋白胨水，36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～37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培养6～8小时后表面能形成菌膜。此时应进一步作分离培养，并进行动力观察和制动试验。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（6）分离培养常用庆大霉素琼脂平</w:t>
      </w:r>
      <w:proofErr w:type="gramStart"/>
      <w:r w:rsidRPr="009E059C">
        <w:rPr>
          <w:rFonts w:ascii="宋体" w:hAnsi="宋体"/>
        </w:rPr>
        <w:t>皿</w:t>
      </w:r>
      <w:proofErr w:type="gramEnd"/>
      <w:r w:rsidRPr="009E059C">
        <w:rPr>
          <w:rFonts w:ascii="宋体" w:hAnsi="宋体"/>
        </w:rPr>
        <w:t>或碱性琼脂平板。前者为强选择性培养基，36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～37</w:t>
      </w:r>
      <w:r w:rsidRPr="009E059C">
        <w:rPr>
          <w:rFonts w:ascii="宋体" w:hAnsi="宋体" w:cs="微软雅黑" w:hint="eastAsia"/>
        </w:rPr>
        <w:t>℃</w:t>
      </w:r>
      <w:r w:rsidRPr="009E059C">
        <w:rPr>
          <w:rFonts w:ascii="宋体" w:hAnsi="宋体"/>
        </w:rPr>
        <w:t>培养8～10小时霍乱弧菌即可长成小菌落。后者则需培养10～20小时。选择可疑或典型菌落，应用霍乱弧菌“O”抗原的抗血清作</w:t>
      </w:r>
      <w:proofErr w:type="gramStart"/>
      <w:r w:rsidRPr="009E059C">
        <w:rPr>
          <w:rFonts w:ascii="宋体" w:hAnsi="宋体"/>
        </w:rPr>
        <w:t>玻</w:t>
      </w:r>
      <w:proofErr w:type="gramEnd"/>
      <w:r w:rsidRPr="009E059C">
        <w:rPr>
          <w:rFonts w:ascii="宋体" w:hAnsi="宋体"/>
        </w:rPr>
        <w:t>片凝集试验，若阳性即可出报告。近年来国外亦有应用霍乱毒素基因的DNA探针，作菌落杂交，可迅速鉴定出产毒O1群霍乱弧菌。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（7）PCR检测新近国外应用PCR技术来快速诊断霍乱。其中通过识别PCR产物中的霍乱弧菌毒素基因亚单位</w:t>
      </w:r>
      <w:proofErr w:type="spellStart"/>
      <w:r w:rsidRPr="009E059C">
        <w:rPr>
          <w:rFonts w:ascii="宋体" w:hAnsi="宋体"/>
        </w:rPr>
        <w:t>CtxA</w:t>
      </w:r>
      <w:proofErr w:type="spellEnd"/>
      <w:r w:rsidRPr="009E059C">
        <w:rPr>
          <w:rFonts w:ascii="宋体" w:hAnsi="宋体"/>
        </w:rPr>
        <w:t>和毒素协同菌毛基因（</w:t>
      </w:r>
      <w:proofErr w:type="spellStart"/>
      <w:r w:rsidRPr="009E059C">
        <w:rPr>
          <w:rFonts w:ascii="宋体" w:hAnsi="宋体"/>
        </w:rPr>
        <w:t>TcpA</w:t>
      </w:r>
      <w:proofErr w:type="spellEnd"/>
      <w:r w:rsidRPr="009E059C">
        <w:rPr>
          <w:rFonts w:ascii="宋体" w:hAnsi="宋体"/>
        </w:rPr>
        <w:t>）来区别霍乱菌株和非霍乱弧菌，然后根据</w:t>
      </w:r>
      <w:proofErr w:type="spellStart"/>
      <w:r w:rsidRPr="009E059C">
        <w:rPr>
          <w:rFonts w:ascii="宋体" w:hAnsi="宋体"/>
        </w:rPr>
        <w:t>TcpA</w:t>
      </w:r>
      <w:proofErr w:type="spellEnd"/>
      <w:r w:rsidRPr="009E059C">
        <w:rPr>
          <w:rFonts w:ascii="宋体" w:hAnsi="宋体"/>
        </w:rPr>
        <w:t>基因的不同DNA序列来区别古典生物型和埃尔托生物型霍乱弧菌。4小时内可获结果。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（8）鉴别试验古典生物型、埃尔托生物型和O139型霍乱弧菌的鉴别。</w:t>
      </w:r>
    </w:p>
    <w:p w:rsidR="0071070C" w:rsidRPr="009E059C" w:rsidRDefault="0071070C" w:rsidP="009E059C">
      <w:pPr>
        <w:rPr>
          <w:rFonts w:ascii="宋体" w:hAnsi="宋体"/>
        </w:rPr>
      </w:pPr>
      <w:r w:rsidRPr="009E059C">
        <w:rPr>
          <w:rFonts w:ascii="宋体" w:hAnsi="宋体"/>
        </w:rPr>
        <w:t>4．血清学检查</w:t>
      </w:r>
    </w:p>
    <w:p w:rsidR="0071070C" w:rsidRPr="009E059C" w:rsidRDefault="0071070C" w:rsidP="000342A7">
      <w:pPr>
        <w:ind w:firstLineChars="200" w:firstLine="480"/>
        <w:rPr>
          <w:rFonts w:ascii="宋体" w:hAnsi="宋体"/>
        </w:rPr>
      </w:pPr>
      <w:r w:rsidRPr="009E059C">
        <w:rPr>
          <w:rFonts w:ascii="宋体" w:hAnsi="宋体"/>
        </w:rPr>
        <w:t>可作血清凝集试验。在发病第1～3日及第10～15日各取1份血清，若第2份血清的抗体效价比第1份增高4倍或4倍以上，有诊断参考价值。</w:t>
      </w:r>
    </w:p>
    <w:p w:rsidR="0071070C" w:rsidRPr="009E059C" w:rsidRDefault="0071070C" w:rsidP="00FE7704">
      <w:pPr>
        <w:pStyle w:val="2"/>
      </w:pPr>
      <w:bookmarkStart w:id="6" w:name="4"/>
      <w:bookmarkStart w:id="7" w:name="sub43353_4"/>
      <w:bookmarkStart w:id="8" w:name="诊断"/>
      <w:bookmarkEnd w:id="6"/>
      <w:bookmarkEnd w:id="7"/>
      <w:bookmarkEnd w:id="8"/>
      <w:r w:rsidRPr="009E059C">
        <w:rPr>
          <w:rFonts w:hint="eastAsia"/>
        </w:rPr>
        <w:t>诊断</w:t>
      </w:r>
      <w:bookmarkStart w:id="9" w:name="_GoBack"/>
      <w:bookmarkEnd w:id="9"/>
    </w:p>
    <w:p w:rsidR="0071070C" w:rsidRPr="009E059C" w:rsidRDefault="0071070C" w:rsidP="009E059C">
      <w:pPr>
        <w:pStyle w:val="21"/>
      </w:pPr>
      <w:r w:rsidRPr="009E059C">
        <w:t>1.确诊标准</w:t>
      </w:r>
    </w:p>
    <w:p w:rsidR="0071070C" w:rsidRDefault="0071070C" w:rsidP="000342A7">
      <w:pPr>
        <w:pStyle w:val="21"/>
        <w:ind w:firstLineChars="200" w:firstLine="480"/>
      </w:pPr>
      <w:r w:rsidRPr="009E059C">
        <w:rPr>
          <w:rFonts w:hint="eastAsia"/>
        </w:rPr>
        <w:t>①</w:t>
      </w:r>
      <w:r w:rsidRPr="009E059C">
        <w:t>凡有腹泻呕吐等症状，大便培养霍乱弧菌阳性者；</w:t>
      </w:r>
      <w:r w:rsidRPr="009E059C">
        <w:rPr>
          <w:rFonts w:hint="eastAsia"/>
        </w:rPr>
        <w:t>②</w:t>
      </w:r>
      <w:r w:rsidRPr="009E059C">
        <w:t>霍乱流行期在疫区有典型</w:t>
      </w:r>
      <w:r>
        <w:t>霍乱症状而大便培养阴性无其他原因可查者，如有条件可做双份血清凝集素试验，滴度4倍或4倍以上可诊断；</w:t>
      </w:r>
      <w:r w:rsidRPr="009E059C">
        <w:rPr>
          <w:rFonts w:hint="eastAsia"/>
        </w:rPr>
        <w:t>③</w:t>
      </w:r>
      <w:r>
        <w:t>疫源检测中发现粪便培养阳性前5天内有腹泻症状者，可诊断为轻型霍乱。</w:t>
      </w:r>
    </w:p>
    <w:p w:rsidR="0071070C" w:rsidRPr="009E059C" w:rsidRDefault="0071070C" w:rsidP="009E059C">
      <w:pPr>
        <w:pStyle w:val="21"/>
      </w:pPr>
      <w:r w:rsidRPr="009E059C">
        <w:t>2.疑似标准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rPr>
          <w:rFonts w:hint="eastAsia"/>
        </w:rPr>
        <w:t>①</w:t>
      </w:r>
      <w:r w:rsidRPr="009E059C">
        <w:t>凡有</w:t>
      </w:r>
      <w:proofErr w:type="gramStart"/>
      <w:r w:rsidRPr="009E059C">
        <w:t>典型泻</w:t>
      </w:r>
      <w:proofErr w:type="gramEnd"/>
      <w:r w:rsidRPr="009E059C">
        <w:t>吐症状的非疫区道发病例，在病原学检查未确诊前；</w:t>
      </w:r>
      <w:r w:rsidRPr="009E059C">
        <w:rPr>
          <w:rFonts w:hint="eastAsia"/>
        </w:rPr>
        <w:t>②</w:t>
      </w:r>
      <w:r w:rsidRPr="009E059C">
        <w:t>霍乱流行期，曾接触霍乱患者，有腹泻症状而无其他原因可查者。</w:t>
      </w:r>
    </w:p>
    <w:p w:rsidR="0071070C" w:rsidRPr="009E059C" w:rsidRDefault="0071070C" w:rsidP="009E059C">
      <w:pPr>
        <w:pStyle w:val="21"/>
      </w:pPr>
      <w:r w:rsidRPr="009E059C">
        <w:t>3.其他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血清学检查适用于病后追溯诊断，无助于早期确诊。诊断须鉴别下述腹泻病：</w:t>
      </w:r>
      <w:r w:rsidRPr="009E059C">
        <w:rPr>
          <w:rFonts w:hint="eastAsia"/>
        </w:rPr>
        <w:t>①</w:t>
      </w:r>
      <w:r w:rsidRPr="009E059C">
        <w:t>痢疾；</w:t>
      </w:r>
      <w:r w:rsidRPr="009E059C">
        <w:rPr>
          <w:rFonts w:hint="eastAsia"/>
        </w:rPr>
        <w:t>②</w:t>
      </w:r>
      <w:r w:rsidRPr="009E059C">
        <w:t>由沙门菌、葡萄球菌、变形杆菌等引起的细菌性食物中毒；</w:t>
      </w:r>
      <w:r w:rsidRPr="009E059C">
        <w:rPr>
          <w:rFonts w:hint="eastAsia"/>
        </w:rPr>
        <w:t>③</w:t>
      </w:r>
      <w:r w:rsidRPr="009E059C">
        <w:t>副溶血弧菌引起的腹泻；</w:t>
      </w:r>
      <w:r w:rsidRPr="009E059C">
        <w:rPr>
          <w:rFonts w:hint="eastAsia"/>
        </w:rPr>
        <w:t>④</w:t>
      </w:r>
      <w:r w:rsidRPr="009E059C">
        <w:t>产肠毒素大肠菌性腹泻；</w:t>
      </w:r>
      <w:r w:rsidRPr="009E059C">
        <w:rPr>
          <w:rFonts w:hint="eastAsia"/>
        </w:rPr>
        <w:t>⑤</w:t>
      </w:r>
      <w:r w:rsidRPr="009E059C">
        <w:t>病毒性（特别是轮状病毒性）胃肠炎；</w:t>
      </w:r>
      <w:r w:rsidRPr="009E059C">
        <w:rPr>
          <w:rFonts w:hint="eastAsia"/>
        </w:rPr>
        <w:t>⑥</w:t>
      </w:r>
      <w:r w:rsidRPr="009E059C">
        <w:t>寄生虫性腹泻；</w:t>
      </w:r>
      <w:r w:rsidRPr="009E059C">
        <w:rPr>
          <w:rFonts w:hint="eastAsia"/>
        </w:rPr>
        <w:t>⑦</w:t>
      </w:r>
      <w:r w:rsidRPr="009E059C">
        <w:t>某些毒物（如有机磷农药、三氧化二砷等）引起的腹泻。</w:t>
      </w:r>
      <w:proofErr w:type="gramStart"/>
      <w:r w:rsidRPr="009E059C">
        <w:t>轻型不</w:t>
      </w:r>
      <w:proofErr w:type="gramEnd"/>
      <w:r w:rsidRPr="009E059C">
        <w:t>典型的霍乱病例诊断鉴别较难。一般仅有轻度腹泻，</w:t>
      </w:r>
      <w:proofErr w:type="gramStart"/>
      <w:r w:rsidRPr="009E059C">
        <w:t>不</w:t>
      </w:r>
      <w:proofErr w:type="gramEnd"/>
      <w:r w:rsidRPr="009E059C">
        <w:t>伴有呕吐，血压、脉搏正常，神志清楚，病程短，于三两天内自行痊愈。暴发型霍乱或干性霍乱比较少见，起病后未见吐泻或脱水，而却迅速转入休克状态和严重的中毒性循环衰竭，病死率极高。</w:t>
      </w:r>
    </w:p>
    <w:p w:rsidR="0071070C" w:rsidRPr="0071070C" w:rsidRDefault="0071070C" w:rsidP="0071070C">
      <w:pPr>
        <w:pStyle w:val="2"/>
        <w:rPr>
          <w:rStyle w:val="headline-content"/>
        </w:rPr>
      </w:pPr>
      <w:bookmarkStart w:id="10" w:name="5"/>
      <w:bookmarkStart w:id="11" w:name="sub43353_5"/>
      <w:bookmarkStart w:id="12" w:name="治疗"/>
      <w:bookmarkEnd w:id="10"/>
      <w:bookmarkEnd w:id="11"/>
      <w:bookmarkEnd w:id="12"/>
      <w:r w:rsidRPr="0071070C">
        <w:rPr>
          <w:rStyle w:val="headline-content"/>
          <w:rFonts w:hint="eastAsia"/>
        </w:rPr>
        <w:t>治疗</w:t>
      </w:r>
    </w:p>
    <w:p w:rsidR="0071070C" w:rsidRPr="009E059C" w:rsidRDefault="0071070C" w:rsidP="009E059C">
      <w:pPr>
        <w:pStyle w:val="21"/>
      </w:pPr>
      <w:r w:rsidRPr="009E059C">
        <w:t>本病的处理原则是严格隔离，迅速补充水及电解质，纠正酸中毒，辅以抗菌治疗及对症处理。</w:t>
      </w:r>
    </w:p>
    <w:p w:rsidR="0071070C" w:rsidRPr="009E059C" w:rsidRDefault="0071070C" w:rsidP="009E059C">
      <w:pPr>
        <w:pStyle w:val="21"/>
      </w:pPr>
      <w:r w:rsidRPr="009E059C">
        <w:t>1.一般治疗与护理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（1）按消化道传染病严密</w:t>
      </w:r>
      <w:proofErr w:type="gramStart"/>
      <w:r w:rsidRPr="009E059C">
        <w:t>隔离隔离</w:t>
      </w:r>
      <w:proofErr w:type="gramEnd"/>
      <w:r w:rsidRPr="009E059C">
        <w:t>至症状消失6天后，粪便弧菌连续3次阴性为止，方可解除隔离，患者用物及排泄物需严格消毒，病区工作人员须严格遵守消毒隔离制度，以防交叉感染。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（2）休息重型患者绝对卧床休息至症状好转。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（3）饮食剧烈泻吐暂停饮食，待呕吐停止腹泻缓解可给流质饮食，在患者可耐受的情况下缓慢增加饮食。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（4）水分的补充为霍乱的基础治疗，轻型患者可口服补液，重型患者需静脉补液，待症状好转后改为口服补液。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（5）标本采集患者入院后立即采集呕吐物的粪便标本，送常规检查及细菌培养，注意标本采集后要立即送检。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（6）密切观察病情变化每4小时</w:t>
      </w:r>
      <w:proofErr w:type="gramStart"/>
      <w:r w:rsidRPr="009E059C">
        <w:t>测生命</w:t>
      </w:r>
      <w:proofErr w:type="gramEnd"/>
      <w:r w:rsidRPr="009E059C">
        <w:t>体征1次，准确纪录出入量，注明大小便次数、量和性状。</w:t>
      </w:r>
    </w:p>
    <w:p w:rsidR="0071070C" w:rsidRPr="009E059C" w:rsidRDefault="0071070C" w:rsidP="009E059C">
      <w:pPr>
        <w:pStyle w:val="21"/>
      </w:pPr>
      <w:r w:rsidRPr="009E059C">
        <w:t>2.输液的治疗与护理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输液治疗原则：早期、迅速、适量，先盐后糖，先快后慢，</w:t>
      </w:r>
      <w:proofErr w:type="gramStart"/>
      <w:r w:rsidRPr="009E059C">
        <w:t>纠酸补钙</w:t>
      </w:r>
      <w:proofErr w:type="gramEnd"/>
      <w:r w:rsidRPr="009E059C">
        <w:t>，见尿补钾。</w:t>
      </w:r>
    </w:p>
    <w:p w:rsidR="0071070C" w:rsidRPr="009E059C" w:rsidRDefault="0071070C" w:rsidP="009E059C">
      <w:pPr>
        <w:pStyle w:val="21"/>
      </w:pPr>
      <w:r w:rsidRPr="009E059C">
        <w:t>3.对症治疗与护理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（1）频繁呕吐可给阿托品。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（2）剧烈腹泻可酌情使用肾上腺皮质激素。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（3）肌肉痉挛可静脉缓注10%葡萄糖酸钙，热敷、按摩。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（4）周围循环衰竭者在大量补液纠正酸中毒后，血压仍不回升者，可用阿拉明或多巴胺药物。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（5）尿毒症者应严格</w:t>
      </w:r>
      <w:proofErr w:type="gramStart"/>
      <w:r w:rsidRPr="009E059C">
        <w:t>控制体入量</w:t>
      </w:r>
      <w:proofErr w:type="gramEnd"/>
      <w:r w:rsidRPr="009E059C">
        <w:t>，禁止蛋白质饮食，加强口腔及皮肤护理，必要时用透析疗法。</w:t>
      </w:r>
    </w:p>
    <w:p w:rsidR="0071070C" w:rsidRPr="009E059C" w:rsidRDefault="0071070C" w:rsidP="009E059C">
      <w:pPr>
        <w:pStyle w:val="21"/>
      </w:pPr>
      <w:r w:rsidRPr="009E059C">
        <w:t>4.病因治疗与护理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四环素有缩短疗程减轻腹泻及缩短粪便排菌时间、减少带菌现象，可静脉滴注，直至病情好转，也可用强力霉素、复方新诺明、</w:t>
      </w:r>
      <w:proofErr w:type="gramStart"/>
      <w:r w:rsidRPr="009E059C">
        <w:t>吡哌</w:t>
      </w:r>
      <w:proofErr w:type="gramEnd"/>
      <w:r w:rsidRPr="009E059C">
        <w:t>酸等药治疗。</w:t>
      </w:r>
    </w:p>
    <w:p w:rsidR="0071070C" w:rsidRPr="009E059C" w:rsidRDefault="0071070C" w:rsidP="009E059C">
      <w:pPr>
        <w:pStyle w:val="21"/>
      </w:pPr>
      <w:r w:rsidRPr="009E059C">
        <w:t>5.注意事项</w:t>
      </w:r>
    </w:p>
    <w:p w:rsidR="0071070C" w:rsidRPr="009E059C" w:rsidRDefault="0071070C" w:rsidP="000342A7">
      <w:pPr>
        <w:pStyle w:val="21"/>
        <w:ind w:firstLineChars="200" w:firstLine="480"/>
      </w:pPr>
      <w:r w:rsidRPr="009E059C">
        <w:t>本病常见的并发症有酸中毒、尿毒症、心力衰竭、肺水肿和低钾综合征等。</w:t>
      </w:r>
    </w:p>
    <w:p w:rsidR="0071070C" w:rsidRPr="0071070C" w:rsidRDefault="0071070C" w:rsidP="0071070C"/>
    <w:sectPr w:rsidR="0071070C" w:rsidRPr="0071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0C"/>
    <w:rsid w:val="000342A7"/>
    <w:rsid w:val="0071070C"/>
    <w:rsid w:val="009E059C"/>
    <w:rsid w:val="00AD66BE"/>
    <w:rsid w:val="00F47FED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7B28D-B3E0-4CB2-B84C-F6EE373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59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10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0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107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070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107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10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07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0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71070C"/>
  </w:style>
  <w:style w:type="paragraph" w:customStyle="1" w:styleId="11">
    <w:name w:val="样式1"/>
    <w:basedOn w:val="a"/>
    <w:link w:val="12"/>
    <w:rsid w:val="0071070C"/>
  </w:style>
  <w:style w:type="paragraph" w:customStyle="1" w:styleId="21">
    <w:name w:val="样式2"/>
    <w:basedOn w:val="a"/>
    <w:link w:val="22"/>
    <w:qFormat/>
    <w:rsid w:val="009E059C"/>
    <w:rPr>
      <w:rFonts w:ascii="宋体" w:hAnsi="宋体"/>
    </w:rPr>
  </w:style>
  <w:style w:type="character" w:customStyle="1" w:styleId="12">
    <w:name w:val="样式1 字符"/>
    <w:basedOn w:val="a0"/>
    <w:link w:val="11"/>
    <w:rsid w:val="0071070C"/>
    <w:rPr>
      <w:rFonts w:eastAsia="宋体"/>
      <w:sz w:val="24"/>
    </w:rPr>
  </w:style>
  <w:style w:type="character" w:customStyle="1" w:styleId="22">
    <w:name w:val="样式2 字符"/>
    <w:basedOn w:val="a0"/>
    <w:link w:val="21"/>
    <w:rsid w:val="009E059C"/>
    <w:rPr>
      <w:rFonts w:ascii="宋体" w:eastAsia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74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4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9049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64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94752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90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7218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48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40839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33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65850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9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10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6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9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1952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5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0241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0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9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34805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8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24537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光辉 达</cp:lastModifiedBy>
  <cp:revision>4</cp:revision>
  <dcterms:created xsi:type="dcterms:W3CDTF">2019-05-21T05:04:00Z</dcterms:created>
  <dcterms:modified xsi:type="dcterms:W3CDTF">2019-05-25T06:14:00Z</dcterms:modified>
</cp:coreProperties>
</file>