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Default="00E557E8" w:rsidP="00E557E8">
      <w:pPr>
        <w:pStyle w:val="1"/>
        <w:jc w:val="center"/>
        <w:rPr>
          <w:shd w:val="clear" w:color="auto" w:fill="FFFFFF"/>
        </w:rPr>
      </w:pPr>
      <w:bookmarkStart w:id="0" w:name="_GoBack"/>
      <w:r>
        <w:rPr>
          <w:shd w:val="clear" w:color="auto" w:fill="FFFFFF"/>
        </w:rPr>
        <w:t>布鲁氏菌病</w:t>
      </w:r>
    </w:p>
    <w:p w:rsidR="00E557E8" w:rsidRDefault="00E557E8" w:rsidP="00E557E8">
      <w:pPr>
        <w:pStyle w:val="2"/>
      </w:pPr>
      <w:r>
        <w:rPr>
          <w:rFonts w:hint="eastAsia"/>
        </w:rPr>
        <w:t>流行病学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1.传染源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羊在国内为主要传染源，其次为牛和猪。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2.传染途径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牧民接羔为主要传染途径，兽医为病畜接生也极易感染。此外，剥牛羊皮、剪打羊毛、挤乳、切病毒肉、屠宰病畜、儿童玩羊等均可受染，病菌从接触处的破损皮肤进入人体。实验室工作人员常可由皮肤、黏膜感染细菌。进食染菌的生乳、乳制品和未煮沸病畜肉类时，病菌可自消化道进入体内。此外，病菌也可通过呼吸道黏膜、眼结膜和性器官黏膜而发生感染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3.易感人群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人群对布鲁菌普遍易感。</w:t>
      </w:r>
    </w:p>
    <w:p w:rsidR="00E557E8" w:rsidRPr="00E557E8" w:rsidRDefault="00E557E8" w:rsidP="00E557E8">
      <w:pPr>
        <w:pStyle w:val="2"/>
      </w:pPr>
      <w:bookmarkStart w:id="1" w:name="2"/>
      <w:bookmarkStart w:id="2" w:name="sub302656_2"/>
      <w:bookmarkStart w:id="3" w:name="临床表现"/>
      <w:bookmarkEnd w:id="1"/>
      <w:bookmarkEnd w:id="2"/>
      <w:bookmarkEnd w:id="3"/>
      <w:r w:rsidRPr="00E557E8">
        <w:rPr>
          <w:rFonts w:hint="eastAsia"/>
        </w:rPr>
        <w:t>临床表现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本病临床表现变化多端，就个别病人而言，其临床表现可以很简便，仅表现为局部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脓肿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，或很复杂而表现为几个脏器和系统同时受累。羊型和猪型布鲁菌病大多较重，牛型的症状较轻，部分病例可以不发热。国内以羊型布病最为多见，未经治疗者的自然病程为3～6个月（平均4个月），但可短仅1个月或长达数年以上。其病程一般可为急性期和慢性期，牛型的急性期常不明显。潜伏期7～60天，一般为2～3周，少数患者在感染后数月或1年以上发病。实验室中受染者大多于10～50天内发病。人类布鲁氏菌病可分为亚临床感染、急性和亚急性、慢性感染、局限性和复发感染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1．亚急性及急性感染病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急骤起病者约占10%～30%。少数患者有至数日的前驱症状，如无力、失眠、低热、食欲症、上呼吸道炎等。急性期的主要临床表现为发热、多汗、乏力、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关节炎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、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睾丸炎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等。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（1）热型 以弛张型最为多见，波状型虽仅占5%～20%，但最具特征性，其发热其增殖为2～3周，继以3～5天至2周无热期后热再起，如此循环起伏而呈波状型；多数患者仅有2～3个波，偶可多达10个以上。其他热型尚有不规则型、持续低热等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（2）多汗 是本病的突出症状，每较其他热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性病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为著。常于深夜清晨热急骤下降出现大汗淋漓，大多患者感乏力、软弱。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（3）关节疼痛 常使患者辗转呻吟和痛楚难忍，可累及一个或数个关节，主要为骶髂、髋、膝、肩、腕、肘等大关节，急性期可呈游走性。痛呈锥刺状，一般镇痛药无效。部分患者的关节有红肿，侧有化脓。局部肿胀如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滑囊炎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、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腱鞘炎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、关节周围炎等也较多见。肌肉疼痛多见于两侧大腿和臀部，后者可出现痉挛性疼痛。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（4）</w:t>
      </w:r>
      <w:r w:rsidRPr="00E557E8">
        <w:rPr>
          <w:rFonts w:ascii="宋体" w:eastAsia="宋体" w:hAnsi="宋体"/>
          <w:color w:val="333333"/>
          <w:sz w:val="24"/>
          <w:szCs w:val="24"/>
        </w:rPr>
        <w:t>睾丸炎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 也是布病的特征性症状之一，乃睾丸及附睾被累及所致，大多呈单侧性，可大如鹅卵，伴明显压痛。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（5）次要症状 有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头痛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、神经痛、肝脾肿大、淋巴结肿大等，皮疹较少见。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2．慢性感染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特点为：</w:t>
      </w:r>
      <w:r w:rsidRPr="00E557E8">
        <w:rPr>
          <w:rFonts w:ascii="宋体" w:eastAsia="宋体" w:hAnsi="宋体" w:cs="Arial" w:hint="eastAsia"/>
          <w:bCs/>
          <w:color w:val="333333"/>
          <w:sz w:val="24"/>
          <w:szCs w:val="24"/>
        </w:rPr>
        <w:t>①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主诉多，尤以夜汗、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头痛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、肌痛及关节痛为多，还可有疲乏、长期低热、寒战或寒意、胃肠道症状等，如胃纳差、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腹泻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、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便秘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等，还可有失眠、抑郁、易激动等，易被诊为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神经官能症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。</w:t>
      </w:r>
      <w:r w:rsidRPr="00E557E8">
        <w:rPr>
          <w:rFonts w:ascii="宋体" w:eastAsia="宋体" w:hAnsi="宋体" w:cs="Arial" w:hint="eastAsia"/>
          <w:bCs/>
          <w:color w:val="333333"/>
          <w:sz w:val="24"/>
          <w:szCs w:val="24"/>
        </w:rPr>
        <w:t>②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急性期遗留的症状，如背痛、关节痛、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坐骨神经痛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、明显乏力、夜汗、迁延多日的低等。固定而顽固的关节痛多见于羊型，化脓性并发症则多见于猪型。</w:t>
      </w:r>
    </w:p>
    <w:p w:rsidR="00E557E8" w:rsidRPr="00E557E8" w:rsidRDefault="00E557E8" w:rsidP="00E557E8">
      <w:pPr>
        <w:pStyle w:val="2"/>
      </w:pPr>
      <w:bookmarkStart w:id="4" w:name="3"/>
      <w:bookmarkStart w:id="5" w:name="sub302656_3"/>
      <w:bookmarkStart w:id="6" w:name="检查"/>
      <w:bookmarkEnd w:id="4"/>
      <w:bookmarkEnd w:id="5"/>
      <w:bookmarkEnd w:id="6"/>
      <w:r w:rsidRPr="00E557E8">
        <w:rPr>
          <w:rFonts w:hint="eastAsia"/>
        </w:rPr>
        <w:t>检查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1.周围血象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白细胞计数正常或稍偏低，淋巴细胞相对或绝对增多。血沉在急性期增速，慢性期亦偏高。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贫血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不清，仅见于严重患者或有延徒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性病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灶者。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2.细菌培养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需时较长，4周后仍无生长方可放弃。骨髓培养的阳性率高于血液，慢性期尤然。急性期羊型患者的血培养阳性率可达60%～80%。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3.免疫学试验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（1）血清凝集试验 试管法乃直接检测脂多糖抗原的抗体，效价≥1:160为阳性，但注射需乱菌苗后也可呈阳性，故应检查双份血清，若效价有4倍或以上增长，乃提示近期布氏杆菌感染。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（2）酶联免疫吸附试验（ELISA） 该法的阳性率高于凝集试验，且检测IgM及IgG的敏感性相似。因慢性患者的抗体属IgG型，故本法可同时用于急、慢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性病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人的诊断。近来有采用亲和素酶联试验，较ELISA更敏感。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（3）2-巯基乙醇（2-ME）试验 本法可检测IgG，用于鉴别自然感染与菌菌免疫。自然感染达1个月后，体内凝集即以IgG型为主（初为IgM型），该IgG对2-ME有耐受性；而菌菌免疫后3个月内的凝集素均以IgM为主，可为2-ME所破坏。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（4）补结试验 补结抗体亦属IgG，病程第3周的效介可超过1:16。本试验的阳性率高于凝集试验，特异性亦高，但出现时间晚于凝集试验。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（5）人球蛋白试验 病人尚可产生一种不完全抗体，后者虽可与抗原结合，但肉眼不可见。当将抗人球蛋白免疫血清加入抗原-不完全抗体复合物中，即出现直接可见的反应。不完全抗体出现早而消失晚，故可用于急、慢性期病人的诊断。鉴于本法操作复杂，只适用凝集试验阴性的可疑病人，效价&gt;1:80为阳性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（6）皮内试验 布鲁菌素皮试乃为一种延迟超敏反应，24～48小时观察结果。仅有局部红晕而无肿块者为阴性，局部红肿和硬快的直径达2～6cm者为阳性。皮试在病程6个月内的阳性率很低，慢性期患者几近100%呈阳性或强阳性反应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（7）其他免疫试验 有反向被动血凝试验、放射免疫、间接免疫荧光试验等，因操作复杂，不适于普遍采用。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4.其他检查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脑脊液检查适用于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脑膜炎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患者，脑脊液细胞增多（淋巴细胞为主），蛋白质增高，其余均正常。心电力产可示P-R新时期处长、心肌损害、低电压等。骨、关节的X线检查可见软组织钙化、骨质修复反应强而破坏性小，椎间盘和椎间隙变窄等。肝功能及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脑电图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的改变的均属非物异性。</w:t>
      </w:r>
    </w:p>
    <w:p w:rsidR="00E557E8" w:rsidRPr="00E557E8" w:rsidRDefault="00E557E8" w:rsidP="00E557E8">
      <w:pPr>
        <w:pStyle w:val="2"/>
      </w:pPr>
      <w:bookmarkStart w:id="7" w:name="4"/>
      <w:bookmarkStart w:id="8" w:name="sub302656_4"/>
      <w:bookmarkStart w:id="9" w:name="诊断"/>
      <w:bookmarkEnd w:id="7"/>
      <w:bookmarkEnd w:id="8"/>
      <w:bookmarkEnd w:id="9"/>
      <w:r w:rsidRPr="00E557E8">
        <w:rPr>
          <w:rFonts w:hint="eastAsia"/>
        </w:rPr>
        <w:t>诊断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根据流行病学临床特点及相关检查可确诊。</w:t>
      </w:r>
    </w:p>
    <w:p w:rsidR="00E557E8" w:rsidRPr="00E557E8" w:rsidRDefault="00E557E8" w:rsidP="00E557E8">
      <w:pPr>
        <w:pStyle w:val="2"/>
      </w:pPr>
      <w:bookmarkStart w:id="10" w:name="5"/>
      <w:bookmarkStart w:id="11" w:name="sub302656_5"/>
      <w:bookmarkStart w:id="12" w:name="治疗"/>
      <w:bookmarkEnd w:id="10"/>
      <w:bookmarkEnd w:id="11"/>
      <w:bookmarkEnd w:id="12"/>
      <w:r w:rsidRPr="00E557E8">
        <w:rPr>
          <w:rFonts w:hint="eastAsia"/>
        </w:rPr>
        <w:t>治疗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1.急性感染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（1）一般疗法及对症疗法 患者应卧床休息，注意水、电解质及营养的补充，给予足量维生素B族和C，以及易于消化的饮食。高热者可同时应用解热镇痛剂。肾上腺皮质激素（激素）有助改善血症症状，但必须与抗生素合用，疗程3～4天。有认为感染累及中枢神经系统及长期有睾丸肿痛者，均有应用激素的指征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（2）抗菌治疗 利福平对本病有效。羊、猪型感染者以四环素与链霉素合用为宜。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2.慢性感染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一般认为四环素与链霉素合用有一定疗程，但四环素的疗程应延长至6周以上，链霉素以4周为宜。对脓</w:t>
      </w:r>
      <w:r w:rsidRPr="00E557E8">
        <w:rPr>
          <w:rFonts w:ascii="宋体" w:eastAsia="宋体" w:hAnsi="宋体"/>
          <w:bCs/>
          <w:color w:val="333333"/>
          <w:sz w:val="24"/>
          <w:szCs w:val="24"/>
        </w:rPr>
        <w:t>性病</w:t>
      </w: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灶可予手术引流。</w:t>
      </w:r>
    </w:p>
    <w:p w:rsidR="00E557E8" w:rsidRPr="00E557E8" w:rsidRDefault="00E557E8" w:rsidP="00E557E8">
      <w:pPr>
        <w:pStyle w:val="2"/>
      </w:pPr>
      <w:bookmarkStart w:id="13" w:name="6"/>
      <w:bookmarkStart w:id="14" w:name="sub302656_6"/>
      <w:bookmarkStart w:id="15" w:name="预防"/>
      <w:bookmarkEnd w:id="13"/>
      <w:bookmarkEnd w:id="14"/>
      <w:bookmarkEnd w:id="15"/>
      <w:r w:rsidRPr="00E557E8">
        <w:rPr>
          <w:rFonts w:hint="eastAsia"/>
        </w:rPr>
        <w:t>预防</w:t>
      </w:r>
    </w:p>
    <w:p w:rsidR="00E557E8" w:rsidRPr="00E557E8" w:rsidRDefault="00E557E8" w:rsidP="00E557E8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E557E8">
        <w:rPr>
          <w:rFonts w:ascii="宋体" w:eastAsia="宋体" w:hAnsi="宋体" w:cs="Arial"/>
          <w:bCs/>
          <w:color w:val="333333"/>
          <w:sz w:val="24"/>
          <w:szCs w:val="24"/>
        </w:rPr>
        <w:t>预后良好，患者大多于3～6个月内康复。</w:t>
      </w:r>
    </w:p>
    <w:bookmarkEnd w:id="0"/>
    <w:p w:rsidR="00E557E8" w:rsidRPr="00E557E8" w:rsidRDefault="00E557E8" w:rsidP="00E557E8"/>
    <w:sectPr w:rsidR="00E557E8" w:rsidRPr="00E55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E8"/>
    <w:rsid w:val="00372288"/>
    <w:rsid w:val="009718CF"/>
    <w:rsid w:val="00E557E8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5562E-FE6A-45D3-8990-4B7F539F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57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57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372288"/>
    <w:rPr>
      <w:rFonts w:eastAsia="宋体"/>
      <w:sz w:val="24"/>
    </w:rPr>
  </w:style>
  <w:style w:type="character" w:customStyle="1" w:styleId="12">
    <w:name w:val="样式1 字符"/>
    <w:basedOn w:val="a0"/>
    <w:link w:val="11"/>
    <w:rsid w:val="00372288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E557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57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E557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6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0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1949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9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2017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8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461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74365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9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60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8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9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1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2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704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70233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91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02946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59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02705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反方向的 钟</cp:lastModifiedBy>
  <cp:revision>2</cp:revision>
  <dcterms:created xsi:type="dcterms:W3CDTF">2019-05-21T14:05:00Z</dcterms:created>
  <dcterms:modified xsi:type="dcterms:W3CDTF">2019-05-25T17:19:00Z</dcterms:modified>
</cp:coreProperties>
</file>