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7FED" w:rsidRDefault="00227AB3" w:rsidP="00227AB3">
      <w:pPr>
        <w:jc w:val="center"/>
        <w:rPr>
          <w:rFonts w:ascii="Arial" w:hAnsi="Arial" w:cs="Arial"/>
          <w:color w:val="333333"/>
          <w:sz w:val="57"/>
          <w:szCs w:val="57"/>
          <w:shd w:val="clear" w:color="auto" w:fill="FFFFFF"/>
        </w:rPr>
      </w:pPr>
      <w:r>
        <w:rPr>
          <w:rFonts w:ascii="Arial" w:hAnsi="Arial" w:cs="Arial"/>
          <w:color w:val="333333"/>
          <w:sz w:val="57"/>
          <w:szCs w:val="57"/>
          <w:shd w:val="clear" w:color="auto" w:fill="FFFFFF"/>
        </w:rPr>
        <w:t>出血热</w:t>
      </w:r>
    </w:p>
    <w:p w:rsidR="00227AB3" w:rsidRPr="00227AB3" w:rsidRDefault="00227AB3" w:rsidP="00227AB3">
      <w:pPr>
        <w:pStyle w:val="2"/>
      </w:pPr>
      <w:r w:rsidRPr="00227AB3">
        <w:t>基本信息</w:t>
      </w:r>
      <w:bookmarkStart w:id="0" w:name="_GoBack"/>
      <w:bookmarkEnd w:id="0"/>
    </w:p>
    <w:p w:rsidR="00227AB3" w:rsidRPr="00227AB3" w:rsidRDefault="00227AB3" w:rsidP="00227AB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Cs/>
          <w:kern w:val="0"/>
          <w:sz w:val="24"/>
          <w:szCs w:val="24"/>
        </w:rPr>
      </w:pPr>
      <w:r w:rsidRPr="00227AB3">
        <w:rPr>
          <w:rFonts w:ascii="宋体" w:eastAsia="宋体" w:hAnsi="宋体" w:cs="Arial"/>
          <w:bCs/>
          <w:kern w:val="0"/>
          <w:sz w:val="24"/>
          <w:szCs w:val="24"/>
        </w:rPr>
        <w:t>别称</w:t>
      </w:r>
      <w:r>
        <w:rPr>
          <w:rFonts w:ascii="宋体" w:eastAsia="宋体" w:hAnsi="宋体" w:cs="Arial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kern w:val="0"/>
          <w:sz w:val="24"/>
          <w:szCs w:val="24"/>
        </w:rPr>
        <w:t xml:space="preserve">        </w:t>
      </w:r>
      <w:r w:rsidRPr="00227AB3">
        <w:rPr>
          <w:rFonts w:ascii="宋体" w:eastAsia="宋体" w:hAnsi="宋体" w:cs="Arial"/>
          <w:kern w:val="0"/>
          <w:sz w:val="24"/>
          <w:szCs w:val="24"/>
        </w:rPr>
        <w:t>流行性出血热、肾综合征出血热</w:t>
      </w:r>
    </w:p>
    <w:p w:rsidR="00227AB3" w:rsidRPr="00227AB3" w:rsidRDefault="00227AB3" w:rsidP="00227AB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Cs/>
          <w:kern w:val="0"/>
          <w:sz w:val="24"/>
          <w:szCs w:val="24"/>
        </w:rPr>
      </w:pPr>
      <w:r w:rsidRPr="00227AB3">
        <w:rPr>
          <w:rFonts w:ascii="宋体" w:eastAsia="宋体" w:hAnsi="宋体" w:cs="Arial"/>
          <w:bCs/>
          <w:kern w:val="0"/>
          <w:sz w:val="24"/>
          <w:szCs w:val="24"/>
        </w:rPr>
        <w:t>英文名称</w:t>
      </w:r>
      <w:r>
        <w:rPr>
          <w:rFonts w:ascii="宋体" w:eastAsia="宋体" w:hAnsi="宋体" w:cs="Arial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kern w:val="0"/>
          <w:sz w:val="24"/>
          <w:szCs w:val="24"/>
        </w:rPr>
        <w:t xml:space="preserve">    </w:t>
      </w:r>
      <w:r w:rsidRPr="00227AB3">
        <w:rPr>
          <w:rFonts w:ascii="宋体" w:eastAsia="宋体" w:hAnsi="宋体" w:cs="Arial"/>
          <w:kern w:val="0"/>
          <w:sz w:val="24"/>
          <w:szCs w:val="24"/>
        </w:rPr>
        <w:t>hemorrhagic fever</w:t>
      </w:r>
    </w:p>
    <w:p w:rsidR="00227AB3" w:rsidRPr="00227AB3" w:rsidRDefault="00227AB3" w:rsidP="00227AB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Cs/>
          <w:kern w:val="0"/>
          <w:sz w:val="24"/>
          <w:szCs w:val="24"/>
        </w:rPr>
      </w:pPr>
      <w:r w:rsidRPr="00227AB3">
        <w:rPr>
          <w:rFonts w:ascii="宋体" w:eastAsia="宋体" w:hAnsi="宋体" w:cs="Arial"/>
          <w:bCs/>
          <w:kern w:val="0"/>
          <w:sz w:val="24"/>
          <w:szCs w:val="24"/>
        </w:rPr>
        <w:t>就诊科室</w:t>
      </w:r>
      <w:r>
        <w:rPr>
          <w:rFonts w:ascii="宋体" w:eastAsia="宋体" w:hAnsi="宋体" w:cs="Arial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kern w:val="0"/>
          <w:sz w:val="24"/>
          <w:szCs w:val="24"/>
        </w:rPr>
        <w:t xml:space="preserve">    </w:t>
      </w:r>
      <w:r w:rsidRPr="00227AB3">
        <w:rPr>
          <w:rFonts w:ascii="宋体" w:eastAsia="宋体" w:hAnsi="宋体" w:cs="Arial"/>
          <w:kern w:val="0"/>
          <w:sz w:val="24"/>
          <w:szCs w:val="24"/>
        </w:rPr>
        <w:t>感染科</w:t>
      </w:r>
    </w:p>
    <w:p w:rsidR="00227AB3" w:rsidRPr="00227AB3" w:rsidRDefault="00227AB3" w:rsidP="00227AB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Cs/>
          <w:kern w:val="0"/>
          <w:sz w:val="24"/>
          <w:szCs w:val="24"/>
        </w:rPr>
      </w:pPr>
      <w:r w:rsidRPr="00227AB3">
        <w:rPr>
          <w:rFonts w:ascii="宋体" w:eastAsia="宋体" w:hAnsi="宋体" w:cs="Arial"/>
          <w:bCs/>
          <w:kern w:val="0"/>
          <w:sz w:val="24"/>
          <w:szCs w:val="24"/>
        </w:rPr>
        <w:t>多发群体</w:t>
      </w:r>
      <w:r>
        <w:rPr>
          <w:rFonts w:ascii="宋体" w:eastAsia="宋体" w:hAnsi="宋体" w:cs="Arial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kern w:val="0"/>
          <w:sz w:val="24"/>
          <w:szCs w:val="24"/>
        </w:rPr>
        <w:t xml:space="preserve">    </w:t>
      </w:r>
      <w:r w:rsidRPr="00227AB3">
        <w:rPr>
          <w:rFonts w:ascii="宋体" w:eastAsia="宋体" w:hAnsi="宋体" w:cs="Arial"/>
          <w:kern w:val="0"/>
          <w:sz w:val="24"/>
          <w:szCs w:val="24"/>
        </w:rPr>
        <w:t>青壮年人</w:t>
      </w:r>
    </w:p>
    <w:p w:rsidR="00227AB3" w:rsidRPr="00227AB3" w:rsidRDefault="00227AB3" w:rsidP="00227AB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Cs/>
          <w:kern w:val="0"/>
          <w:sz w:val="24"/>
          <w:szCs w:val="24"/>
        </w:rPr>
      </w:pPr>
      <w:r w:rsidRPr="00227AB3">
        <w:rPr>
          <w:rFonts w:ascii="宋体" w:eastAsia="宋体" w:hAnsi="宋体" w:cs="Arial"/>
          <w:bCs/>
          <w:kern w:val="0"/>
          <w:sz w:val="24"/>
          <w:szCs w:val="24"/>
        </w:rPr>
        <w:t>常见病因</w:t>
      </w:r>
      <w:r>
        <w:rPr>
          <w:rFonts w:ascii="宋体" w:eastAsia="宋体" w:hAnsi="宋体" w:cs="Arial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kern w:val="0"/>
          <w:sz w:val="24"/>
          <w:szCs w:val="24"/>
        </w:rPr>
        <w:t xml:space="preserve">    </w:t>
      </w:r>
      <w:r w:rsidRPr="00227AB3">
        <w:rPr>
          <w:rFonts w:ascii="宋体" w:eastAsia="宋体" w:hAnsi="宋体" w:cs="Arial"/>
          <w:kern w:val="0"/>
          <w:sz w:val="24"/>
          <w:szCs w:val="24"/>
        </w:rPr>
        <w:t>由流行性出血热病毒（汉坦病毒）引起的</w:t>
      </w:r>
    </w:p>
    <w:p w:rsidR="00227AB3" w:rsidRPr="00227AB3" w:rsidRDefault="00227AB3" w:rsidP="00227AB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Cs/>
          <w:kern w:val="0"/>
          <w:sz w:val="24"/>
          <w:szCs w:val="24"/>
        </w:rPr>
      </w:pPr>
      <w:r w:rsidRPr="00227AB3">
        <w:rPr>
          <w:rFonts w:ascii="宋体" w:eastAsia="宋体" w:hAnsi="宋体" w:cs="Arial"/>
          <w:bCs/>
          <w:kern w:val="0"/>
          <w:sz w:val="24"/>
          <w:szCs w:val="24"/>
        </w:rPr>
        <w:t>常见症状</w:t>
      </w:r>
      <w:r>
        <w:rPr>
          <w:rFonts w:ascii="宋体" w:eastAsia="宋体" w:hAnsi="宋体" w:cs="Arial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kern w:val="0"/>
          <w:sz w:val="24"/>
          <w:szCs w:val="24"/>
        </w:rPr>
        <w:t xml:space="preserve">    </w:t>
      </w:r>
      <w:r w:rsidRPr="00227AB3">
        <w:rPr>
          <w:rFonts w:ascii="宋体" w:eastAsia="宋体" w:hAnsi="宋体" w:cs="Arial"/>
          <w:kern w:val="0"/>
          <w:sz w:val="24"/>
          <w:szCs w:val="24"/>
        </w:rPr>
        <w:t>发热、头痛、腰痛、眼眶痛及恶心呕吐、胸闷</w:t>
      </w:r>
    </w:p>
    <w:p w:rsidR="00227AB3" w:rsidRPr="00227AB3" w:rsidRDefault="00227AB3" w:rsidP="00227AB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Cs/>
          <w:kern w:val="0"/>
          <w:sz w:val="24"/>
          <w:szCs w:val="24"/>
        </w:rPr>
      </w:pPr>
      <w:r w:rsidRPr="00227AB3">
        <w:rPr>
          <w:rFonts w:ascii="宋体" w:eastAsia="宋体" w:hAnsi="宋体" w:cs="Arial"/>
          <w:bCs/>
          <w:kern w:val="0"/>
          <w:sz w:val="24"/>
          <w:szCs w:val="24"/>
        </w:rPr>
        <w:t>传染性</w:t>
      </w:r>
      <w:r>
        <w:rPr>
          <w:rFonts w:ascii="宋体" w:eastAsia="宋体" w:hAnsi="宋体" w:cs="Arial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kern w:val="0"/>
          <w:sz w:val="24"/>
          <w:szCs w:val="24"/>
        </w:rPr>
        <w:t xml:space="preserve">      </w:t>
      </w:r>
      <w:r w:rsidRPr="00227AB3">
        <w:rPr>
          <w:rFonts w:ascii="宋体" w:eastAsia="宋体" w:hAnsi="宋体" w:cs="Arial"/>
          <w:kern w:val="0"/>
          <w:sz w:val="24"/>
          <w:szCs w:val="24"/>
        </w:rPr>
        <w:t>有</w:t>
      </w:r>
    </w:p>
    <w:p w:rsidR="00227AB3" w:rsidRPr="00227AB3" w:rsidRDefault="00227AB3" w:rsidP="00227AB3">
      <w:pPr>
        <w:widowControl/>
        <w:shd w:val="clear" w:color="auto" w:fill="FFFFFF"/>
        <w:spacing w:line="390" w:lineRule="atLeast"/>
        <w:jc w:val="left"/>
        <w:rPr>
          <w:rFonts w:ascii="宋体" w:eastAsia="宋体" w:hAnsi="宋体" w:cs="Arial"/>
          <w:bCs/>
          <w:kern w:val="0"/>
          <w:sz w:val="24"/>
          <w:szCs w:val="24"/>
        </w:rPr>
      </w:pPr>
      <w:r w:rsidRPr="00227AB3">
        <w:rPr>
          <w:rFonts w:ascii="宋体" w:eastAsia="宋体" w:hAnsi="宋体" w:cs="Arial"/>
          <w:bCs/>
          <w:kern w:val="0"/>
          <w:sz w:val="24"/>
          <w:szCs w:val="24"/>
        </w:rPr>
        <w:t>传播途径</w:t>
      </w:r>
      <w:r>
        <w:rPr>
          <w:rFonts w:ascii="宋体" w:eastAsia="宋体" w:hAnsi="宋体" w:cs="Arial" w:hint="eastAsia"/>
          <w:bCs/>
          <w:kern w:val="0"/>
          <w:sz w:val="24"/>
          <w:szCs w:val="24"/>
        </w:rPr>
        <w:t xml:space="preserve"> </w:t>
      </w:r>
      <w:r>
        <w:rPr>
          <w:rFonts w:ascii="宋体" w:eastAsia="宋体" w:hAnsi="宋体" w:cs="Arial"/>
          <w:bCs/>
          <w:kern w:val="0"/>
          <w:sz w:val="24"/>
          <w:szCs w:val="24"/>
        </w:rPr>
        <w:t xml:space="preserve">    </w:t>
      </w:r>
      <w:r w:rsidRPr="00227AB3">
        <w:rPr>
          <w:rFonts w:ascii="宋体" w:eastAsia="宋体" w:hAnsi="宋体" w:cs="Arial"/>
          <w:kern w:val="0"/>
          <w:sz w:val="24"/>
          <w:szCs w:val="24"/>
        </w:rPr>
        <w:t>主要传播为动物源性，病毒能通过宿主动物的血及唾液、尿、便排出，</w:t>
      </w:r>
      <w:proofErr w:type="gramStart"/>
      <w:r w:rsidRPr="00227AB3">
        <w:rPr>
          <w:rFonts w:ascii="宋体" w:eastAsia="宋体" w:hAnsi="宋体" w:cs="Arial"/>
          <w:kern w:val="0"/>
          <w:sz w:val="24"/>
          <w:szCs w:val="24"/>
        </w:rPr>
        <w:t>鼠向人</w:t>
      </w:r>
      <w:proofErr w:type="gramEnd"/>
      <w:r w:rsidRPr="00227AB3">
        <w:rPr>
          <w:rFonts w:ascii="宋体" w:eastAsia="宋体" w:hAnsi="宋体" w:cs="Arial"/>
          <w:kern w:val="0"/>
          <w:sz w:val="24"/>
          <w:szCs w:val="24"/>
        </w:rPr>
        <w:t>的直接传播是人类感染的重要途径</w:t>
      </w:r>
    </w:p>
    <w:p w:rsidR="00227AB3" w:rsidRPr="00227AB3" w:rsidRDefault="00227AB3" w:rsidP="00227AB3">
      <w:pPr>
        <w:pStyle w:val="2"/>
      </w:pPr>
      <w:bookmarkStart w:id="1" w:name="1"/>
      <w:bookmarkStart w:id="2" w:name="sub589379_1"/>
      <w:bookmarkStart w:id="3" w:name="病因"/>
      <w:bookmarkEnd w:id="1"/>
      <w:bookmarkEnd w:id="2"/>
      <w:bookmarkEnd w:id="3"/>
      <w:r w:rsidRPr="00227AB3">
        <w:rPr>
          <w:rFonts w:hint="eastAsia"/>
        </w:rPr>
        <w:t>病因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由流行性出血热病毒（汉坦病毒）引起。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1.宿主动物和传染源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主要是小型啮齿动物、包括野鼠及家鼠。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2.传播途径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主要传播为动物源性，病毒能通过宿主动物的血及唾液、尿、便排出，</w:t>
      </w:r>
      <w:proofErr w:type="gramStart"/>
      <w:r w:rsidRPr="00227AB3">
        <w:rPr>
          <w:rFonts w:ascii="宋体" w:eastAsia="宋体" w:hAnsi="宋体" w:cs="Arial"/>
          <w:kern w:val="0"/>
          <w:sz w:val="24"/>
          <w:szCs w:val="24"/>
        </w:rPr>
        <w:t>鼠向人</w:t>
      </w:r>
      <w:proofErr w:type="gramEnd"/>
      <w:r w:rsidRPr="00227AB3">
        <w:rPr>
          <w:rFonts w:ascii="宋体" w:eastAsia="宋体" w:hAnsi="宋体" w:cs="Arial"/>
          <w:kern w:val="0"/>
          <w:sz w:val="24"/>
          <w:szCs w:val="24"/>
        </w:rPr>
        <w:t>的直接传播是人类感染的重要途径。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3.人群易感性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一般认为人群普遍易感，隐性感染率较低，一般青壮年发病率高，病后有持久免疫力。</w:t>
      </w:r>
    </w:p>
    <w:p w:rsidR="00227AB3" w:rsidRPr="00227AB3" w:rsidRDefault="00227AB3" w:rsidP="00227AB3">
      <w:pPr>
        <w:pStyle w:val="2"/>
      </w:pPr>
      <w:bookmarkStart w:id="4" w:name="2"/>
      <w:bookmarkStart w:id="5" w:name="sub589379_2"/>
      <w:bookmarkStart w:id="6" w:name="临床表现"/>
      <w:bookmarkEnd w:id="4"/>
      <w:bookmarkEnd w:id="5"/>
      <w:bookmarkEnd w:id="6"/>
      <w:r w:rsidRPr="00227AB3">
        <w:rPr>
          <w:rFonts w:hint="eastAsia"/>
        </w:rPr>
        <w:t>临床表现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left="720"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出血热潜伏期一般为2～3周。典型临床经过分为五期：发热期、低血压休克期、少尿期、多尿期及恢复期。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1.发热期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主要表现为感染性病毒血症和全身毛细血管损害引起的症状。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起病急，有发热（38℃～40℃）、三痛（头痛、腰痛、眼眶痛）以及恶心、呕吐、胸闷、腹痛、腹泻、全身关节痛等症状，皮肤黏膜三红（脸、颈和上胸部发红），眼结膜充血，重者似酒醉貌。口腔黏膜、胸背、腋下出现大小不等的出血点或淤斑，或呈条索状、抓痕样的出血点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2.低血压休克期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多在发热4～6日，体温开始下降时或退热后不久，主要为失血浆性低血容量休克的表现。患者出现低血压，重者发生休克。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3.少尿期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24小时尿量少于400ml，少尿期与低血压期常无明显界限。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4.多尿期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肾脏组织损害逐渐修复，但由于肾小管回吸收功能尚未完全恢复，以致尿量显著增多。第8～12日多见，持续7～14天，尿量每天4000～6000ml左右，极易造成脱水及电解质紊乱。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5、恢复期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随着肾功能的逐渐恢复，尿量减至3000ml以下时，即进入恢复期。尿量、症状逐渐恢复正常，复原需数月。</w:t>
      </w:r>
    </w:p>
    <w:p w:rsidR="00227AB3" w:rsidRPr="00227AB3" w:rsidRDefault="00227AB3" w:rsidP="00227AB3">
      <w:pPr>
        <w:pStyle w:val="2"/>
      </w:pPr>
      <w:bookmarkStart w:id="7" w:name="3"/>
      <w:bookmarkStart w:id="8" w:name="sub589379_3"/>
      <w:bookmarkStart w:id="9" w:name="检查"/>
      <w:bookmarkEnd w:id="7"/>
      <w:bookmarkEnd w:id="8"/>
      <w:bookmarkEnd w:id="9"/>
      <w:r w:rsidRPr="00227AB3">
        <w:rPr>
          <w:rFonts w:hint="eastAsia"/>
        </w:rPr>
        <w:t>检查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1.常规检查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（1）血常规 早期白细胞总数正常或偏低，3～4日后即明显增高，多在（15～30）×109/L，异型淋巴细胞在1～2病日即可出现，且逐日增多，一般为10%～20%，部分达30%以上；血小板明显减少，低血压及少尿期最低，并有异型、巨核血小板出现，多尿后期始恢复。红细胞和血红蛋白在发热期开始上升，低血压期逐渐增高，休克期患者明显上升，至少尿期下降，其动态变化可作为判断血液浓缩与血液稀释的重要指标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（2）尿常规 显著的尿蛋白是本病的重要特点，也是肾损害的最早表现。尿中还可有红细胞、管型或膜状物（是凝血块、蛋白质与坏死脱落上皮细胞的混合凝聚物）。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2.血液生化检查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（1）尿素</w:t>
      </w:r>
      <w:proofErr w:type="gramStart"/>
      <w:r w:rsidRPr="00227AB3">
        <w:rPr>
          <w:rFonts w:ascii="宋体" w:eastAsia="宋体" w:hAnsi="宋体" w:cs="Arial"/>
          <w:kern w:val="0"/>
          <w:sz w:val="24"/>
          <w:szCs w:val="24"/>
        </w:rPr>
        <w:t>氮及肌酐</w:t>
      </w:r>
      <w:proofErr w:type="gramEnd"/>
      <w:r w:rsidRPr="00227AB3">
        <w:rPr>
          <w:rFonts w:ascii="宋体" w:eastAsia="宋体" w:hAnsi="宋体" w:cs="Arial"/>
          <w:kern w:val="0"/>
          <w:sz w:val="24"/>
          <w:szCs w:val="24"/>
        </w:rPr>
        <w:t> 低血压休克期轻、中度增高。少尿期至多尿期达高峰，以后逐渐下降，升高程度及幅度与病情成正比。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（2）电解质 血钾在发热期可有降低，休克期仍低，少尿期上升为高血钾，多尿期又降低。但少尿期亦有呈低血钾者。血钠及氯在全病程均降低，以休克及少尿期最显著。血钙在全病程中亦多降低。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（3）二氧化碳结合力 发热后期即下降，低血压休克期明显，少尿期亦有下降，多尿期逐渐恢复至正常。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3.凝血功能检查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凝血因子大量消耗，血小板下降，凝血酶原和部分凝血活酶时间延长，纤维蛋白原降低。继发性</w:t>
      </w:r>
      <w:proofErr w:type="gramStart"/>
      <w:r w:rsidRPr="00227AB3">
        <w:rPr>
          <w:rFonts w:ascii="宋体" w:eastAsia="宋体" w:hAnsi="宋体" w:cs="Arial"/>
          <w:kern w:val="0"/>
          <w:sz w:val="24"/>
          <w:szCs w:val="24"/>
        </w:rPr>
        <w:t>纤</w:t>
      </w:r>
      <w:proofErr w:type="gramEnd"/>
      <w:r w:rsidRPr="00227AB3">
        <w:rPr>
          <w:rFonts w:ascii="宋体" w:eastAsia="宋体" w:hAnsi="宋体" w:cs="Arial"/>
          <w:kern w:val="0"/>
          <w:sz w:val="24"/>
          <w:szCs w:val="24"/>
        </w:rPr>
        <w:t>溶亢进表现为凝血酶凝固时间延长，纤维蛋白降解物增加及优球蛋白溶解时间缩短。血浆</w:t>
      </w:r>
      <w:proofErr w:type="gramStart"/>
      <w:r w:rsidRPr="00227AB3">
        <w:rPr>
          <w:rFonts w:ascii="宋体" w:eastAsia="宋体" w:hAnsi="宋体" w:cs="Arial"/>
          <w:kern w:val="0"/>
          <w:sz w:val="24"/>
          <w:szCs w:val="24"/>
        </w:rPr>
        <w:t>鱼精蛋白副凝试验</w:t>
      </w:r>
      <w:proofErr w:type="gramEnd"/>
      <w:r w:rsidRPr="00227AB3">
        <w:rPr>
          <w:rFonts w:ascii="宋体" w:eastAsia="宋体" w:hAnsi="宋体" w:cs="Arial"/>
          <w:kern w:val="0"/>
          <w:sz w:val="24"/>
          <w:szCs w:val="24"/>
        </w:rPr>
        <w:t>（3P试验）阳性。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4.特异性抗原、抗体和病原学检查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早期用免疫荧光试验、酶联免疫吸附试验（ELISA、胶体金法在血清、尿沉渣细胞可查特异性抗原。检测血清特异性抗体IgM1：20以上和IgG抗体1：40为阳性，恢复期血清特异性IgG抗体比急性期有4倍以上增高者也可诊断。RT-PCR法检测血清中病毒RNA，可用于早期诊断。</w:t>
      </w:r>
    </w:p>
    <w:p w:rsidR="00227AB3" w:rsidRPr="00227AB3" w:rsidRDefault="00227AB3" w:rsidP="00227AB3">
      <w:pPr>
        <w:pStyle w:val="2"/>
      </w:pPr>
      <w:bookmarkStart w:id="10" w:name="4"/>
      <w:bookmarkStart w:id="11" w:name="sub589379_4"/>
      <w:bookmarkStart w:id="12" w:name="诊断"/>
      <w:bookmarkEnd w:id="10"/>
      <w:bookmarkEnd w:id="11"/>
      <w:bookmarkEnd w:id="12"/>
      <w:r w:rsidRPr="00227AB3">
        <w:rPr>
          <w:rFonts w:hint="eastAsia"/>
        </w:rPr>
        <w:t>诊断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一般依据临床特点和实验室检查、结合流行病学资料，在排除其他疾病的基础上，进行综合性诊断，对典型病例诊断并不困难，但在非疫区，</w:t>
      </w:r>
      <w:proofErr w:type="gramStart"/>
      <w:r w:rsidRPr="00227AB3">
        <w:rPr>
          <w:rFonts w:ascii="宋体" w:eastAsia="宋体" w:hAnsi="宋体" w:cs="Arial"/>
          <w:kern w:val="0"/>
          <w:sz w:val="24"/>
          <w:szCs w:val="24"/>
        </w:rPr>
        <w:t>非流行</w:t>
      </w:r>
      <w:proofErr w:type="gramEnd"/>
      <w:r w:rsidRPr="00227AB3">
        <w:rPr>
          <w:rFonts w:ascii="宋体" w:eastAsia="宋体" w:hAnsi="宋体" w:cs="Arial"/>
          <w:kern w:val="0"/>
          <w:sz w:val="24"/>
          <w:szCs w:val="24"/>
        </w:rPr>
        <w:t>季节，以及对不典型病例确诊较难，必须经特异性血清学诊断方法确诊。分为疑似病例、临床诊断病例、确诊病例。</w:t>
      </w:r>
    </w:p>
    <w:p w:rsidR="00227AB3" w:rsidRPr="00227AB3" w:rsidRDefault="00227AB3" w:rsidP="00227AB3">
      <w:pPr>
        <w:pStyle w:val="2"/>
      </w:pPr>
      <w:bookmarkStart w:id="13" w:name="5"/>
      <w:bookmarkStart w:id="14" w:name="sub589379_5"/>
      <w:bookmarkStart w:id="15" w:name="治疗"/>
      <w:bookmarkEnd w:id="13"/>
      <w:bookmarkEnd w:id="14"/>
      <w:bookmarkEnd w:id="15"/>
      <w:r w:rsidRPr="00227AB3">
        <w:rPr>
          <w:rFonts w:hint="eastAsia"/>
        </w:rPr>
        <w:t>治疗</w:t>
      </w:r>
    </w:p>
    <w:p w:rsidR="00227AB3" w:rsidRPr="00227AB3" w:rsidRDefault="00227AB3" w:rsidP="00227AB3">
      <w:pPr>
        <w:widowControl/>
        <w:shd w:val="clear" w:color="auto" w:fill="FFFFFF"/>
        <w:spacing w:line="390" w:lineRule="atLeast"/>
        <w:ind w:firstLineChars="200" w:firstLine="480"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1.一般原则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早发现、早休息、早治疗和就地隔离治疗。按乙类传染病上报，</w:t>
      </w:r>
      <w:proofErr w:type="gramStart"/>
      <w:r w:rsidRPr="00227AB3">
        <w:rPr>
          <w:rFonts w:ascii="宋体" w:eastAsia="宋体" w:hAnsi="宋体" w:cs="Arial"/>
          <w:kern w:val="0"/>
          <w:sz w:val="24"/>
          <w:szCs w:val="24"/>
        </w:rPr>
        <w:t>密观生命</w:t>
      </w:r>
      <w:proofErr w:type="gramEnd"/>
      <w:r w:rsidRPr="00227AB3">
        <w:rPr>
          <w:rFonts w:ascii="宋体" w:eastAsia="宋体" w:hAnsi="宋体" w:cs="Arial"/>
          <w:kern w:val="0"/>
          <w:sz w:val="24"/>
          <w:szCs w:val="24"/>
        </w:rPr>
        <w:t>体征，针对五期的临床情况进行相应综合治疗。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发热期可用物理降温或肾上腺皮质激素等。发生低血压休克时应补充血容量，常用的有低分子右旋糖</w:t>
      </w:r>
      <w:proofErr w:type="gramStart"/>
      <w:r w:rsidRPr="00227AB3">
        <w:rPr>
          <w:rFonts w:ascii="宋体" w:eastAsia="宋体" w:hAnsi="宋体" w:cs="Arial"/>
          <w:kern w:val="0"/>
          <w:sz w:val="24"/>
          <w:szCs w:val="24"/>
        </w:rPr>
        <w:t>酐</w:t>
      </w:r>
      <w:proofErr w:type="gramEnd"/>
      <w:r w:rsidRPr="00227AB3">
        <w:rPr>
          <w:rFonts w:ascii="宋体" w:eastAsia="宋体" w:hAnsi="宋体" w:cs="Arial"/>
          <w:kern w:val="0"/>
          <w:sz w:val="24"/>
          <w:szCs w:val="24"/>
        </w:rPr>
        <w:t>、补液、血浆、蛋白等。如有少尿可用利尿剂（如速尿等）静脉注射。多尿时应补充足够液体和电解质（钾盐），以口服为主。进入恢复期后注意防止并发症，加强营养，逐步恢复活动。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2.对症和并发症治疗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有明显出血者应输新鲜血，以提供大量正常功能的血小板和凝血因子；血小板数明显减少者，应输血小板；对合并有弥散性血管内凝血者，可用肝素等抗凝药物治疗。心功能不全者应用强心药物；肾性少尿者，可按急性肾衰竭处理：</w:t>
      </w:r>
      <w:proofErr w:type="gramStart"/>
      <w:r w:rsidRPr="00227AB3">
        <w:rPr>
          <w:rFonts w:ascii="宋体" w:eastAsia="宋体" w:hAnsi="宋体" w:cs="Arial"/>
          <w:kern w:val="0"/>
          <w:sz w:val="24"/>
          <w:szCs w:val="24"/>
        </w:rPr>
        <w:t>限制入液量</w:t>
      </w:r>
      <w:proofErr w:type="gramEnd"/>
      <w:r w:rsidRPr="00227AB3">
        <w:rPr>
          <w:rFonts w:ascii="宋体" w:eastAsia="宋体" w:hAnsi="宋体" w:cs="Arial"/>
          <w:kern w:val="0"/>
          <w:sz w:val="24"/>
          <w:szCs w:val="24"/>
        </w:rPr>
        <w:t>，应用利尿剂，保持电解质和酸碱平衡，必要时采取透析疗法；肝功能受损者可给予保肝治疗。重症患者可酌情应用抗生素预防感染。</w:t>
      </w:r>
    </w:p>
    <w:p w:rsidR="00227AB3" w:rsidRPr="00227AB3" w:rsidRDefault="00227AB3" w:rsidP="00227AB3">
      <w:pPr>
        <w:pStyle w:val="2"/>
      </w:pPr>
      <w:bookmarkStart w:id="16" w:name="6"/>
      <w:bookmarkStart w:id="17" w:name="sub589379_6"/>
      <w:bookmarkStart w:id="18" w:name="预后"/>
      <w:bookmarkEnd w:id="16"/>
      <w:bookmarkEnd w:id="17"/>
      <w:bookmarkEnd w:id="18"/>
      <w:r w:rsidRPr="00227AB3">
        <w:rPr>
          <w:rFonts w:hint="eastAsia"/>
        </w:rPr>
        <w:t>预后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病死率高达20%～90%。体内病毒量高、肝肾等主要脏器功能损害严重者预后差。</w:t>
      </w:r>
    </w:p>
    <w:p w:rsidR="00227AB3" w:rsidRPr="00227AB3" w:rsidRDefault="00227AB3" w:rsidP="00227AB3">
      <w:pPr>
        <w:pStyle w:val="2"/>
      </w:pPr>
      <w:bookmarkStart w:id="19" w:name="7"/>
      <w:bookmarkStart w:id="20" w:name="sub589379_7"/>
      <w:bookmarkStart w:id="21" w:name="预防"/>
      <w:bookmarkEnd w:id="19"/>
      <w:bookmarkEnd w:id="20"/>
      <w:bookmarkEnd w:id="21"/>
      <w:r w:rsidRPr="00227AB3">
        <w:rPr>
          <w:rFonts w:hint="eastAsia"/>
        </w:rPr>
        <w:t>预防</w:t>
      </w:r>
    </w:p>
    <w:p w:rsidR="00227AB3" w:rsidRPr="00227AB3" w:rsidRDefault="00227AB3" w:rsidP="00227AB3">
      <w:pPr>
        <w:widowControl/>
        <w:shd w:val="clear" w:color="auto" w:fill="FFFFFF"/>
        <w:wordWrap w:val="0"/>
        <w:spacing w:line="390" w:lineRule="atLeast"/>
        <w:ind w:firstLineChars="200" w:firstLine="480"/>
        <w:jc w:val="left"/>
        <w:rPr>
          <w:rFonts w:ascii="宋体" w:eastAsia="宋体" w:hAnsi="宋体" w:cs="Arial" w:hint="eastAsia"/>
          <w:kern w:val="0"/>
          <w:sz w:val="24"/>
          <w:szCs w:val="24"/>
        </w:rPr>
      </w:pPr>
      <w:r w:rsidRPr="00227AB3">
        <w:rPr>
          <w:rFonts w:ascii="宋体" w:eastAsia="宋体" w:hAnsi="宋体" w:cs="Arial"/>
          <w:kern w:val="0"/>
          <w:sz w:val="24"/>
          <w:szCs w:val="24"/>
        </w:rPr>
        <w:t>防鼠、灭鼠是消灭本病的关键。做好食品、环境、个人卫生，必要时可用出血热疫苗预防注射。</w:t>
      </w:r>
    </w:p>
    <w:sectPr w:rsidR="00227AB3" w:rsidRPr="00227A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AB3"/>
    <w:rsid w:val="00227AB3"/>
    <w:rsid w:val="00372288"/>
    <w:rsid w:val="00F47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9B68E"/>
  <w15:chartTrackingRefBased/>
  <w15:docId w15:val="{C72C95E3-F4BA-4C51-B889-E4254C59B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227AB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样式1"/>
    <w:basedOn w:val="a"/>
    <w:link w:val="10"/>
    <w:qFormat/>
    <w:rsid w:val="00372288"/>
    <w:rPr>
      <w:rFonts w:eastAsia="宋体"/>
      <w:sz w:val="24"/>
    </w:rPr>
  </w:style>
  <w:style w:type="character" w:customStyle="1" w:styleId="10">
    <w:name w:val="样式1 字符"/>
    <w:basedOn w:val="a0"/>
    <w:link w:val="1"/>
    <w:rsid w:val="00372288"/>
    <w:rPr>
      <w:rFonts w:eastAsia="宋体"/>
      <w:sz w:val="24"/>
    </w:rPr>
  </w:style>
  <w:style w:type="character" w:customStyle="1" w:styleId="20">
    <w:name w:val="标题 2 字符"/>
    <w:basedOn w:val="a0"/>
    <w:link w:val="2"/>
    <w:uiPriority w:val="9"/>
    <w:rsid w:val="00227AB3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headline-content">
    <w:name w:val="headline-content"/>
    <w:basedOn w:val="a0"/>
    <w:rsid w:val="00227A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662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0050">
          <w:marLeft w:val="0"/>
          <w:marRight w:val="0"/>
          <w:marTop w:val="30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51567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386098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819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6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94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8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1405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6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25729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7896694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3497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5479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24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718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69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411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954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2601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7262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2509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20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1912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3521482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290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127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465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36391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22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75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4161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9322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8508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9460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555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200057812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813942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25308065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832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5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73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62540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868055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199394782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2516">
          <w:marLeft w:val="-450"/>
          <w:marRight w:val="0"/>
          <w:marTop w:val="525"/>
          <w:marBottom w:val="225"/>
          <w:divBdr>
            <w:top w:val="none" w:sz="0" w:space="0" w:color="auto"/>
            <w:left w:val="single" w:sz="48" w:space="0" w:color="4F9CEE"/>
            <w:bottom w:val="none" w:sz="0" w:space="0" w:color="auto"/>
            <w:right w:val="none" w:sz="0" w:space="0" w:color="auto"/>
          </w:divBdr>
        </w:div>
        <w:div w:id="9213796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322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健</dc:creator>
  <cp:keywords/>
  <dc:description/>
  <cp:lastModifiedBy>秦 健</cp:lastModifiedBy>
  <cp:revision>1</cp:revision>
  <dcterms:created xsi:type="dcterms:W3CDTF">2019-05-22T05:48:00Z</dcterms:created>
  <dcterms:modified xsi:type="dcterms:W3CDTF">2019-05-22T05:55:00Z</dcterms:modified>
</cp:coreProperties>
</file>