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245D8C"/>
          <w:sz w:val="24"/>
        </w:rPr>
        <w:t>PRODUCT REQUIREMENTS DOCUMENT</w:t>
      </w:r>
    </w:p>
    <w:p>
      <w:pPr>
        <w:spacing w:after="120"/>
        <w:jc w:val="center"/>
      </w:pPr>
      <w:r>
        <w:rPr>
          <w:rFonts w:ascii="Aptos Display" w:hAnsi="Aptos Display"/>
          <w:b/>
          <w:color w:val="17324D"/>
          <w:sz w:val="56"/>
        </w:rPr>
        <w:t>Personal Credit Analysis &amp; Education Platform</w:t>
      </w:r>
    </w:p>
    <w:p>
      <w:pPr>
        <w:jc w:val="center"/>
      </w:pPr>
      <w:r>
        <w:rPr>
          <w:rFonts w:ascii="Aptos" w:hAnsi="Aptos"/>
          <w:i/>
          <w:color w:val="52606D"/>
          <w:sz w:val="24"/>
        </w:rPr>
        <w:t>Evidence-first consumer credit report diagnostics, education, and guided verification</w:t>
      </w:r>
    </w:p>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Borders>
              <w:top w:val="nil"/>
              <w:start w:val="single" w:sz="18" w:color="245D8C"/>
              <w:bottom w:val="nil"/>
              <w:end w:val="nil"/>
            </w:tcBorders>
          </w:tcPr>
          <w:p>
            <w:pPr>
              <w:spacing w:after="60"/>
            </w:pPr>
            <w:r>
              <w:rPr>
                <w:rFonts w:ascii="Aptos" w:hAnsi="Aptos"/>
                <w:b/>
                <w:color w:val="245D8C"/>
                <w:sz w:val="21"/>
              </w:rPr>
              <w:t>Product boundary</w:t>
            </w:r>
          </w:p>
          <w:p>
            <w:pPr>
              <w:spacing w:after="0"/>
            </w:pPr>
            <w:r>
              <w:rPr>
                <w:rFonts w:ascii="Aptos" w:hAnsi="Aptos"/>
                <w:color w:val="1F2933"/>
                <w:sz w:val="19"/>
              </w:rPr>
              <w:t>A consumer-directed diagnostic and education platform. It identifies document-supported inconsistencies and potential errors, explains limitations, and helps users verify facts. It does not make definitive legal determinations, guarantee deletions or score increases, or autonomously submit disputes.</w:t>
            </w:r>
          </w:p>
        </w:tc>
        <w:trPr>
          <w:tblHeader/>
        </w:trPr>
      </w:tr>
    </w:tbl>
    <w:p>
      <w:pPr>
        <w:spacing w:after="0"/>
      </w:pPr>
    </w:p>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90" w:type="dxa"/>
              <w:start w:w="110" w:type="dxa"/>
              <w:bottom w:w="90" w:type="dxa"/>
              <w:end w:w="110" w:type="dxa"/>
            </w:tcMar>
          </w:tcPr>
          <w:p>
            <w:r>
              <w:rPr>
                <w:rFonts w:ascii="Aptos" w:hAnsi="Aptos"/>
                <w:b/>
                <w:color w:val="17324D"/>
                <w:sz w:val="18"/>
              </w:rPr>
              <w:t>Document version</w:t>
            </w:r>
          </w:p>
        </w:tc>
        <w:tc>
          <w:tcPr>
            <w:tcW w:type="dxa" w:w="5083"/>
            <w:tcMar>
              <w:top w:w="90" w:type="dxa"/>
              <w:start w:w="110" w:type="dxa"/>
              <w:bottom w:w="90" w:type="dxa"/>
              <w:end w:w="110" w:type="dxa"/>
            </w:tcMar>
          </w:tcPr>
          <w:p>
            <w:r>
              <w:rPr>
                <w:rFonts w:ascii="Aptos" w:hAnsi="Aptos"/>
                <w:color w:val="1F2933"/>
                <w:sz w:val="18"/>
              </w:rPr>
              <w:t>0.1</w:t>
            </w:r>
          </w:p>
        </w:tc>
        <w:trPr>
          <w:tblHeader/>
        </w:trPr>
      </w:tr>
      <w:tr>
        <w:tc>
          <w:tcPr>
            <w:tcW w:type="dxa" w:w="5083"/>
            <w:shd w:fill="EAF2F8"/>
            <w:tcMar>
              <w:top w:w="90" w:type="dxa"/>
              <w:start w:w="110" w:type="dxa"/>
              <w:bottom w:w="90" w:type="dxa"/>
              <w:end w:w="110" w:type="dxa"/>
            </w:tcMar>
          </w:tcPr>
          <w:p>
            <w:r>
              <w:rPr>
                <w:rFonts w:ascii="Aptos" w:hAnsi="Aptos"/>
                <w:b/>
                <w:color w:val="17324D"/>
                <w:sz w:val="18"/>
              </w:rPr>
              <w:t>Status</w:t>
            </w:r>
          </w:p>
        </w:tc>
        <w:tc>
          <w:tcPr>
            <w:tcW w:type="dxa" w:w="5083"/>
            <w:tcMar>
              <w:top w:w="90" w:type="dxa"/>
              <w:start w:w="110" w:type="dxa"/>
              <w:bottom w:w="90" w:type="dxa"/>
              <w:end w:w="110" w:type="dxa"/>
            </w:tcMar>
          </w:tcPr>
          <w:p>
            <w:r>
              <w:rPr>
                <w:rFonts w:ascii="Aptos" w:hAnsi="Aptos"/>
                <w:color w:val="1F2933"/>
                <w:sz w:val="18"/>
              </w:rPr>
              <w:t>Draft for founder, engineering, security, and legal review</w:t>
            </w:r>
          </w:p>
        </w:tc>
      </w:tr>
      <w:tr>
        <w:tc>
          <w:tcPr>
            <w:tcW w:type="dxa" w:w="5083"/>
            <w:shd w:fill="EAF2F8"/>
            <w:tcMar>
              <w:top w:w="90" w:type="dxa"/>
              <w:start w:w="110" w:type="dxa"/>
              <w:bottom w:w="90" w:type="dxa"/>
              <w:end w:w="110" w:type="dxa"/>
            </w:tcMar>
          </w:tcPr>
          <w:p>
            <w:r>
              <w:rPr>
                <w:rFonts w:ascii="Aptos" w:hAnsi="Aptos"/>
                <w:b/>
                <w:color w:val="17324D"/>
                <w:sz w:val="18"/>
              </w:rPr>
              <w:t>Prepared date</w:t>
            </w:r>
          </w:p>
        </w:tc>
        <w:tc>
          <w:tcPr>
            <w:tcW w:type="dxa" w:w="5083"/>
            <w:tcMar>
              <w:top w:w="90" w:type="dxa"/>
              <w:start w:w="110" w:type="dxa"/>
              <w:bottom w:w="90" w:type="dxa"/>
              <w:end w:w="110" w:type="dxa"/>
            </w:tcMar>
          </w:tcPr>
          <w:p>
            <w:r>
              <w:rPr>
                <w:rFonts w:ascii="Aptos" w:hAnsi="Aptos"/>
                <w:color w:val="1F2933"/>
                <w:sz w:val="18"/>
              </w:rPr>
              <w:t>July 26, 2026</w:t>
            </w:r>
          </w:p>
        </w:tc>
      </w:tr>
      <w:tr>
        <w:tc>
          <w:tcPr>
            <w:tcW w:type="dxa" w:w="5083"/>
            <w:shd w:fill="EAF2F8"/>
            <w:tcMar>
              <w:top w:w="90" w:type="dxa"/>
              <w:start w:w="110" w:type="dxa"/>
              <w:bottom w:w="90" w:type="dxa"/>
              <w:end w:w="110" w:type="dxa"/>
            </w:tcMar>
          </w:tcPr>
          <w:p>
            <w:r>
              <w:rPr>
                <w:rFonts w:ascii="Aptos" w:hAnsi="Aptos"/>
                <w:b/>
                <w:color w:val="17324D"/>
                <w:sz w:val="18"/>
              </w:rPr>
              <w:t>Target release</w:t>
            </w:r>
          </w:p>
        </w:tc>
        <w:tc>
          <w:tcPr>
            <w:tcW w:type="dxa" w:w="5083"/>
            <w:tcMar>
              <w:top w:w="90" w:type="dxa"/>
              <w:start w:w="110" w:type="dxa"/>
              <w:bottom w:w="90" w:type="dxa"/>
              <w:end w:w="110" w:type="dxa"/>
            </w:tcMar>
          </w:tcPr>
          <w:p>
            <w:r>
              <w:rPr>
                <w:rFonts w:ascii="Aptos" w:hAnsi="Aptos"/>
                <w:color w:val="1F2933"/>
                <w:sz w:val="18"/>
              </w:rPr>
              <w:t>Controlled U.S. MVP; one launch state after legal approval</w:t>
            </w:r>
          </w:p>
        </w:tc>
      </w:tr>
      <w:tr>
        <w:tc>
          <w:tcPr>
            <w:tcW w:type="dxa" w:w="5083"/>
            <w:shd w:fill="EAF2F8"/>
            <w:tcMar>
              <w:top w:w="90" w:type="dxa"/>
              <w:start w:w="110" w:type="dxa"/>
              <w:bottom w:w="90" w:type="dxa"/>
              <w:end w:w="110" w:type="dxa"/>
            </w:tcMar>
          </w:tcPr>
          <w:p>
            <w:r>
              <w:rPr>
                <w:rFonts w:ascii="Aptos" w:hAnsi="Aptos"/>
                <w:b/>
                <w:color w:val="17324D"/>
                <w:sz w:val="18"/>
              </w:rPr>
              <w:t>Primary stack</w:t>
            </w:r>
          </w:p>
        </w:tc>
        <w:tc>
          <w:tcPr>
            <w:tcW w:type="dxa" w:w="5083"/>
            <w:tcMar>
              <w:top w:w="90" w:type="dxa"/>
              <w:start w:w="110" w:type="dxa"/>
              <w:bottom w:w="90" w:type="dxa"/>
              <w:end w:w="110" w:type="dxa"/>
            </w:tcMar>
          </w:tcPr>
          <w:p>
            <w:r>
              <w:rPr>
                <w:rFonts w:ascii="Aptos" w:hAnsi="Aptos"/>
                <w:color w:val="1F2933"/>
                <w:sz w:val="18"/>
              </w:rPr>
              <w:t>Next.js + TypeScript, InsForge, Bun workspaces, Node.js LTS worker</w:t>
            </w:r>
          </w:p>
        </w:tc>
      </w:tr>
      <w:tr>
        <w:tc>
          <w:tcPr>
            <w:tcW w:type="dxa" w:w="5083"/>
            <w:shd w:fill="EAF2F8"/>
            <w:tcMar>
              <w:top w:w="90" w:type="dxa"/>
              <w:start w:w="110" w:type="dxa"/>
              <w:bottom w:w="90" w:type="dxa"/>
              <w:end w:w="110" w:type="dxa"/>
            </w:tcMar>
          </w:tcPr>
          <w:p>
            <w:r>
              <w:rPr>
                <w:rFonts w:ascii="Aptos" w:hAnsi="Aptos"/>
                <w:b/>
                <w:color w:val="17324D"/>
                <w:sz w:val="18"/>
              </w:rPr>
              <w:t>Classification</w:t>
            </w:r>
          </w:p>
        </w:tc>
        <w:tc>
          <w:tcPr>
            <w:tcW w:type="dxa" w:w="5083"/>
            <w:tcMar>
              <w:top w:w="90" w:type="dxa"/>
              <w:start w:w="110" w:type="dxa"/>
              <w:bottom w:w="90" w:type="dxa"/>
              <w:end w:w="110" w:type="dxa"/>
            </w:tcMar>
          </w:tcPr>
          <w:p>
            <w:r>
              <w:rPr>
                <w:rFonts w:ascii="Aptos" w:hAnsi="Aptos"/>
                <w:color w:val="1F2933"/>
                <w:sz w:val="18"/>
              </w:rPr>
              <w:t>Confidential working draft</w:t>
            </w:r>
          </w:p>
        </w:tc>
      </w:tr>
    </w:tbl>
    <w:p/>
    <w:p>
      <w:pPr>
        <w:jc w:val="center"/>
      </w:pPr>
      <w:r>
        <w:rPr>
          <w:rFonts w:ascii="Aptos" w:hAnsi="Aptos"/>
          <w:i/>
          <w:color w:val="9E2A2B"/>
          <w:sz w:val="16"/>
        </w:rPr>
        <w:t>Not legal advice. Product launch, pricing, marketing, contracts, state coverage, and Metro 2 use require review by qualified counsel and appropriately licensed subject-matter experts.</w:t>
      </w:r>
    </w:p>
    <w:p>
      <w:r>
        <w:br w:type="page"/>
      </w:r>
    </w:p>
    <w:p>
      <w:pPr>
        <w:pStyle w:val="Heading1"/>
        <w:pageBreakBefore w:val="0"/>
      </w:pPr>
      <w:r>
        <w:rPr>
          <w:rFonts w:ascii="Aptos Display" w:hAnsi="Aptos Display"/>
          <w:b/>
          <w:color w:val="17324D"/>
          <w:sz w:val="36"/>
        </w:rPr>
        <w:t>1. Document Purpose and Control</w:t>
      </w:r>
    </w:p>
    <w:p>
      <w:pPr>
        <w:pStyle w:val="Heading2"/>
        <w:keepNext/>
      </w:pPr>
      <w:r>
        <w:rPr>
          <w:rFonts w:ascii="Aptos Display" w:hAnsi="Aptos Display"/>
          <w:b/>
          <w:color w:val="245D8C"/>
          <w:sz w:val="26"/>
        </w:rPr>
        <w:t>1.1 Purpose</w:t>
      </w:r>
    </w:p>
    <w:p>
      <w:pPr>
        <w:keepNext w:val="0"/>
        <w:spacing w:after="80" w:line="259" w:lineRule="auto"/>
      </w:pPr>
      <w:r>
        <w:rPr>
          <w:rFonts w:ascii="Aptos" w:hAnsi="Aptos"/>
        </w:rPr>
        <w:t>This PRD defines the product, compliance, security, data, AI, and architecture requirements for a U.S. consumer-facing system that accepts a user-authorized credit report in PDF or HTML format and produces a traceable credit analysis and educational action plan. It is intended to function as the shared build specification for product, design, engineering, security, compliance, legal reviewers, and quality assurance.</w:t>
      </w:r>
    </w:p>
    <w:p>
      <w:pPr>
        <w:pStyle w:val="Heading2"/>
        <w:keepNext/>
      </w:pPr>
      <w:r>
        <w:rPr>
          <w:rFonts w:ascii="Aptos Display" w:hAnsi="Aptos Display"/>
          <w:b/>
          <w:color w:val="245D8C"/>
          <w:sz w:val="26"/>
        </w:rPr>
        <w:t>1.2 Authority and approval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17324D"/>
            <w:tcMar>
              <w:top w:w="80" w:type="dxa"/>
              <w:start w:w="90" w:type="dxa"/>
              <w:bottom w:w="80" w:type="dxa"/>
              <w:end w:w="90" w:type="dxa"/>
            </w:tcMar>
            <w:vAlign w:val="center"/>
          </w:tcPr>
          <w:p>
            <w:pPr>
              <w:spacing w:after="0"/>
            </w:pPr>
            <w:r>
              <w:rPr>
                <w:rFonts w:ascii="Aptos" w:hAnsi="Aptos"/>
                <w:b/>
                <w:color w:val="FFFFFF"/>
                <w:sz w:val="17"/>
              </w:rPr>
              <w:t>Decision area</w:t>
            </w:r>
          </w:p>
        </w:tc>
        <w:tc>
          <w:tcPr>
            <w:tcW w:type="dxa" w:w="3456"/>
            <w:shd w:fill="17324D"/>
            <w:tcMar>
              <w:top w:w="80" w:type="dxa"/>
              <w:start w:w="90" w:type="dxa"/>
              <w:bottom w:w="80" w:type="dxa"/>
              <w:end w:w="90" w:type="dxa"/>
            </w:tcMar>
            <w:vAlign w:val="center"/>
          </w:tcPr>
          <w:p>
            <w:pPr>
              <w:spacing w:after="0"/>
            </w:pPr>
            <w:r>
              <w:rPr>
                <w:rFonts w:ascii="Aptos" w:hAnsi="Aptos"/>
                <w:b/>
                <w:color w:val="FFFFFF"/>
                <w:sz w:val="17"/>
              </w:rPr>
              <w:t>Required approver</w:t>
            </w:r>
          </w:p>
        </w:tc>
        <w:tc>
          <w:tcPr>
            <w:tcW w:type="dxa" w:w="4320"/>
            <w:shd w:fill="17324D"/>
            <w:tcMar>
              <w:top w:w="80" w:type="dxa"/>
              <w:start w:w="90" w:type="dxa"/>
              <w:bottom w:w="80" w:type="dxa"/>
              <w:end w:w="90" w:type="dxa"/>
            </w:tcMar>
            <w:vAlign w:val="center"/>
          </w:tcPr>
          <w:p>
            <w:pPr>
              <w:spacing w:after="0"/>
            </w:pPr>
            <w:r>
              <w:rPr>
                <w:rFonts w:ascii="Aptos" w:hAnsi="Aptos"/>
                <w:b/>
                <w:color w:val="FFFFFF"/>
                <w:sz w:val="17"/>
              </w:rPr>
              <w:t>Release evidence</w:t>
            </w:r>
          </w:p>
        </w:tc>
      </w:tr>
      <w:tr>
        <w:trPr>
          <w:cantSplit/>
        </w:trPr>
        <w:tc>
          <w:tcPr>
            <w:tcW w:type="dxa" w:w="2304"/>
            <w:tcMar>
              <w:top w:w="70" w:type="dxa"/>
              <w:start w:w="90" w:type="dxa"/>
              <w:bottom w:w="70" w:type="dxa"/>
              <w:end w:w="90" w:type="dxa"/>
            </w:tcMar>
          </w:tcPr>
          <w:p>
            <w:pPr>
              <w:spacing w:after="0" w:line="240" w:lineRule="auto"/>
            </w:pPr>
            <w:r>
              <w:rPr>
                <w:rFonts w:ascii="Aptos" w:hAnsi="Aptos"/>
                <w:color w:val="1F2933"/>
                <w:sz w:val="17"/>
              </w:rPr>
              <w:t>Product scope and user experience</w:t>
            </w:r>
          </w:p>
        </w:tc>
        <w:tc>
          <w:tcPr>
            <w:tcW w:type="dxa" w:w="3456"/>
            <w:tcMar>
              <w:top w:w="70" w:type="dxa"/>
              <w:start w:w="90" w:type="dxa"/>
              <w:bottom w:w="70" w:type="dxa"/>
              <w:end w:w="90" w:type="dxa"/>
            </w:tcMar>
          </w:tcPr>
          <w:p>
            <w:pPr>
              <w:spacing w:after="0" w:line="240" w:lineRule="auto"/>
            </w:pPr>
            <w:r>
              <w:rPr>
                <w:rFonts w:ascii="Aptos" w:hAnsi="Aptos"/>
                <w:color w:val="1F2933"/>
                <w:sz w:val="17"/>
              </w:rPr>
              <w:t>Product owner</w:t>
            </w:r>
          </w:p>
        </w:tc>
        <w:tc>
          <w:tcPr>
            <w:tcW w:type="dxa" w:w="4320"/>
            <w:tcMar>
              <w:top w:w="70" w:type="dxa"/>
              <w:start w:w="90" w:type="dxa"/>
              <w:bottom w:w="70" w:type="dxa"/>
              <w:end w:w="90" w:type="dxa"/>
            </w:tcMar>
          </w:tcPr>
          <w:p>
            <w:pPr>
              <w:spacing w:after="0" w:line="240" w:lineRule="auto"/>
            </w:pPr>
            <w:r>
              <w:rPr>
                <w:rFonts w:ascii="Aptos" w:hAnsi="Aptos"/>
                <w:color w:val="1F2933"/>
                <w:sz w:val="17"/>
              </w:rPr>
              <w:t>Approved PRD and release acceptance report</w:t>
            </w:r>
          </w:p>
        </w:tc>
      </w:tr>
      <w:tr>
        <w:trPr>
          <w:cantSplit/>
        </w:trPr>
        <w:tc>
          <w:tcPr>
            <w:tcW w:type="dxa" w:w="2304"/>
            <w:tcMar>
              <w:top w:w="70" w:type="dxa"/>
              <w:start w:w="90" w:type="dxa"/>
              <w:bottom w:w="70" w:type="dxa"/>
              <w:end w:w="90" w:type="dxa"/>
            </w:tcMar>
            <w:shd w:fill="F5F7FA"/>
          </w:tcPr>
          <w:p>
            <w:pPr>
              <w:spacing w:after="0" w:line="240" w:lineRule="auto"/>
            </w:pPr>
            <w:r>
              <w:rPr>
                <w:rFonts w:ascii="Aptos" w:hAnsi="Aptos"/>
                <w:color w:val="1F2933"/>
                <w:sz w:val="17"/>
              </w:rPr>
              <w:t>Federal and state legal content</w:t>
            </w:r>
          </w:p>
        </w:tc>
        <w:tc>
          <w:tcPr>
            <w:tcW w:type="dxa" w:w="3456"/>
            <w:tcMar>
              <w:top w:w="70" w:type="dxa"/>
              <w:start w:w="90" w:type="dxa"/>
              <w:bottom w:w="70" w:type="dxa"/>
              <w:end w:w="90" w:type="dxa"/>
            </w:tcMar>
            <w:shd w:fill="F5F7FA"/>
          </w:tcPr>
          <w:p>
            <w:pPr>
              <w:spacing w:after="0" w:line="240" w:lineRule="auto"/>
            </w:pPr>
            <w:r>
              <w:rPr>
                <w:rFonts w:ascii="Aptos" w:hAnsi="Aptos"/>
                <w:color w:val="1F2933"/>
                <w:sz w:val="17"/>
              </w:rPr>
              <w:t>Qualified U.S. consumer-finance counsel</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7"/>
              </w:rPr>
              <w:t>Dated jurisdiction review and content approval</w:t>
            </w:r>
          </w:p>
        </w:tc>
      </w:tr>
      <w:tr>
        <w:trPr>
          <w:cantSplit/>
        </w:trPr>
        <w:tc>
          <w:tcPr>
            <w:tcW w:type="dxa" w:w="2304"/>
            <w:tcMar>
              <w:top w:w="70" w:type="dxa"/>
              <w:start w:w="90" w:type="dxa"/>
              <w:bottom w:w="70" w:type="dxa"/>
              <w:end w:w="90" w:type="dxa"/>
            </w:tcMar>
          </w:tcPr>
          <w:p>
            <w:pPr>
              <w:spacing w:after="0" w:line="240" w:lineRule="auto"/>
            </w:pPr>
            <w:r>
              <w:rPr>
                <w:rFonts w:ascii="Aptos" w:hAnsi="Aptos"/>
                <w:color w:val="1F2933"/>
                <w:sz w:val="17"/>
              </w:rPr>
              <w:t>Metro 2 rules or terminology</w:t>
            </w:r>
          </w:p>
        </w:tc>
        <w:tc>
          <w:tcPr>
            <w:tcW w:type="dxa" w:w="3456"/>
            <w:tcMar>
              <w:top w:w="70" w:type="dxa"/>
              <w:start w:w="90" w:type="dxa"/>
              <w:bottom w:w="70" w:type="dxa"/>
              <w:end w:w="90" w:type="dxa"/>
            </w:tcMar>
          </w:tcPr>
          <w:p>
            <w:pPr>
              <w:spacing w:after="0" w:line="240" w:lineRule="auto"/>
            </w:pPr>
            <w:r>
              <w:rPr>
                <w:rFonts w:ascii="Aptos" w:hAnsi="Aptos"/>
                <w:color w:val="1F2933"/>
                <w:sz w:val="17"/>
              </w:rPr>
              <w:t>Authorized Metro 2 subject-matter expert and licensing owner</w:t>
            </w:r>
          </w:p>
        </w:tc>
        <w:tc>
          <w:tcPr>
            <w:tcW w:type="dxa" w:w="4320"/>
            <w:tcMar>
              <w:top w:w="70" w:type="dxa"/>
              <w:start w:w="90" w:type="dxa"/>
              <w:bottom w:w="70" w:type="dxa"/>
              <w:end w:w="90" w:type="dxa"/>
            </w:tcMar>
          </w:tcPr>
          <w:p>
            <w:pPr>
              <w:spacing w:after="0" w:line="240" w:lineRule="auto"/>
            </w:pPr>
            <w:r>
              <w:rPr>
                <w:rFonts w:ascii="Aptos" w:hAnsi="Aptos"/>
                <w:color w:val="1F2933"/>
                <w:sz w:val="17"/>
              </w:rPr>
              <w:t>Access-rights confirmation, rule review, and usage restrictions</w:t>
            </w:r>
          </w:p>
        </w:tc>
      </w:tr>
      <w:tr>
        <w:trPr>
          <w:cantSplit/>
        </w:trPr>
        <w:tc>
          <w:tcPr>
            <w:tcW w:type="dxa" w:w="2304"/>
            <w:tcMar>
              <w:top w:w="70" w:type="dxa"/>
              <w:start w:w="90" w:type="dxa"/>
              <w:bottom w:w="70" w:type="dxa"/>
              <w:end w:w="90" w:type="dxa"/>
            </w:tcMar>
            <w:shd w:fill="F5F7FA"/>
          </w:tcPr>
          <w:p>
            <w:pPr>
              <w:spacing w:after="0" w:line="240" w:lineRule="auto"/>
            </w:pPr>
            <w:r>
              <w:rPr>
                <w:rFonts w:ascii="Aptos" w:hAnsi="Aptos"/>
                <w:color w:val="1F2933"/>
                <w:sz w:val="17"/>
              </w:rPr>
              <w:t>Security and privacy controls</w:t>
            </w:r>
          </w:p>
        </w:tc>
        <w:tc>
          <w:tcPr>
            <w:tcW w:type="dxa" w:w="3456"/>
            <w:tcMar>
              <w:top w:w="70" w:type="dxa"/>
              <w:start w:w="90" w:type="dxa"/>
              <w:bottom w:w="70" w:type="dxa"/>
              <w:end w:w="90" w:type="dxa"/>
            </w:tcMar>
            <w:shd w:fill="F5F7FA"/>
          </w:tcPr>
          <w:p>
            <w:pPr>
              <w:spacing w:after="0" w:line="240" w:lineRule="auto"/>
            </w:pPr>
            <w:r>
              <w:rPr>
                <w:rFonts w:ascii="Aptos" w:hAnsi="Aptos"/>
                <w:color w:val="1F2933"/>
                <w:sz w:val="17"/>
              </w:rPr>
              <w:t>Security owner and privacy counsel</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7"/>
              </w:rPr>
              <w:t>Threat model, vendor review, penetration test, deletion test</w:t>
            </w:r>
          </w:p>
        </w:tc>
      </w:tr>
      <w:tr>
        <w:trPr>
          <w:cantSplit/>
        </w:trPr>
        <w:tc>
          <w:tcPr>
            <w:tcW w:type="dxa" w:w="2304"/>
            <w:tcMar>
              <w:top w:w="70" w:type="dxa"/>
              <w:start w:w="90" w:type="dxa"/>
              <w:bottom w:w="70" w:type="dxa"/>
              <w:end w:w="90" w:type="dxa"/>
            </w:tcMar>
          </w:tcPr>
          <w:p>
            <w:pPr>
              <w:spacing w:after="0" w:line="240" w:lineRule="auto"/>
            </w:pPr>
            <w:r>
              <w:rPr>
                <w:rFonts w:ascii="Aptos" w:hAnsi="Aptos"/>
                <w:color w:val="1F2933"/>
                <w:sz w:val="17"/>
              </w:rPr>
              <w:t>Analysis rules</w:t>
            </w:r>
          </w:p>
        </w:tc>
        <w:tc>
          <w:tcPr>
            <w:tcW w:type="dxa" w:w="3456"/>
            <w:tcMar>
              <w:top w:w="70" w:type="dxa"/>
              <w:start w:w="90" w:type="dxa"/>
              <w:bottom w:w="70" w:type="dxa"/>
              <w:end w:w="90" w:type="dxa"/>
            </w:tcMar>
          </w:tcPr>
          <w:p>
            <w:pPr>
              <w:spacing w:after="0" w:line="240" w:lineRule="auto"/>
            </w:pPr>
            <w:r>
              <w:rPr>
                <w:rFonts w:ascii="Aptos" w:hAnsi="Aptos"/>
                <w:color w:val="1F2933"/>
                <w:sz w:val="17"/>
              </w:rPr>
              <w:t>Credit reporting SME plus compliance reviewer</w:t>
            </w:r>
          </w:p>
        </w:tc>
        <w:tc>
          <w:tcPr>
            <w:tcW w:type="dxa" w:w="4320"/>
            <w:tcMar>
              <w:top w:w="70" w:type="dxa"/>
              <w:start w:w="90" w:type="dxa"/>
              <w:bottom w:w="70" w:type="dxa"/>
              <w:end w:w="90" w:type="dxa"/>
            </w:tcMar>
          </w:tcPr>
          <w:p>
            <w:pPr>
              <w:spacing w:after="0" w:line="240" w:lineRule="auto"/>
            </w:pPr>
            <w:r>
              <w:rPr>
                <w:rFonts w:ascii="Aptos" w:hAnsi="Aptos"/>
                <w:color w:val="1F2933"/>
                <w:sz w:val="17"/>
              </w:rPr>
              <w:t>Golden test cases and signed ruleset release</w:t>
            </w:r>
          </w:p>
        </w:tc>
      </w:tr>
      <w:tr>
        <w:trPr>
          <w:cantSplit/>
        </w:trPr>
        <w:tc>
          <w:tcPr>
            <w:tcW w:type="dxa" w:w="2304"/>
            <w:tcMar>
              <w:top w:w="70" w:type="dxa"/>
              <w:start w:w="90" w:type="dxa"/>
              <w:bottom w:w="70" w:type="dxa"/>
              <w:end w:w="90" w:type="dxa"/>
            </w:tcMar>
            <w:shd w:fill="F5F7FA"/>
          </w:tcPr>
          <w:p>
            <w:pPr>
              <w:spacing w:after="0" w:line="240" w:lineRule="auto"/>
            </w:pPr>
            <w:r>
              <w:rPr>
                <w:rFonts w:ascii="Aptos" w:hAnsi="Aptos"/>
                <w:color w:val="1F2933"/>
                <w:sz w:val="17"/>
              </w:rPr>
              <w:t>Production deployment</w:t>
            </w:r>
          </w:p>
        </w:tc>
        <w:tc>
          <w:tcPr>
            <w:tcW w:type="dxa" w:w="3456"/>
            <w:tcMar>
              <w:top w:w="70" w:type="dxa"/>
              <w:start w:w="90" w:type="dxa"/>
              <w:bottom w:w="70" w:type="dxa"/>
              <w:end w:w="90" w:type="dxa"/>
            </w:tcMar>
            <w:shd w:fill="F5F7FA"/>
          </w:tcPr>
          <w:p>
            <w:pPr>
              <w:spacing w:after="0" w:line="240" w:lineRule="auto"/>
            </w:pPr>
            <w:r>
              <w:rPr>
                <w:rFonts w:ascii="Aptos" w:hAnsi="Aptos"/>
                <w:color w:val="1F2933"/>
                <w:sz w:val="17"/>
              </w:rPr>
              <w:t>Engineering, security, product, compliance</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7"/>
              </w:rPr>
              <w:t>Go-live checklist with no unresolved P0 findings</w:t>
            </w:r>
          </w:p>
        </w:tc>
      </w:tr>
    </w:tbl>
    <w:p>
      <w:pPr>
        <w:spacing w:after="20"/>
      </w:pPr>
    </w:p>
    <w:p>
      <w:pPr>
        <w:pStyle w:val="Heading2"/>
        <w:keepNext/>
      </w:pPr>
      <w:r>
        <w:rPr>
          <w:rFonts w:ascii="Aptos Display" w:hAnsi="Aptos Display"/>
          <w:b/>
          <w:color w:val="245D8C"/>
          <w:sz w:val="26"/>
        </w:rPr>
        <w:t>1.3 Change management</w:t>
      </w:r>
    </w:p>
    <w:p>
      <w:pPr>
        <w:pStyle w:val="ListBullet"/>
        <w:spacing w:after="40" w:line="250" w:lineRule="auto"/>
        <w:ind w:left="0"/>
      </w:pPr>
      <w:r>
        <w:rPr>
          <w:rFonts w:ascii="Aptos" w:hAnsi="Aptos"/>
        </w:rPr>
        <w:t>Material scope, pricing, marketing, dispute automation, third-party access, jurisdiction coverage, and data-retention changes require PRD revision and fresh legal review.</w:t>
      </w:r>
    </w:p>
    <w:p>
      <w:pPr>
        <w:pStyle w:val="ListBullet"/>
        <w:spacing w:after="40" w:line="250" w:lineRule="auto"/>
        <w:ind w:left="0"/>
      </w:pPr>
      <w:r>
        <w:rPr>
          <w:rFonts w:ascii="Aptos" w:hAnsi="Aptos"/>
        </w:rPr>
        <w:t>Every production analysis must record parser, schema, ruleset, educational-content, prompt, model, and application versions.</w:t>
      </w:r>
    </w:p>
    <w:p>
      <w:pPr>
        <w:pStyle w:val="ListBullet"/>
        <w:spacing w:after="40" w:line="250" w:lineRule="auto"/>
        <w:ind w:left="0"/>
      </w:pPr>
      <w:r>
        <w:rPr>
          <w:rFonts w:ascii="Aptos" w:hAnsi="Aptos"/>
        </w:rPr>
        <w:t>Legal authorities and jurisdiction modules must have effective dates, approval status, and a named reviewer; unapproved content cannot reach consumers.</w:t>
      </w:r>
    </w:p>
    <w:p>
      <w:pPr>
        <w:pStyle w:val="ListBullet"/>
        <w:spacing w:after="40" w:line="250" w:lineRule="auto"/>
        <w:ind w:left="0"/>
      </w:pPr>
      <w:r>
        <w:rPr>
          <w:rFonts w:ascii="Aptos" w:hAnsi="Aptos"/>
        </w:rPr>
        <w:t>A prior analysis remains reproducible even after rules are updated. Reanalysis is a new immutable analysis run.</w:t>
      </w:r>
    </w:p>
    <w:p>
      <w:pPr>
        <w:pStyle w:val="Heading1"/>
        <w:pageBreakBefore/>
      </w:pPr>
      <w:r>
        <w:rPr>
          <w:rFonts w:ascii="Aptos Display" w:hAnsi="Aptos Display"/>
          <w:b/>
          <w:color w:val="17324D"/>
          <w:sz w:val="36"/>
        </w:rPr>
        <w:t>2. Executive Summary</w:t>
      </w:r>
    </w:p>
    <w:p>
      <w:pPr>
        <w:pStyle w:val="Heading2"/>
        <w:keepNext/>
      </w:pPr>
      <w:r>
        <w:rPr>
          <w:rFonts w:ascii="Aptos Display" w:hAnsi="Aptos Display"/>
          <w:b/>
          <w:color w:val="245D8C"/>
          <w:sz w:val="26"/>
        </w:rPr>
        <w:t>2.1 Vision</w:t>
      </w:r>
    </w:p>
    <w:p>
      <w:pPr>
        <w:keepNext w:val="0"/>
        <w:spacing w:after="80" w:line="259" w:lineRule="auto"/>
      </w:pPr>
      <w:r>
        <w:rPr>
          <w:rFonts w:ascii="Aptos" w:hAnsi="Aptos"/>
        </w:rPr>
        <w:t>Help consumers understand what their credit reports actually say, recognize information that may warrant verification, and take informed next steps without exaggerating what can be concluded from a consumer-facing report.</w:t>
      </w:r>
    </w:p>
    <w:p>
      <w:pPr>
        <w:pStyle w:val="Heading2"/>
        <w:keepNext/>
      </w:pPr>
      <w:r>
        <w:rPr>
          <w:rFonts w:ascii="Aptos Display" w:hAnsi="Aptos Display"/>
          <w:b/>
          <w:color w:val="245D8C"/>
          <w:sz w:val="26"/>
        </w:rPr>
        <w:t>2.2 Core product promise</w:t>
      </w:r>
    </w:p>
    <w:tbl>
      <w:tblPr>
        <w:tblW w:type="auto" w:w="0"/>
        <w:jc w:val="center"/>
        <w:tblLayout w:type="autofit"/>
        <w:tblLook w:firstColumn="1" w:firstRow="1" w:lastColumn="0" w:lastRow="0" w:noHBand="0" w:noVBand="1" w:val="04A0"/>
      </w:tblPr>
      <w:tblGrid>
        <w:gridCol w:w="10166"/>
      </w:tblGrid>
      <w:tr>
        <w:tc>
          <w:tcPr>
            <w:tcW w:type="dxa" w:w="10166"/>
            <w:shd w:fill="E9F5EF"/>
            <w:tcMar>
              <w:top w:w="120" w:type="dxa"/>
              <w:start w:w="160" w:type="dxa"/>
              <w:bottom w:w="120" w:type="dxa"/>
              <w:end w:w="160" w:type="dxa"/>
            </w:tcMar>
            <w:tcBorders>
              <w:top w:val="nil"/>
              <w:start w:val="single" w:sz="18" w:color="2F6B4F"/>
              <w:bottom w:val="nil"/>
              <w:end w:val="nil"/>
            </w:tcBorders>
          </w:tcPr>
          <w:p>
            <w:pPr>
              <w:spacing w:after="60"/>
            </w:pPr>
            <w:r>
              <w:rPr>
                <w:rFonts w:ascii="Aptos" w:hAnsi="Aptos"/>
                <w:b/>
                <w:color w:val="2F6B4F"/>
                <w:sz w:val="21"/>
              </w:rPr>
              <w:t>Traceable, qualified, actionable</w:t>
            </w:r>
          </w:p>
          <w:p>
            <w:pPr>
              <w:spacing w:after="0"/>
            </w:pPr>
            <w:r>
              <w:rPr>
                <w:rFonts w:ascii="Aptos" w:hAnsi="Aptos"/>
                <w:color w:val="1F2933"/>
                <w:sz w:val="19"/>
              </w:rPr>
              <w:t>Every finding must identify the exact source evidence, the deterministic rule that generated it, relevant limitations, the user facts still needed, approved educational material, and a proportionate next step.</w:t>
            </w:r>
          </w:p>
        </w:tc>
        <w:trPr>
          <w:tblHeader/>
        </w:trPr>
      </w:tr>
    </w:tbl>
    <w:p>
      <w:pPr>
        <w:spacing w:after="0"/>
      </w:pPr>
    </w:p>
    <w:p>
      <w:pPr>
        <w:pStyle w:val="Heading2"/>
        <w:keepNext/>
      </w:pPr>
      <w:r>
        <w:rPr>
          <w:rFonts w:ascii="Aptos Display" w:hAnsi="Aptos Display"/>
          <w:b/>
          <w:color w:val="245D8C"/>
          <w:sz w:val="26"/>
        </w:rPr>
        <w:t>2.3 Why this architecture</w:t>
      </w:r>
    </w:p>
    <w:p>
      <w:pPr>
        <w:keepNext w:val="0"/>
        <w:spacing w:after="80" w:line="259" w:lineRule="auto"/>
      </w:pPr>
      <w:r>
        <w:rPr>
          <w:rFonts w:ascii="Aptos" w:hAnsi="Aptos"/>
        </w:rPr>
        <w:t>Credit-report analysis is not a single-prompt AI task. Reliable output requires secure document handling, layout-aware parsing, a canonical data model, user confirmation of uncertain facts, deterministic and versioned rules, controlled legal and educational retrieval, structured language-model generation, and post-generation validation.</w:t>
      </w:r>
    </w:p>
    <w:p>
      <w:pPr>
        <w:pStyle w:val="Heading2"/>
        <w:keepNext/>
      </w:pPr>
      <w:r>
        <w:rPr>
          <w:rFonts w:ascii="Aptos Display" w:hAnsi="Aptos Display"/>
          <w:b/>
          <w:color w:val="245D8C"/>
          <w:sz w:val="26"/>
        </w:rPr>
        <w:t>2.4 Key product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80" w:type="dxa"/>
              <w:start w:w="90" w:type="dxa"/>
              <w:bottom w:w="80" w:type="dxa"/>
              <w:end w:w="90" w:type="dxa"/>
            </w:tcMar>
            <w:vAlign w:val="center"/>
          </w:tcPr>
          <w:p>
            <w:pPr>
              <w:spacing w:after="0"/>
            </w:pPr>
            <w:r>
              <w:rPr>
                <w:rFonts w:ascii="Aptos" w:hAnsi="Aptos"/>
                <w:b/>
                <w:color w:val="FFFFFF"/>
                <w:sz w:val="17"/>
              </w:rPr>
              <w:t>Decision</w:t>
            </w:r>
          </w:p>
        </w:tc>
        <w:tc>
          <w:tcPr>
            <w:tcW w:type="dxa" w:w="3672"/>
            <w:shd w:fill="17324D"/>
            <w:tcMar>
              <w:top w:w="80" w:type="dxa"/>
              <w:start w:w="90" w:type="dxa"/>
              <w:bottom w:w="80" w:type="dxa"/>
              <w:end w:w="90" w:type="dxa"/>
            </w:tcMar>
            <w:vAlign w:val="center"/>
          </w:tcPr>
          <w:p>
            <w:pPr>
              <w:spacing w:after="0"/>
            </w:pPr>
            <w:r>
              <w:rPr>
                <w:rFonts w:ascii="Aptos" w:hAnsi="Aptos"/>
                <w:b/>
                <w:color w:val="FFFFFF"/>
                <w:sz w:val="17"/>
              </w:rPr>
              <w:t>MVP position</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7"/>
              </w:rPr>
              <w:t>Reason</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7"/>
              </w:rPr>
              <w:t>Primary user</w:t>
            </w:r>
          </w:p>
        </w:tc>
        <w:tc>
          <w:tcPr>
            <w:tcW w:type="dxa" w:w="3672"/>
            <w:tcMar>
              <w:top w:w="70" w:type="dxa"/>
              <w:start w:w="90" w:type="dxa"/>
              <w:bottom w:w="70" w:type="dxa"/>
              <w:end w:w="90" w:type="dxa"/>
            </w:tcMar>
          </w:tcPr>
          <w:p>
            <w:pPr>
              <w:spacing w:after="0" w:line="240" w:lineRule="auto"/>
            </w:pPr>
            <w:r>
              <w:rPr>
                <w:rFonts w:ascii="Aptos" w:hAnsi="Aptos"/>
                <w:color w:val="1F2933"/>
                <w:sz w:val="17"/>
              </w:rPr>
              <w:t>Consumer analyzing their own report</w:t>
            </w:r>
          </w:p>
        </w:tc>
        <w:tc>
          <w:tcPr>
            <w:tcW w:type="dxa" w:w="4464"/>
            <w:tcMar>
              <w:top w:w="70" w:type="dxa"/>
              <w:start w:w="90" w:type="dxa"/>
              <w:bottom w:w="70" w:type="dxa"/>
              <w:end w:w="90" w:type="dxa"/>
            </w:tcMar>
          </w:tcPr>
          <w:p>
            <w:pPr>
              <w:spacing w:after="0" w:line="240" w:lineRule="auto"/>
            </w:pPr>
            <w:r>
              <w:rPr>
                <w:rFonts w:ascii="Aptos" w:hAnsi="Aptos"/>
                <w:color w:val="1F2933"/>
                <w:sz w:val="17"/>
              </w:rPr>
              <w:t>Reduces misuse and third-party eligibility risk</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7"/>
              </w:rPr>
              <w:t>Finding method</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7"/>
              </w:rPr>
              <w:t>Deterministic rules over normalized data</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7"/>
              </w:rPr>
              <w:t>Reproducible, testable, auditable</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7"/>
              </w:rPr>
              <w:t>LLM role</w:t>
            </w:r>
          </w:p>
        </w:tc>
        <w:tc>
          <w:tcPr>
            <w:tcW w:type="dxa" w:w="3672"/>
            <w:tcMar>
              <w:top w:w="70" w:type="dxa"/>
              <w:start w:w="90" w:type="dxa"/>
              <w:bottom w:w="70" w:type="dxa"/>
              <w:end w:w="90" w:type="dxa"/>
            </w:tcMar>
          </w:tcPr>
          <w:p>
            <w:pPr>
              <w:spacing w:after="0" w:line="240" w:lineRule="auto"/>
            </w:pPr>
            <w:r>
              <w:rPr>
                <w:rFonts w:ascii="Aptos" w:hAnsi="Aptos"/>
                <w:color w:val="1F2933"/>
                <w:sz w:val="17"/>
              </w:rPr>
              <w:t>Explain and organize validated findings</w:t>
            </w:r>
          </w:p>
        </w:tc>
        <w:tc>
          <w:tcPr>
            <w:tcW w:type="dxa" w:w="4464"/>
            <w:tcMar>
              <w:top w:w="70" w:type="dxa"/>
              <w:start w:w="90" w:type="dxa"/>
              <w:bottom w:w="70" w:type="dxa"/>
              <w:end w:w="90" w:type="dxa"/>
            </w:tcMar>
          </w:tcPr>
          <w:p>
            <w:pPr>
              <w:spacing w:after="0" w:line="240" w:lineRule="auto"/>
            </w:pPr>
            <w:r>
              <w:rPr>
                <w:rFonts w:ascii="Aptos" w:hAnsi="Aptos"/>
                <w:color w:val="1F2933"/>
                <w:sz w:val="17"/>
              </w:rPr>
              <w:t>Avoids unsupported legal or factual conclusions</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7"/>
              </w:rPr>
              <w:t>Metro 2</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7"/>
              </w:rPr>
              <w:t>Pattern-based education only unless licensed and eligible</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7"/>
              </w:rPr>
              <w:t>Consumer reports do not expose the complete furnishing record</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7"/>
              </w:rPr>
              <w:t>Disputes</w:t>
            </w:r>
          </w:p>
        </w:tc>
        <w:tc>
          <w:tcPr>
            <w:tcW w:type="dxa" w:w="3672"/>
            <w:tcMar>
              <w:top w:w="70" w:type="dxa"/>
              <w:start w:w="90" w:type="dxa"/>
              <w:bottom w:w="70" w:type="dxa"/>
              <w:end w:w="90" w:type="dxa"/>
            </w:tcMar>
          </w:tcPr>
          <w:p>
            <w:pPr>
              <w:spacing w:after="0" w:line="240" w:lineRule="auto"/>
            </w:pPr>
            <w:r>
              <w:rPr>
                <w:rFonts w:ascii="Aptos" w:hAnsi="Aptos"/>
                <w:color w:val="1F2933"/>
                <w:sz w:val="17"/>
              </w:rPr>
              <w:t>Education and evidence checklist; no autonomous submission</w:t>
            </w:r>
          </w:p>
        </w:tc>
        <w:tc>
          <w:tcPr>
            <w:tcW w:type="dxa" w:w="4464"/>
            <w:tcMar>
              <w:top w:w="70" w:type="dxa"/>
              <w:start w:w="90" w:type="dxa"/>
              <w:bottom w:w="70" w:type="dxa"/>
              <w:end w:w="90" w:type="dxa"/>
            </w:tcMar>
          </w:tcPr>
          <w:p>
            <w:pPr>
              <w:spacing w:after="0" w:line="240" w:lineRule="auto"/>
            </w:pPr>
            <w:r>
              <w:rPr>
                <w:rFonts w:ascii="Aptos" w:hAnsi="Aptos"/>
                <w:color w:val="1F2933"/>
                <w:sz w:val="17"/>
              </w:rPr>
              <w:t>Preserves user control and reduces deceptive or frivolous-dispute risk</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7"/>
              </w:rPr>
              <w:t>Launch scope</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7"/>
              </w:rPr>
              <w:t>Federal baseline plus one counsel-approved state</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7"/>
              </w:rPr>
              <w:t>State credit-services laws vary materially</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7"/>
              </w:rPr>
              <w:t>Tech stack</w:t>
            </w:r>
          </w:p>
        </w:tc>
        <w:tc>
          <w:tcPr>
            <w:tcW w:type="dxa" w:w="3672"/>
            <w:tcMar>
              <w:top w:w="70" w:type="dxa"/>
              <w:start w:w="90" w:type="dxa"/>
              <w:bottom w:w="70" w:type="dxa"/>
              <w:end w:w="90" w:type="dxa"/>
            </w:tcMar>
          </w:tcPr>
          <w:p>
            <w:pPr>
              <w:spacing w:after="0" w:line="240" w:lineRule="auto"/>
            </w:pPr>
            <w:r>
              <w:rPr>
                <w:rFonts w:ascii="Aptos" w:hAnsi="Aptos"/>
                <w:color w:val="1F2933"/>
                <w:sz w:val="17"/>
              </w:rPr>
              <w:t>TypeScript, InsForge, Bun workspaces, Node.js LTS compute</w:t>
            </w:r>
          </w:p>
        </w:tc>
        <w:tc>
          <w:tcPr>
            <w:tcW w:type="dxa" w:w="4464"/>
            <w:tcMar>
              <w:top w:w="70" w:type="dxa"/>
              <w:start w:w="90" w:type="dxa"/>
              <w:bottom w:w="70" w:type="dxa"/>
              <w:end w:w="90" w:type="dxa"/>
            </w:tcMar>
          </w:tcPr>
          <w:p>
            <w:pPr>
              <w:spacing w:after="0" w:line="240" w:lineRule="auto"/>
            </w:pPr>
            <w:r>
              <w:rPr>
                <w:rFonts w:ascii="Aptos" w:hAnsi="Aptos"/>
                <w:color w:val="1F2933"/>
                <w:sz w:val="17"/>
              </w:rPr>
              <w:t>Lean full-stack development with a durable worker boundary</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7"/>
              </w:rPr>
              <w:t>Data posture</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7"/>
              </w:rPr>
              <w:t>Private by default, minimized, short retention, user deletion</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7"/>
              </w:rPr>
              <w:t>Credit reports contain highly sensitive personal and financial data</w:t>
            </w:r>
          </w:p>
        </w:tc>
      </w:tr>
    </w:tbl>
    <w:p>
      <w:pPr>
        <w:spacing w:after="20"/>
      </w:pPr>
    </w:p>
    <w:p>
      <w:pPr>
        <w:pStyle w:val="Heading1"/>
        <w:pageBreakBefore/>
      </w:pPr>
      <w:r>
        <w:rPr>
          <w:rFonts w:ascii="Aptos Display" w:hAnsi="Aptos Display"/>
          <w:b/>
          <w:color w:val="17324D"/>
          <w:sz w:val="36"/>
        </w:rPr>
        <w:t>3. Product Context, Goals, and Non-Goals</w:t>
      </w:r>
    </w:p>
    <w:p>
      <w:pPr>
        <w:pStyle w:val="Heading2"/>
        <w:keepNext/>
      </w:pPr>
      <w:r>
        <w:rPr>
          <w:rFonts w:ascii="Aptos Display" w:hAnsi="Aptos Display"/>
          <w:b/>
          <w:color w:val="245D8C"/>
          <w:sz w:val="26"/>
        </w:rPr>
        <w:t>3.1 Problem statement</w:t>
      </w:r>
    </w:p>
    <w:p>
      <w:pPr>
        <w:keepNext w:val="0"/>
        <w:spacing w:after="80" w:line="259" w:lineRule="auto"/>
      </w:pPr>
      <w:r>
        <w:rPr>
          <w:rFonts w:ascii="Aptos" w:hAnsi="Aptos"/>
        </w:rPr>
        <w:t>Consumer credit reports are long, bureau-specific, difficult to compare, and filled with terms that users may not understand. Consumers may overlook genuine inaccuracies, treat normal bureau differences as violations, or use generic dispute tactics that are unsupported by evidence. Existing AI tools can compound these problems when they infer facts, cite nonexistent law, or treat a displayed report as the complete Metro 2 furnishing record.</w:t>
      </w:r>
    </w:p>
    <w:p>
      <w:pPr>
        <w:pStyle w:val="Heading2"/>
        <w:keepNext/>
      </w:pPr>
      <w:r>
        <w:rPr>
          <w:rFonts w:ascii="Aptos Display" w:hAnsi="Aptos Display"/>
          <w:b/>
          <w:color w:val="245D8C"/>
          <w:sz w:val="26"/>
        </w:rPr>
        <w:t>3.2 MVP goals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17324D"/>
            <w:tcMar>
              <w:top w:w="80" w:type="dxa"/>
              <w:start w:w="90" w:type="dxa"/>
              <w:bottom w:w="80" w:type="dxa"/>
              <w:end w:w="90" w:type="dxa"/>
            </w:tcMar>
            <w:vAlign w:val="center"/>
          </w:tcPr>
          <w:p>
            <w:pPr>
              <w:spacing w:after="0"/>
            </w:pPr>
            <w:r>
              <w:rPr>
                <w:rFonts w:ascii="Aptos" w:hAnsi="Aptos"/>
                <w:b/>
                <w:color w:val="FFFFFF"/>
                <w:sz w:val="17"/>
              </w:rPr>
              <w:t>Goal ID</w:t>
            </w:r>
          </w:p>
        </w:tc>
        <w:tc>
          <w:tcPr>
            <w:tcW w:type="dxa" w:w="4320"/>
            <w:shd w:fill="17324D"/>
            <w:tcMar>
              <w:top w:w="80" w:type="dxa"/>
              <w:start w:w="90" w:type="dxa"/>
              <w:bottom w:w="80" w:type="dxa"/>
              <w:end w:w="90" w:type="dxa"/>
            </w:tcMar>
            <w:vAlign w:val="center"/>
          </w:tcPr>
          <w:p>
            <w:pPr>
              <w:spacing w:after="0"/>
            </w:pPr>
            <w:r>
              <w:rPr>
                <w:rFonts w:ascii="Aptos" w:hAnsi="Aptos"/>
                <w:b/>
                <w:color w:val="FFFFFF"/>
                <w:sz w:val="17"/>
              </w:rPr>
              <w:t>Goal</w:t>
            </w:r>
          </w:p>
        </w:tc>
        <w:tc>
          <w:tcPr>
            <w:tcW w:type="dxa" w:w="4680"/>
            <w:shd w:fill="17324D"/>
            <w:tcMar>
              <w:top w:w="80" w:type="dxa"/>
              <w:start w:w="90" w:type="dxa"/>
              <w:bottom w:w="80" w:type="dxa"/>
              <w:end w:w="90" w:type="dxa"/>
            </w:tcMar>
            <w:vAlign w:val="center"/>
          </w:tcPr>
          <w:p>
            <w:pPr>
              <w:spacing w:after="0"/>
            </w:pPr>
            <w:r>
              <w:rPr>
                <w:rFonts w:ascii="Aptos" w:hAnsi="Aptos"/>
                <w:b/>
                <w:color w:val="FFFFFF"/>
                <w:sz w:val="17"/>
              </w:rPr>
              <w:t>Success signal</w:t>
            </w:r>
          </w:p>
        </w:tc>
      </w:tr>
      <w:tr>
        <w:trPr>
          <w:cantSplit/>
        </w:trPr>
        <w:tc>
          <w:tcPr>
            <w:tcW w:type="dxa" w:w="1080"/>
            <w:tcMar>
              <w:top w:w="70" w:type="dxa"/>
              <w:start w:w="90" w:type="dxa"/>
              <w:bottom w:w="70" w:type="dxa"/>
              <w:end w:w="90" w:type="dxa"/>
            </w:tcMar>
          </w:tcPr>
          <w:p>
            <w:pPr>
              <w:spacing w:after="0" w:line="240" w:lineRule="auto"/>
            </w:pPr>
            <w:r>
              <w:rPr>
                <w:rFonts w:ascii="Aptos" w:hAnsi="Aptos"/>
                <w:color w:val="1F2933"/>
                <w:sz w:val="17"/>
              </w:rPr>
              <w:t>G-01</w:t>
            </w:r>
          </w:p>
        </w:tc>
        <w:tc>
          <w:tcPr>
            <w:tcW w:type="dxa" w:w="4320"/>
            <w:tcMar>
              <w:top w:w="70" w:type="dxa"/>
              <w:start w:w="90" w:type="dxa"/>
              <w:bottom w:w="70" w:type="dxa"/>
              <w:end w:w="90" w:type="dxa"/>
            </w:tcMar>
          </w:tcPr>
          <w:p>
            <w:pPr>
              <w:spacing w:after="0" w:line="240" w:lineRule="auto"/>
            </w:pPr>
            <w:r>
              <w:rPr>
                <w:rFonts w:ascii="Aptos" w:hAnsi="Aptos"/>
                <w:color w:val="1F2933"/>
                <w:sz w:val="17"/>
              </w:rPr>
              <w:t>Securely ingest and parse supported PDF and HTML reports.</w:t>
            </w:r>
          </w:p>
        </w:tc>
        <w:tc>
          <w:tcPr>
            <w:tcW w:type="dxa" w:w="4680"/>
            <w:tcMar>
              <w:top w:w="70" w:type="dxa"/>
              <w:start w:w="90" w:type="dxa"/>
              <w:bottom w:w="70" w:type="dxa"/>
              <w:end w:w="90" w:type="dxa"/>
            </w:tcMar>
          </w:tcPr>
          <w:p>
            <w:pPr>
              <w:spacing w:after="0" w:line="240" w:lineRule="auto"/>
            </w:pPr>
            <w:r>
              <w:rPr>
                <w:rFonts w:ascii="Aptos" w:hAnsi="Aptos"/>
                <w:color w:val="1F2933"/>
                <w:sz w:val="17"/>
              </w:rPr>
              <w:t>A user can upload, review, correct, and approve normalized report data.</w:t>
            </w:r>
          </w:p>
        </w:tc>
      </w:tr>
      <w:tr>
        <w:trPr>
          <w:cantSplit/>
        </w:trPr>
        <w:tc>
          <w:tcPr>
            <w:tcW w:type="dxa" w:w="1080"/>
            <w:tcMar>
              <w:top w:w="70" w:type="dxa"/>
              <w:start w:w="90" w:type="dxa"/>
              <w:bottom w:w="70" w:type="dxa"/>
              <w:end w:w="90" w:type="dxa"/>
            </w:tcMar>
            <w:shd w:fill="F5F7FA"/>
          </w:tcPr>
          <w:p>
            <w:pPr>
              <w:spacing w:after="0" w:line="240" w:lineRule="auto"/>
            </w:pPr>
            <w:r>
              <w:rPr>
                <w:rFonts w:ascii="Aptos" w:hAnsi="Aptos"/>
                <w:color w:val="1F2933"/>
                <w:sz w:val="17"/>
              </w:rPr>
              <w:t>G-02</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7"/>
              </w:rPr>
              <w:t>Identify high-confidence inconsistencies and verification opportunities.</w:t>
            </w:r>
          </w:p>
        </w:tc>
        <w:tc>
          <w:tcPr>
            <w:tcW w:type="dxa" w:w="4680"/>
            <w:tcMar>
              <w:top w:w="70" w:type="dxa"/>
              <w:start w:w="90" w:type="dxa"/>
              <w:bottom w:w="70" w:type="dxa"/>
              <w:end w:w="90" w:type="dxa"/>
            </w:tcMar>
            <w:shd w:fill="F5F7FA"/>
          </w:tcPr>
          <w:p>
            <w:pPr>
              <w:spacing w:after="0" w:line="240" w:lineRule="auto"/>
            </w:pPr>
            <w:r>
              <w:rPr>
                <w:rFonts w:ascii="Aptos" w:hAnsi="Aptos"/>
                <w:color w:val="1F2933"/>
                <w:sz w:val="17"/>
              </w:rPr>
              <w:t>P0 rule precision meets launch threshold on expert-labeled fixtures.</w:t>
            </w:r>
          </w:p>
        </w:tc>
      </w:tr>
      <w:tr>
        <w:trPr>
          <w:cantSplit/>
        </w:trPr>
        <w:tc>
          <w:tcPr>
            <w:tcW w:type="dxa" w:w="1080"/>
            <w:tcMar>
              <w:top w:w="70" w:type="dxa"/>
              <w:start w:w="90" w:type="dxa"/>
              <w:bottom w:w="70" w:type="dxa"/>
              <w:end w:w="90" w:type="dxa"/>
            </w:tcMar>
          </w:tcPr>
          <w:p>
            <w:pPr>
              <w:spacing w:after="0" w:line="240" w:lineRule="auto"/>
            </w:pPr>
            <w:r>
              <w:rPr>
                <w:rFonts w:ascii="Aptos" w:hAnsi="Aptos"/>
                <w:color w:val="1F2933"/>
                <w:sz w:val="17"/>
              </w:rPr>
              <w:t>G-03</w:t>
            </w:r>
          </w:p>
        </w:tc>
        <w:tc>
          <w:tcPr>
            <w:tcW w:type="dxa" w:w="4320"/>
            <w:tcMar>
              <w:top w:w="70" w:type="dxa"/>
              <w:start w:w="90" w:type="dxa"/>
              <w:bottom w:w="70" w:type="dxa"/>
              <w:end w:w="90" w:type="dxa"/>
            </w:tcMar>
          </w:tcPr>
          <w:p>
            <w:pPr>
              <w:spacing w:after="0" w:line="240" w:lineRule="auto"/>
            </w:pPr>
            <w:r>
              <w:rPr>
                <w:rFonts w:ascii="Aptos" w:hAnsi="Aptos"/>
                <w:color w:val="1F2933"/>
                <w:sz w:val="17"/>
              </w:rPr>
              <w:t>Make every finding evidence-linked and qualified.</w:t>
            </w:r>
          </w:p>
        </w:tc>
        <w:tc>
          <w:tcPr>
            <w:tcW w:type="dxa" w:w="4680"/>
            <w:tcMar>
              <w:top w:w="70" w:type="dxa"/>
              <w:start w:w="90" w:type="dxa"/>
              <w:bottom w:w="70" w:type="dxa"/>
              <w:end w:w="90" w:type="dxa"/>
            </w:tcMar>
          </w:tcPr>
          <w:p>
            <w:pPr>
              <w:spacing w:after="0" w:line="240" w:lineRule="auto"/>
            </w:pPr>
            <w:r>
              <w:rPr>
                <w:rFonts w:ascii="Aptos" w:hAnsi="Aptos"/>
                <w:color w:val="1F2933"/>
                <w:sz w:val="17"/>
              </w:rPr>
              <w:t>No production finding lacks source provenance, limitations, and rule version.</w:t>
            </w:r>
          </w:p>
        </w:tc>
      </w:tr>
      <w:tr>
        <w:trPr>
          <w:cantSplit/>
        </w:trPr>
        <w:tc>
          <w:tcPr>
            <w:tcW w:type="dxa" w:w="1080"/>
            <w:tcMar>
              <w:top w:w="70" w:type="dxa"/>
              <w:start w:w="90" w:type="dxa"/>
              <w:bottom w:w="70" w:type="dxa"/>
              <w:end w:w="90" w:type="dxa"/>
            </w:tcMar>
            <w:shd w:fill="F5F7FA"/>
          </w:tcPr>
          <w:p>
            <w:pPr>
              <w:spacing w:after="0" w:line="240" w:lineRule="auto"/>
            </w:pPr>
            <w:r>
              <w:rPr>
                <w:rFonts w:ascii="Aptos" w:hAnsi="Aptos"/>
                <w:color w:val="1F2933"/>
                <w:sz w:val="17"/>
              </w:rPr>
              <w:t>G-04</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7"/>
              </w:rPr>
              <w:t>Improve credit-report literacy.</w:t>
            </w:r>
          </w:p>
        </w:tc>
        <w:tc>
          <w:tcPr>
            <w:tcW w:type="dxa" w:w="4680"/>
            <w:tcMar>
              <w:top w:w="70" w:type="dxa"/>
              <w:start w:w="90" w:type="dxa"/>
              <w:bottom w:w="70" w:type="dxa"/>
              <w:end w:w="90" w:type="dxa"/>
            </w:tcMar>
            <w:shd w:fill="F5F7FA"/>
          </w:tcPr>
          <w:p>
            <w:pPr>
              <w:spacing w:after="0" w:line="240" w:lineRule="auto"/>
            </w:pPr>
            <w:r>
              <w:rPr>
                <w:rFonts w:ascii="Aptos" w:hAnsi="Aptos"/>
                <w:color w:val="1F2933"/>
                <w:sz w:val="17"/>
              </w:rPr>
              <w:t>Users demonstrate improved comprehension and can identify their next action.</w:t>
            </w:r>
          </w:p>
        </w:tc>
      </w:tr>
      <w:tr>
        <w:trPr>
          <w:cantSplit/>
        </w:trPr>
        <w:tc>
          <w:tcPr>
            <w:tcW w:type="dxa" w:w="1080"/>
            <w:tcMar>
              <w:top w:w="70" w:type="dxa"/>
              <w:start w:w="90" w:type="dxa"/>
              <w:bottom w:w="70" w:type="dxa"/>
              <w:end w:w="90" w:type="dxa"/>
            </w:tcMar>
          </w:tcPr>
          <w:p>
            <w:pPr>
              <w:spacing w:after="0" w:line="240" w:lineRule="auto"/>
            </w:pPr>
            <w:r>
              <w:rPr>
                <w:rFonts w:ascii="Aptos" w:hAnsi="Aptos"/>
                <w:color w:val="1F2933"/>
                <w:sz w:val="17"/>
              </w:rPr>
              <w:t>G-05</w:t>
            </w:r>
          </w:p>
        </w:tc>
        <w:tc>
          <w:tcPr>
            <w:tcW w:type="dxa" w:w="4320"/>
            <w:tcMar>
              <w:top w:w="70" w:type="dxa"/>
              <w:start w:w="90" w:type="dxa"/>
              <w:bottom w:w="70" w:type="dxa"/>
              <w:end w:w="90" w:type="dxa"/>
            </w:tcMar>
          </w:tcPr>
          <w:p>
            <w:pPr>
              <w:spacing w:after="0" w:line="240" w:lineRule="auto"/>
            </w:pPr>
            <w:r>
              <w:rPr>
                <w:rFonts w:ascii="Aptos" w:hAnsi="Aptos"/>
                <w:color w:val="1F2933"/>
                <w:sz w:val="17"/>
              </w:rPr>
              <w:t>Protect sensitive consumer data throughout its lifecycle.</w:t>
            </w:r>
          </w:p>
        </w:tc>
        <w:tc>
          <w:tcPr>
            <w:tcW w:type="dxa" w:w="4680"/>
            <w:tcMar>
              <w:top w:w="70" w:type="dxa"/>
              <w:start w:w="90" w:type="dxa"/>
              <w:bottom w:w="70" w:type="dxa"/>
              <w:end w:w="90" w:type="dxa"/>
            </w:tcMar>
          </w:tcPr>
          <w:p>
            <w:pPr>
              <w:spacing w:after="0" w:line="240" w:lineRule="auto"/>
            </w:pPr>
            <w:r>
              <w:rPr>
                <w:rFonts w:ascii="Aptos" w:hAnsi="Aptos"/>
                <w:color w:val="1F2933"/>
                <w:sz w:val="17"/>
              </w:rPr>
              <w:t>Deletion, access-control, logging, and vendor-security gates pass.</w:t>
            </w:r>
          </w:p>
        </w:tc>
      </w:tr>
      <w:tr>
        <w:trPr>
          <w:cantSplit/>
        </w:trPr>
        <w:tc>
          <w:tcPr>
            <w:tcW w:type="dxa" w:w="1080"/>
            <w:tcMar>
              <w:top w:w="70" w:type="dxa"/>
              <w:start w:w="90" w:type="dxa"/>
              <w:bottom w:w="70" w:type="dxa"/>
              <w:end w:w="90" w:type="dxa"/>
            </w:tcMar>
            <w:shd w:fill="F5F7FA"/>
          </w:tcPr>
          <w:p>
            <w:pPr>
              <w:spacing w:after="0" w:line="240" w:lineRule="auto"/>
            </w:pPr>
            <w:r>
              <w:rPr>
                <w:rFonts w:ascii="Aptos" w:hAnsi="Aptos"/>
                <w:color w:val="1F2933"/>
                <w:sz w:val="17"/>
              </w:rPr>
              <w:t>G-06</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7"/>
              </w:rPr>
              <w:t>Create a modular legal and rules platform.</w:t>
            </w:r>
          </w:p>
        </w:tc>
        <w:tc>
          <w:tcPr>
            <w:tcW w:type="dxa" w:w="4680"/>
            <w:tcMar>
              <w:top w:w="70" w:type="dxa"/>
              <w:start w:w="90" w:type="dxa"/>
              <w:bottom w:w="70" w:type="dxa"/>
              <w:end w:w="90" w:type="dxa"/>
            </w:tcMar>
            <w:shd w:fill="F5F7FA"/>
          </w:tcPr>
          <w:p>
            <w:pPr>
              <w:spacing w:after="0" w:line="240" w:lineRule="auto"/>
            </w:pPr>
            <w:r>
              <w:rPr>
                <w:rFonts w:ascii="Aptos" w:hAnsi="Aptos"/>
                <w:color w:val="1F2933"/>
                <w:sz w:val="17"/>
              </w:rPr>
              <w:t>Federal and state content can be versioned without code redeployment.</w:t>
            </w:r>
          </w:p>
        </w:tc>
      </w:tr>
      <w:tr>
        <w:trPr>
          <w:cantSplit/>
        </w:trPr>
        <w:tc>
          <w:tcPr>
            <w:tcW w:type="dxa" w:w="1080"/>
            <w:tcMar>
              <w:top w:w="70" w:type="dxa"/>
              <w:start w:w="90" w:type="dxa"/>
              <w:bottom w:w="70" w:type="dxa"/>
              <w:end w:w="90" w:type="dxa"/>
            </w:tcMar>
          </w:tcPr>
          <w:p>
            <w:pPr>
              <w:spacing w:after="0" w:line="240" w:lineRule="auto"/>
            </w:pPr>
            <w:r>
              <w:rPr>
                <w:rFonts w:ascii="Aptos" w:hAnsi="Aptos"/>
                <w:color w:val="1F2933"/>
                <w:sz w:val="17"/>
              </w:rPr>
              <w:t>G-07</w:t>
            </w:r>
          </w:p>
        </w:tc>
        <w:tc>
          <w:tcPr>
            <w:tcW w:type="dxa" w:w="4320"/>
            <w:tcMar>
              <w:top w:w="70" w:type="dxa"/>
              <w:start w:w="90" w:type="dxa"/>
              <w:bottom w:w="70" w:type="dxa"/>
              <w:end w:w="90" w:type="dxa"/>
            </w:tcMar>
          </w:tcPr>
          <w:p>
            <w:pPr>
              <w:spacing w:after="0" w:line="240" w:lineRule="auto"/>
            </w:pPr>
            <w:r>
              <w:rPr>
                <w:rFonts w:ascii="Aptos" w:hAnsi="Aptos"/>
                <w:color w:val="1F2933"/>
                <w:sz w:val="17"/>
              </w:rPr>
              <w:t>Keep the application portable.</w:t>
            </w:r>
          </w:p>
        </w:tc>
        <w:tc>
          <w:tcPr>
            <w:tcW w:type="dxa" w:w="4680"/>
            <w:tcMar>
              <w:top w:w="70" w:type="dxa"/>
              <w:start w:w="90" w:type="dxa"/>
              <w:bottom w:w="70" w:type="dxa"/>
              <w:end w:w="90" w:type="dxa"/>
            </w:tcMar>
          </w:tcPr>
          <w:p>
            <w:pPr>
              <w:spacing w:after="0" w:line="240" w:lineRule="auto"/>
            </w:pPr>
            <w:r>
              <w:rPr>
                <w:rFonts w:ascii="Aptos" w:hAnsi="Aptos"/>
                <w:color w:val="1F2933"/>
                <w:sz w:val="17"/>
              </w:rPr>
              <w:t>Business logic remains outside proprietary platform-only primitives.</w:t>
            </w:r>
          </w:p>
        </w:tc>
      </w:tr>
    </w:tbl>
    <w:p>
      <w:pPr>
        <w:spacing w:after="20"/>
      </w:pPr>
    </w:p>
    <w:p>
      <w:pPr>
        <w:pStyle w:val="Heading2"/>
        <w:keepNext/>
      </w:pPr>
      <w:r>
        <w:rPr>
          <w:rFonts w:ascii="Aptos Display" w:hAnsi="Aptos Display"/>
          <w:b/>
          <w:color w:val="245D8C"/>
          <w:sz w:val="26"/>
        </w:rPr>
        <w:t>3.3 Non-goals for MVP</w:t>
      </w:r>
    </w:p>
    <w:p>
      <w:pPr>
        <w:pStyle w:val="ListBullet"/>
        <w:spacing w:after="40" w:line="250" w:lineRule="auto"/>
        <w:ind w:left="0"/>
      </w:pPr>
      <w:r>
        <w:rPr>
          <w:rFonts w:ascii="Aptos" w:hAnsi="Aptos"/>
        </w:rPr>
        <w:t>Calculating or predicting a FICO, VantageScore, lending decision, approval odds, or guaranteed score increase.</w:t>
      </w:r>
    </w:p>
    <w:p>
      <w:pPr>
        <w:pStyle w:val="ListBullet"/>
        <w:spacing w:after="40" w:line="250" w:lineRule="auto"/>
        <w:ind w:left="0"/>
      </w:pPr>
      <w:r>
        <w:rPr>
          <w:rFonts w:ascii="Aptos" w:hAnsi="Aptos"/>
        </w:rPr>
        <w:t>Declaring that a bureau, furnisher, collector, or other party committed a legal violation.</w:t>
      </w:r>
    </w:p>
    <w:p>
      <w:pPr>
        <w:pStyle w:val="ListBullet"/>
        <w:spacing w:after="40" w:line="250" w:lineRule="auto"/>
        <w:ind w:left="0"/>
      </w:pPr>
      <w:r>
        <w:rPr>
          <w:rFonts w:ascii="Aptos" w:hAnsi="Aptos"/>
        </w:rPr>
        <w:t>Removing accurate negative information or encouraging disputes the user knows are inaccurate or misleading.</w:t>
      </w:r>
    </w:p>
    <w:p>
      <w:pPr>
        <w:pStyle w:val="ListBullet"/>
        <w:spacing w:after="40" w:line="250" w:lineRule="auto"/>
        <w:ind w:left="0"/>
      </w:pPr>
      <w:r>
        <w:rPr>
          <w:rFonts w:ascii="Aptos" w:hAnsi="Aptos"/>
        </w:rPr>
        <w:t>Automatically mailing, emailing, submitting, or repeatedly generating disputes without explicit user control and a specific factual basis.</w:t>
      </w:r>
    </w:p>
    <w:p>
      <w:pPr>
        <w:pStyle w:val="ListBullet"/>
        <w:spacing w:after="40" w:line="250" w:lineRule="auto"/>
        <w:ind w:left="0"/>
      </w:pPr>
      <w:r>
        <w:rPr>
          <w:rFonts w:ascii="Aptos" w:hAnsi="Aptos"/>
        </w:rPr>
        <w:t>Performing a conclusive Metro 2 field-level audit from consumer-facing reports alone.</w:t>
      </w:r>
    </w:p>
    <w:p>
      <w:pPr>
        <w:pStyle w:val="ListBullet"/>
        <w:spacing w:after="40" w:line="250" w:lineRule="auto"/>
        <w:ind w:left="0"/>
      </w:pPr>
      <w:r>
        <w:rPr>
          <w:rFonts w:ascii="Aptos" w:hAnsi="Aptos"/>
        </w:rPr>
        <w:t>Providing reports to lenders, landlords, employers, insurers, or other eligibility decision-makers.</w:t>
      </w:r>
    </w:p>
    <w:p>
      <w:pPr>
        <w:pStyle w:val="ListBullet"/>
        <w:spacing w:after="40" w:line="250" w:lineRule="auto"/>
        <w:ind w:left="0"/>
      </w:pPr>
      <w:r>
        <w:rPr>
          <w:rFonts w:ascii="Aptos" w:hAnsi="Aptos"/>
        </w:rPr>
        <w:t>Nationwide state-law launch before jurisdiction-by-jurisdiction review.</w:t>
      </w:r>
    </w:p>
    <w:p>
      <w:pPr>
        <w:pStyle w:val="ListBullet"/>
        <w:spacing w:after="40" w:line="250" w:lineRule="auto"/>
        <w:ind w:left="0"/>
      </w:pPr>
      <w:r>
        <w:rPr>
          <w:rFonts w:ascii="Aptos" w:hAnsi="Aptos"/>
        </w:rPr>
        <w:t>Replacing an attorney, nonprofit credit counselor, identity-theft specialist, or tax/bankruptcy professional.</w:t>
      </w:r>
    </w:p>
    <w:p>
      <w:pPr>
        <w:pStyle w:val="Heading2"/>
        <w:keepNext/>
      </w:pPr>
      <w:r>
        <w:rPr>
          <w:rFonts w:ascii="Aptos Display" w:hAnsi="Aptos Display"/>
          <w:b/>
          <w:color w:val="245D8C"/>
          <w:sz w:val="26"/>
        </w:rPr>
        <w:t>3.4 Assumptions</w:t>
      </w:r>
    </w:p>
    <w:p>
      <w:pPr>
        <w:pStyle w:val="ListBullet"/>
        <w:spacing w:after="40" w:line="250" w:lineRule="auto"/>
        <w:ind w:left="0"/>
      </w:pPr>
      <w:r>
        <w:rPr>
          <w:rFonts w:ascii="Aptos" w:hAnsi="Aptos"/>
        </w:rPr>
        <w:t>Users are adults located in the United States and upload reports belonging to themselves or for which they possess explicit lawful authorization.</w:t>
      </w:r>
    </w:p>
    <w:p>
      <w:pPr>
        <w:pStyle w:val="ListBullet"/>
        <w:spacing w:after="40" w:line="250" w:lineRule="auto"/>
        <w:ind w:left="0"/>
      </w:pPr>
      <w:r>
        <w:rPr>
          <w:rFonts w:ascii="Aptos" w:hAnsi="Aptos"/>
        </w:rPr>
        <w:t>The launch product is direct-to-consumer. Business-to-business, attorney, counselor, and white-label modes require separate product and legal review.</w:t>
      </w:r>
    </w:p>
    <w:p>
      <w:pPr>
        <w:pStyle w:val="ListBullet"/>
        <w:spacing w:after="40" w:line="250" w:lineRule="auto"/>
        <w:ind w:left="0"/>
      </w:pPr>
      <w:r>
        <w:rPr>
          <w:rFonts w:ascii="Aptos" w:hAnsi="Aptos"/>
        </w:rPr>
        <w:t>Native-text PDF and static HTML are P0. Scanned PDF OCR is P1 unless pilot demand proves it essential.</w:t>
      </w:r>
    </w:p>
    <w:p>
      <w:pPr>
        <w:pStyle w:val="ListBullet"/>
        <w:spacing w:after="40" w:line="250" w:lineRule="auto"/>
        <w:ind w:left="0"/>
      </w:pPr>
      <w:r>
        <w:rPr>
          <w:rFonts w:ascii="Aptos" w:hAnsi="Aptos"/>
        </w:rPr>
        <w:t>The working acronym “CSDA” is treated as a request to cover applicable state credit-services organization/business statutes; the intended acronym remains an open legal clarification.</w:t>
      </w:r>
    </w:p>
    <w:p>
      <w:pPr>
        <w:pStyle w:val="ListBullet"/>
        <w:spacing w:after="40" w:line="250" w:lineRule="auto"/>
        <w:ind w:left="0"/>
      </w:pPr>
      <w:r>
        <w:rPr>
          <w:rFonts w:ascii="Aptos" w:hAnsi="Aptos"/>
        </w:rPr>
        <w:t>Pricing and whether paid functionality triggers CROA or state credit-services obligations will be determined before public sales.</w:t>
      </w:r>
    </w:p>
    <w:p>
      <w:pPr>
        <w:pStyle w:val="Heading1"/>
        <w:pageBreakBefore/>
      </w:pPr>
      <w:r>
        <w:rPr>
          <w:rFonts w:ascii="Aptos Display" w:hAnsi="Aptos Display"/>
          <w:b/>
          <w:color w:val="17324D"/>
          <w:sz w:val="36"/>
        </w:rPr>
        <w:t>4. Product and Analysis Principles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7"/>
              </w:rPr>
              <w:t>ID</w:t>
            </w:r>
          </w:p>
        </w:tc>
        <w:tc>
          <w:tcPr>
            <w:tcW w:type="dxa" w:w="2376"/>
            <w:shd w:fill="17324D"/>
            <w:tcMar>
              <w:top w:w="80" w:type="dxa"/>
              <w:start w:w="90" w:type="dxa"/>
              <w:bottom w:w="80" w:type="dxa"/>
              <w:end w:w="90" w:type="dxa"/>
            </w:tcMar>
            <w:vAlign w:val="center"/>
          </w:tcPr>
          <w:p>
            <w:pPr>
              <w:spacing w:after="0"/>
            </w:pPr>
            <w:r>
              <w:rPr>
                <w:rFonts w:ascii="Aptos" w:hAnsi="Aptos"/>
                <w:b/>
                <w:color w:val="FFFFFF"/>
                <w:sz w:val="17"/>
              </w:rPr>
              <w:t>Principle</w:t>
            </w:r>
          </w:p>
        </w:tc>
        <w:tc>
          <w:tcPr>
            <w:tcW w:type="dxa" w:w="6840"/>
            <w:shd w:fill="17324D"/>
            <w:tcMar>
              <w:top w:w="80" w:type="dxa"/>
              <w:start w:w="90" w:type="dxa"/>
              <w:bottom w:w="80" w:type="dxa"/>
              <w:end w:w="90" w:type="dxa"/>
            </w:tcMar>
            <w:vAlign w:val="center"/>
          </w:tcPr>
          <w:p>
            <w:pPr>
              <w:spacing w:after="0"/>
            </w:pPr>
            <w:r>
              <w:rPr>
                <w:rFonts w:ascii="Aptos" w:hAnsi="Aptos"/>
                <w:b/>
                <w:color w:val="FFFFFF"/>
                <w:sz w:val="17"/>
              </w:rPr>
              <w:t>Operational requirement</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P-01</w:t>
            </w:r>
          </w:p>
        </w:tc>
        <w:tc>
          <w:tcPr>
            <w:tcW w:type="dxa" w:w="2376"/>
            <w:tcMar>
              <w:top w:w="70" w:type="dxa"/>
              <w:start w:w="90" w:type="dxa"/>
              <w:bottom w:w="70" w:type="dxa"/>
              <w:end w:w="90" w:type="dxa"/>
            </w:tcMar>
          </w:tcPr>
          <w:p>
            <w:pPr>
              <w:spacing w:after="0" w:line="240" w:lineRule="auto"/>
            </w:pPr>
            <w:r>
              <w:rPr>
                <w:rFonts w:ascii="Aptos" w:hAnsi="Aptos"/>
                <w:color w:val="1F2933"/>
                <w:sz w:val="17"/>
              </w:rPr>
              <w:t>Evidence before explanation</w:t>
            </w:r>
          </w:p>
        </w:tc>
        <w:tc>
          <w:tcPr>
            <w:tcW w:type="dxa" w:w="6840"/>
            <w:tcMar>
              <w:top w:w="70" w:type="dxa"/>
              <w:start w:w="90" w:type="dxa"/>
              <w:bottom w:w="70" w:type="dxa"/>
              <w:end w:w="90" w:type="dxa"/>
            </w:tcMar>
          </w:tcPr>
          <w:p>
            <w:pPr>
              <w:spacing w:after="0" w:line="240" w:lineRule="auto"/>
            </w:pPr>
            <w:r>
              <w:rPr>
                <w:rFonts w:ascii="Aptos" w:hAnsi="Aptos"/>
                <w:color w:val="1F2933"/>
                <w:sz w:val="17"/>
              </w:rPr>
              <w:t>The system may explain only facts or findings that map to source evidence, user-confirmed information, or approved knowledge content.</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P-02</w:t>
            </w:r>
          </w:p>
        </w:tc>
        <w:tc>
          <w:tcPr>
            <w:tcW w:type="dxa" w:w="2376"/>
            <w:tcMar>
              <w:top w:w="70" w:type="dxa"/>
              <w:start w:w="90" w:type="dxa"/>
              <w:bottom w:w="70" w:type="dxa"/>
              <w:end w:w="90" w:type="dxa"/>
            </w:tcMar>
            <w:shd w:fill="F5F7FA"/>
          </w:tcPr>
          <w:p>
            <w:pPr>
              <w:spacing w:after="0" w:line="240" w:lineRule="auto"/>
            </w:pPr>
            <w:r>
              <w:rPr>
                <w:rFonts w:ascii="Aptos" w:hAnsi="Aptos"/>
                <w:color w:val="1F2933"/>
                <w:sz w:val="17"/>
              </w:rPr>
              <w:t>Observation is not a verdict</w:t>
            </w:r>
          </w:p>
        </w:tc>
        <w:tc>
          <w:tcPr>
            <w:tcW w:type="dxa" w:w="6840"/>
            <w:tcMar>
              <w:top w:w="70" w:type="dxa"/>
              <w:start w:w="90" w:type="dxa"/>
              <w:bottom w:w="70" w:type="dxa"/>
              <w:end w:w="90" w:type="dxa"/>
            </w:tcMar>
            <w:shd w:fill="F5F7FA"/>
          </w:tcPr>
          <w:p>
            <w:pPr>
              <w:spacing w:after="0" w:line="240" w:lineRule="auto"/>
            </w:pPr>
            <w:r>
              <w:rPr>
                <w:rFonts w:ascii="Aptos" w:hAnsi="Aptos"/>
                <w:color w:val="1F2933"/>
                <w:sz w:val="17"/>
              </w:rPr>
              <w:t>Use “inconsistency,” “potential error,” “verification recommended,” or “insufficient information,” not unsupported violation language.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P-03</w:t>
            </w:r>
          </w:p>
        </w:tc>
        <w:tc>
          <w:tcPr>
            <w:tcW w:type="dxa" w:w="2376"/>
            <w:tcMar>
              <w:top w:w="70" w:type="dxa"/>
              <w:start w:w="90" w:type="dxa"/>
              <w:bottom w:w="70" w:type="dxa"/>
              <w:end w:w="90" w:type="dxa"/>
            </w:tcMar>
          </w:tcPr>
          <w:p>
            <w:pPr>
              <w:spacing w:after="0" w:line="240" w:lineRule="auto"/>
            </w:pPr>
            <w:r>
              <w:rPr>
                <w:rFonts w:ascii="Aptos" w:hAnsi="Aptos"/>
                <w:color w:val="1F2933"/>
                <w:sz w:val="17"/>
              </w:rPr>
              <w:t>Precision over volume</w:t>
            </w:r>
          </w:p>
        </w:tc>
        <w:tc>
          <w:tcPr>
            <w:tcW w:type="dxa" w:w="6840"/>
            <w:tcMar>
              <w:top w:w="70" w:type="dxa"/>
              <w:start w:w="90" w:type="dxa"/>
              <w:bottom w:w="70" w:type="dxa"/>
              <w:end w:w="90" w:type="dxa"/>
            </w:tcMar>
          </w:tcPr>
          <w:p>
            <w:pPr>
              <w:spacing w:after="0" w:line="240" w:lineRule="auto"/>
            </w:pPr>
            <w:r>
              <w:rPr>
                <w:rFonts w:ascii="Aptos" w:hAnsi="Aptos"/>
                <w:color w:val="1F2933"/>
                <w:sz w:val="17"/>
              </w:rPr>
              <w:t>Suppress weak findings. A smaller set of defensible findings is more valuable than an inflated list.</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P-04</w:t>
            </w:r>
          </w:p>
        </w:tc>
        <w:tc>
          <w:tcPr>
            <w:tcW w:type="dxa" w:w="2376"/>
            <w:tcMar>
              <w:top w:w="70" w:type="dxa"/>
              <w:start w:w="90" w:type="dxa"/>
              <w:bottom w:w="70" w:type="dxa"/>
              <w:end w:w="90" w:type="dxa"/>
            </w:tcMar>
            <w:shd w:fill="F5F7FA"/>
          </w:tcPr>
          <w:p>
            <w:pPr>
              <w:spacing w:after="0" w:line="240" w:lineRule="auto"/>
            </w:pPr>
            <w:r>
              <w:rPr>
                <w:rFonts w:ascii="Aptos" w:hAnsi="Aptos"/>
                <w:color w:val="1F2933"/>
                <w:sz w:val="17"/>
              </w:rPr>
              <w:t>Consumer control</w:t>
            </w:r>
          </w:p>
        </w:tc>
        <w:tc>
          <w:tcPr>
            <w:tcW w:type="dxa" w:w="6840"/>
            <w:tcMar>
              <w:top w:w="70" w:type="dxa"/>
              <w:start w:w="90" w:type="dxa"/>
              <w:bottom w:w="70" w:type="dxa"/>
              <w:end w:w="90" w:type="dxa"/>
            </w:tcMar>
            <w:shd w:fill="F5F7FA"/>
          </w:tcPr>
          <w:p>
            <w:pPr>
              <w:spacing w:after="0" w:line="240" w:lineRule="auto"/>
            </w:pPr>
            <w:r>
              <w:rPr>
                <w:rFonts w:ascii="Aptos" w:hAnsi="Aptos"/>
                <w:color w:val="1F2933"/>
                <w:sz w:val="17"/>
              </w:rPr>
              <w:t>The user confirms uncertain data and controls any communication or dispute action.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P-05</w:t>
            </w:r>
          </w:p>
        </w:tc>
        <w:tc>
          <w:tcPr>
            <w:tcW w:type="dxa" w:w="2376"/>
            <w:tcMar>
              <w:top w:w="70" w:type="dxa"/>
              <w:start w:w="90" w:type="dxa"/>
              <w:bottom w:w="70" w:type="dxa"/>
              <w:end w:w="90" w:type="dxa"/>
            </w:tcMar>
          </w:tcPr>
          <w:p>
            <w:pPr>
              <w:spacing w:after="0" w:line="240" w:lineRule="auto"/>
            </w:pPr>
            <w:r>
              <w:rPr>
                <w:rFonts w:ascii="Aptos" w:hAnsi="Aptos"/>
                <w:color w:val="1F2933"/>
                <w:sz w:val="17"/>
              </w:rPr>
              <w:t>Alternative explanations</w:t>
            </w:r>
          </w:p>
        </w:tc>
        <w:tc>
          <w:tcPr>
            <w:tcW w:type="dxa" w:w="6840"/>
            <w:tcMar>
              <w:top w:w="70" w:type="dxa"/>
              <w:start w:w="90" w:type="dxa"/>
              <w:bottom w:w="70" w:type="dxa"/>
              <w:end w:w="90" w:type="dxa"/>
            </w:tcMar>
          </w:tcPr>
          <w:p>
            <w:pPr>
              <w:spacing w:after="0" w:line="240" w:lineRule="auto"/>
            </w:pPr>
            <w:r>
              <w:rPr>
                <w:rFonts w:ascii="Aptos" w:hAnsi="Aptos"/>
                <w:color w:val="1F2933"/>
                <w:sz w:val="17"/>
              </w:rPr>
              <w:t>Each finding must state plausible non-error explanations, such as different bureau update dates.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P-06</w:t>
            </w:r>
          </w:p>
        </w:tc>
        <w:tc>
          <w:tcPr>
            <w:tcW w:type="dxa" w:w="2376"/>
            <w:tcMar>
              <w:top w:w="70" w:type="dxa"/>
              <w:start w:w="90" w:type="dxa"/>
              <w:bottom w:w="70" w:type="dxa"/>
              <w:end w:w="90" w:type="dxa"/>
            </w:tcMar>
            <w:shd w:fill="F5F7FA"/>
          </w:tcPr>
          <w:p>
            <w:pPr>
              <w:spacing w:after="0" w:line="240" w:lineRule="auto"/>
            </w:pPr>
            <w:r>
              <w:rPr>
                <w:rFonts w:ascii="Aptos" w:hAnsi="Aptos"/>
                <w:color w:val="1F2933"/>
                <w:sz w:val="17"/>
              </w:rPr>
              <w:t>Legal content is governed data</w:t>
            </w:r>
          </w:p>
        </w:tc>
        <w:tc>
          <w:tcPr>
            <w:tcW w:type="dxa" w:w="6840"/>
            <w:tcMar>
              <w:top w:w="70" w:type="dxa"/>
              <w:start w:w="90" w:type="dxa"/>
              <w:bottom w:w="70" w:type="dxa"/>
              <w:end w:w="90" w:type="dxa"/>
            </w:tcMar>
            <w:shd w:fill="F5F7FA"/>
          </w:tcPr>
          <w:p>
            <w:pPr>
              <w:spacing w:after="0" w:line="240" w:lineRule="auto"/>
            </w:pPr>
            <w:r>
              <w:rPr>
                <w:rFonts w:ascii="Aptos" w:hAnsi="Aptos"/>
                <w:color w:val="1F2933"/>
                <w:sz w:val="17"/>
              </w:rPr>
              <w:t>Legal authorities and state requirements are approved, versioned, dated, and never updated directly from open-web content.</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P-07</w:t>
            </w:r>
          </w:p>
        </w:tc>
        <w:tc>
          <w:tcPr>
            <w:tcW w:type="dxa" w:w="2376"/>
            <w:tcMar>
              <w:top w:w="70" w:type="dxa"/>
              <w:start w:w="90" w:type="dxa"/>
              <w:bottom w:w="70" w:type="dxa"/>
              <w:end w:w="90" w:type="dxa"/>
            </w:tcMar>
          </w:tcPr>
          <w:p>
            <w:pPr>
              <w:spacing w:after="0" w:line="240" w:lineRule="auto"/>
            </w:pPr>
            <w:r>
              <w:rPr>
                <w:rFonts w:ascii="Aptos" w:hAnsi="Aptos"/>
                <w:color w:val="1F2933"/>
                <w:sz w:val="17"/>
              </w:rPr>
              <w:t>Privacy by design</w:t>
            </w:r>
          </w:p>
        </w:tc>
        <w:tc>
          <w:tcPr>
            <w:tcW w:type="dxa" w:w="6840"/>
            <w:tcMar>
              <w:top w:w="70" w:type="dxa"/>
              <w:start w:w="90" w:type="dxa"/>
              <w:bottom w:w="70" w:type="dxa"/>
              <w:end w:w="90" w:type="dxa"/>
            </w:tcMar>
          </w:tcPr>
          <w:p>
            <w:pPr>
              <w:spacing w:after="0" w:line="240" w:lineRule="auto"/>
            </w:pPr>
            <w:r>
              <w:rPr>
                <w:rFonts w:ascii="Aptos" w:hAnsi="Aptos"/>
                <w:color w:val="1F2933"/>
                <w:sz w:val="17"/>
              </w:rPr>
              <w:t>Minimize collection, mask identifiers, restrict access, redact logs, and support deletion of all derived artifacts.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P-08</w:t>
            </w:r>
          </w:p>
        </w:tc>
        <w:tc>
          <w:tcPr>
            <w:tcW w:type="dxa" w:w="2376"/>
            <w:tcMar>
              <w:top w:w="70" w:type="dxa"/>
              <w:start w:w="90" w:type="dxa"/>
              <w:bottom w:w="70" w:type="dxa"/>
              <w:end w:w="90" w:type="dxa"/>
            </w:tcMar>
            <w:shd w:fill="F5F7FA"/>
          </w:tcPr>
          <w:p>
            <w:pPr>
              <w:spacing w:after="0" w:line="240" w:lineRule="auto"/>
            </w:pPr>
            <w:r>
              <w:rPr>
                <w:rFonts w:ascii="Aptos" w:hAnsi="Aptos"/>
                <w:color w:val="1F2933"/>
                <w:sz w:val="17"/>
              </w:rPr>
              <w:t>Reproducibility</w:t>
            </w:r>
          </w:p>
        </w:tc>
        <w:tc>
          <w:tcPr>
            <w:tcW w:type="dxa" w:w="6840"/>
            <w:tcMar>
              <w:top w:w="70" w:type="dxa"/>
              <w:start w:w="90" w:type="dxa"/>
              <w:bottom w:w="70" w:type="dxa"/>
              <w:end w:w="90" w:type="dxa"/>
            </w:tcMar>
            <w:shd w:fill="F5F7FA"/>
          </w:tcPr>
          <w:p>
            <w:pPr>
              <w:spacing w:after="0" w:line="240" w:lineRule="auto"/>
            </w:pPr>
            <w:r>
              <w:rPr>
                <w:rFonts w:ascii="Aptos" w:hAnsi="Aptos"/>
                <w:color w:val="1F2933"/>
                <w:sz w:val="17"/>
              </w:rPr>
              <w:t>The same normalized report, user facts, and ruleset version must produce the same deterministic findings.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P-09</w:t>
            </w:r>
          </w:p>
        </w:tc>
        <w:tc>
          <w:tcPr>
            <w:tcW w:type="dxa" w:w="2376"/>
            <w:tcMar>
              <w:top w:w="70" w:type="dxa"/>
              <w:start w:w="90" w:type="dxa"/>
              <w:bottom w:w="70" w:type="dxa"/>
              <w:end w:w="90" w:type="dxa"/>
            </w:tcMar>
          </w:tcPr>
          <w:p>
            <w:pPr>
              <w:spacing w:after="0" w:line="240" w:lineRule="auto"/>
            </w:pPr>
            <w:r>
              <w:rPr>
                <w:rFonts w:ascii="Aptos" w:hAnsi="Aptos"/>
                <w:color w:val="1F2933"/>
                <w:sz w:val="17"/>
              </w:rPr>
              <w:t>Accessible education</w:t>
            </w:r>
          </w:p>
        </w:tc>
        <w:tc>
          <w:tcPr>
            <w:tcW w:type="dxa" w:w="6840"/>
            <w:tcMar>
              <w:top w:w="70" w:type="dxa"/>
              <w:start w:w="90" w:type="dxa"/>
              <w:bottom w:w="70" w:type="dxa"/>
              <w:end w:w="90" w:type="dxa"/>
            </w:tcMar>
          </w:tcPr>
          <w:p>
            <w:pPr>
              <w:spacing w:after="0" w:line="240" w:lineRule="auto"/>
            </w:pPr>
            <w:r>
              <w:rPr>
                <w:rFonts w:ascii="Aptos" w:hAnsi="Aptos"/>
                <w:color w:val="1F2933"/>
                <w:sz w:val="17"/>
              </w:rPr>
              <w:t>Explain technical concepts in plain language while preserving precise source terms where needed.</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P-10</w:t>
            </w:r>
          </w:p>
        </w:tc>
        <w:tc>
          <w:tcPr>
            <w:tcW w:type="dxa" w:w="2376"/>
            <w:tcMar>
              <w:top w:w="70" w:type="dxa"/>
              <w:start w:w="90" w:type="dxa"/>
              <w:bottom w:w="70" w:type="dxa"/>
              <w:end w:w="90" w:type="dxa"/>
            </w:tcMar>
            <w:shd w:fill="F5F7FA"/>
          </w:tcPr>
          <w:p>
            <w:pPr>
              <w:spacing w:after="0" w:line="240" w:lineRule="auto"/>
            </w:pPr>
            <w:r>
              <w:rPr>
                <w:rFonts w:ascii="Aptos" w:hAnsi="Aptos"/>
                <w:color w:val="1F2933"/>
                <w:sz w:val="17"/>
              </w:rPr>
              <w:t>No dark patterns</w:t>
            </w:r>
          </w:p>
        </w:tc>
        <w:tc>
          <w:tcPr>
            <w:tcW w:type="dxa" w:w="6840"/>
            <w:tcMar>
              <w:top w:w="70" w:type="dxa"/>
              <w:start w:w="90" w:type="dxa"/>
              <w:bottom w:w="70" w:type="dxa"/>
              <w:end w:w="90" w:type="dxa"/>
            </w:tcMar>
            <w:shd w:fill="F5F7FA"/>
          </w:tcPr>
          <w:p>
            <w:pPr>
              <w:spacing w:after="0" w:line="240" w:lineRule="auto"/>
            </w:pPr>
            <w:r>
              <w:rPr>
                <w:rFonts w:ascii="Aptos" w:hAnsi="Aptos"/>
                <w:color w:val="1F2933"/>
                <w:sz w:val="17"/>
              </w:rPr>
              <w:t>Do not frighten users, manufacture urgency, imply guaranteed outcomes, or hide material limitations behind disclaimers.</w:t>
            </w:r>
          </w:p>
        </w:tc>
      </w:tr>
    </w:tbl>
    <w:p>
      <w:pPr>
        <w:spacing w:after="20"/>
      </w:pPr>
    </w:p>
    <w:p>
      <w:pPr>
        <w:pStyle w:val="Heading1"/>
        <w:pageBreakBefore/>
      </w:pPr>
      <w:r>
        <w:rPr>
          <w:rFonts w:ascii="Aptos Display" w:hAnsi="Aptos Display"/>
          <w:b/>
          <w:color w:val="17324D"/>
          <w:sz w:val="36"/>
        </w:rPr>
        <w:t>5. Users, Jobs to Be Done, and Permissions</w:t>
      </w:r>
    </w:p>
    <w:p>
      <w:pPr>
        <w:pStyle w:val="Heading2"/>
        <w:keepNext/>
      </w:pPr>
      <w:r>
        <w:rPr>
          <w:rFonts w:ascii="Aptos Display" w:hAnsi="Aptos Display"/>
          <w:b/>
          <w:color w:val="245D8C"/>
          <w:sz w:val="26"/>
        </w:rPr>
        <w:t>5.1 Primary personas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24D"/>
            <w:tcMar>
              <w:top w:w="80" w:type="dxa"/>
              <w:start w:w="90" w:type="dxa"/>
              <w:bottom w:w="80" w:type="dxa"/>
              <w:end w:w="90" w:type="dxa"/>
            </w:tcMar>
            <w:vAlign w:val="center"/>
          </w:tcPr>
          <w:p>
            <w:pPr>
              <w:spacing w:after="0"/>
            </w:pPr>
            <w:r>
              <w:rPr>
                <w:rFonts w:ascii="Aptos" w:hAnsi="Aptos"/>
                <w:b/>
                <w:color w:val="FFFFFF"/>
                <w:sz w:val="16"/>
              </w:rPr>
              <w:t>Persona</w:t>
            </w:r>
          </w:p>
        </w:tc>
        <w:tc>
          <w:tcPr>
            <w:tcW w:type="dxa" w:w="2448"/>
            <w:shd w:fill="17324D"/>
            <w:tcMar>
              <w:top w:w="80" w:type="dxa"/>
              <w:start w:w="90" w:type="dxa"/>
              <w:bottom w:w="80" w:type="dxa"/>
              <w:end w:w="90" w:type="dxa"/>
            </w:tcMar>
            <w:vAlign w:val="center"/>
          </w:tcPr>
          <w:p>
            <w:pPr>
              <w:spacing w:after="0"/>
            </w:pPr>
            <w:r>
              <w:rPr>
                <w:rFonts w:ascii="Aptos" w:hAnsi="Aptos"/>
                <w:b/>
                <w:color w:val="FFFFFF"/>
                <w:sz w:val="16"/>
              </w:rPr>
              <w:t>Primary need</w:t>
            </w:r>
          </w:p>
        </w:tc>
        <w:tc>
          <w:tcPr>
            <w:tcW w:type="dxa" w:w="2592"/>
            <w:shd w:fill="17324D"/>
            <w:tcMar>
              <w:top w:w="80" w:type="dxa"/>
              <w:start w:w="90" w:type="dxa"/>
              <w:bottom w:w="80" w:type="dxa"/>
              <w:end w:w="90" w:type="dxa"/>
            </w:tcMar>
            <w:vAlign w:val="center"/>
          </w:tcPr>
          <w:p>
            <w:pPr>
              <w:spacing w:after="0"/>
            </w:pPr>
            <w:r>
              <w:rPr>
                <w:rFonts w:ascii="Aptos" w:hAnsi="Aptos"/>
                <w:b/>
                <w:color w:val="FFFFFF"/>
                <w:sz w:val="16"/>
              </w:rPr>
              <w:t>Key risks</w:t>
            </w:r>
          </w:p>
        </w:tc>
        <w:tc>
          <w:tcPr>
            <w:tcW w:type="dxa" w:w="3168"/>
            <w:shd w:fill="17324D"/>
            <w:tcMar>
              <w:top w:w="80" w:type="dxa"/>
              <w:start w:w="90" w:type="dxa"/>
              <w:bottom w:w="80" w:type="dxa"/>
              <w:end w:w="90" w:type="dxa"/>
            </w:tcMar>
            <w:vAlign w:val="center"/>
          </w:tcPr>
          <w:p>
            <w:pPr>
              <w:spacing w:after="0"/>
            </w:pPr>
            <w:r>
              <w:rPr>
                <w:rFonts w:ascii="Aptos" w:hAnsi="Aptos"/>
                <w:b/>
                <w:color w:val="FFFFFF"/>
                <w:sz w:val="16"/>
              </w:rPr>
              <w:t>Required experience</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Consumer checking accuracy</w:t>
            </w:r>
          </w:p>
        </w:tc>
        <w:tc>
          <w:tcPr>
            <w:tcW w:type="dxa" w:w="2448"/>
            <w:tcMar>
              <w:top w:w="70" w:type="dxa"/>
              <w:start w:w="90" w:type="dxa"/>
              <w:bottom w:w="70" w:type="dxa"/>
              <w:end w:w="90" w:type="dxa"/>
            </w:tcMar>
          </w:tcPr>
          <w:p>
            <w:pPr>
              <w:spacing w:after="0" w:line="240" w:lineRule="auto"/>
            </w:pPr>
            <w:r>
              <w:rPr>
                <w:rFonts w:ascii="Aptos" w:hAnsi="Aptos"/>
                <w:color w:val="1F2933"/>
                <w:sz w:val="16"/>
              </w:rPr>
              <w:t>Understand whether report fields conflict or need verification</w:t>
            </w:r>
          </w:p>
        </w:tc>
        <w:tc>
          <w:tcPr>
            <w:tcW w:type="dxa" w:w="2592"/>
            <w:tcMar>
              <w:top w:w="70" w:type="dxa"/>
              <w:start w:w="90" w:type="dxa"/>
              <w:bottom w:w="70" w:type="dxa"/>
              <w:end w:w="90" w:type="dxa"/>
            </w:tcMar>
          </w:tcPr>
          <w:p>
            <w:pPr>
              <w:spacing w:after="0" w:line="240" w:lineRule="auto"/>
            </w:pPr>
            <w:r>
              <w:rPr>
                <w:rFonts w:ascii="Aptos" w:hAnsi="Aptos"/>
                <w:color w:val="1F2933"/>
                <w:sz w:val="16"/>
              </w:rPr>
              <w:t>Confusing normal differences with errors</w:t>
            </w:r>
          </w:p>
        </w:tc>
        <w:tc>
          <w:tcPr>
            <w:tcW w:type="dxa" w:w="3168"/>
            <w:tcMar>
              <w:top w:w="70" w:type="dxa"/>
              <w:start w:w="90" w:type="dxa"/>
              <w:bottom w:w="70" w:type="dxa"/>
              <w:end w:w="90" w:type="dxa"/>
            </w:tcMar>
          </w:tcPr>
          <w:p>
            <w:pPr>
              <w:spacing w:after="0" w:line="240" w:lineRule="auto"/>
            </w:pPr>
            <w:r>
              <w:rPr>
                <w:rFonts w:ascii="Aptos" w:hAnsi="Aptos"/>
                <w:color w:val="1F2933"/>
                <w:sz w:val="16"/>
              </w:rPr>
              <w:t>Clear evidence, comparison dates, and proportionate guidance</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Consumer recovering from identity theft</w:t>
            </w:r>
          </w:p>
        </w:tc>
        <w:tc>
          <w:tcPr>
            <w:tcW w:type="dxa" w:w="2448"/>
            <w:tcMar>
              <w:top w:w="70" w:type="dxa"/>
              <w:start w:w="90" w:type="dxa"/>
              <w:bottom w:w="70" w:type="dxa"/>
              <w:end w:w="90" w:type="dxa"/>
            </w:tcMar>
            <w:shd w:fill="F5F7FA"/>
          </w:tcPr>
          <w:p>
            <w:pPr>
              <w:spacing w:after="0" w:line="240" w:lineRule="auto"/>
            </w:pPr>
            <w:r>
              <w:rPr>
                <w:rFonts w:ascii="Aptos" w:hAnsi="Aptos"/>
                <w:color w:val="1F2933"/>
                <w:sz w:val="16"/>
              </w:rPr>
              <w:t>Identify unfamiliar identity data and accounts</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False attribution; emotional distress; urgent fraud risk</w:t>
            </w:r>
          </w:p>
        </w:tc>
        <w:tc>
          <w:tcPr>
            <w:tcW w:type="dxa" w:w="3168"/>
            <w:tcMar>
              <w:top w:w="70" w:type="dxa"/>
              <w:start w:w="90" w:type="dxa"/>
              <w:bottom w:w="70" w:type="dxa"/>
              <w:end w:w="90" w:type="dxa"/>
            </w:tcMar>
            <w:shd w:fill="F5F7FA"/>
          </w:tcPr>
          <w:p>
            <w:pPr>
              <w:spacing w:after="0" w:line="240" w:lineRule="auto"/>
            </w:pPr>
            <w:r>
              <w:rPr>
                <w:rFonts w:ascii="Aptos" w:hAnsi="Aptos"/>
                <w:color w:val="1F2933"/>
                <w:sz w:val="16"/>
              </w:rPr>
              <w:t>Sensitive language, identity-theft resources, and high-priority evidence collection</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Consumer rebuilding credit</w:t>
            </w:r>
          </w:p>
        </w:tc>
        <w:tc>
          <w:tcPr>
            <w:tcW w:type="dxa" w:w="2448"/>
            <w:tcMar>
              <w:top w:w="70" w:type="dxa"/>
              <w:start w:w="90" w:type="dxa"/>
              <w:bottom w:w="70" w:type="dxa"/>
              <w:end w:w="90" w:type="dxa"/>
            </w:tcMar>
          </w:tcPr>
          <w:p>
            <w:pPr>
              <w:spacing w:after="0" w:line="240" w:lineRule="auto"/>
            </w:pPr>
            <w:r>
              <w:rPr>
                <w:rFonts w:ascii="Aptos" w:hAnsi="Aptos"/>
                <w:color w:val="1F2933"/>
                <w:sz w:val="16"/>
              </w:rPr>
              <w:t>Understand report factors and practical habits</w:t>
            </w:r>
          </w:p>
        </w:tc>
        <w:tc>
          <w:tcPr>
            <w:tcW w:type="dxa" w:w="2592"/>
            <w:tcMar>
              <w:top w:w="70" w:type="dxa"/>
              <w:start w:w="90" w:type="dxa"/>
              <w:bottom w:w="70" w:type="dxa"/>
              <w:end w:w="90" w:type="dxa"/>
            </w:tcMar>
          </w:tcPr>
          <w:p>
            <w:pPr>
              <w:spacing w:after="0" w:line="240" w:lineRule="auto"/>
            </w:pPr>
            <w:r>
              <w:rPr>
                <w:rFonts w:ascii="Aptos" w:hAnsi="Aptos"/>
                <w:color w:val="1F2933"/>
                <w:sz w:val="16"/>
              </w:rPr>
              <w:t>Predatory promises and score myths</w:t>
            </w:r>
          </w:p>
        </w:tc>
        <w:tc>
          <w:tcPr>
            <w:tcW w:type="dxa" w:w="3168"/>
            <w:tcMar>
              <w:top w:w="70" w:type="dxa"/>
              <w:start w:w="90" w:type="dxa"/>
              <w:bottom w:w="70" w:type="dxa"/>
              <w:end w:w="90" w:type="dxa"/>
            </w:tcMar>
          </w:tcPr>
          <w:p>
            <w:pPr>
              <w:spacing w:after="0" w:line="240" w:lineRule="auto"/>
            </w:pPr>
            <w:r>
              <w:rPr>
                <w:rFonts w:ascii="Aptos" w:hAnsi="Aptos"/>
                <w:color w:val="1F2933"/>
                <w:sz w:val="16"/>
              </w:rPr>
              <w:t>Educational plan distinct from dispute recommendations</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Compliance / legal reviewer</w:t>
            </w:r>
          </w:p>
        </w:tc>
        <w:tc>
          <w:tcPr>
            <w:tcW w:type="dxa" w:w="2448"/>
            <w:tcMar>
              <w:top w:w="70" w:type="dxa"/>
              <w:start w:w="90" w:type="dxa"/>
              <w:bottom w:w="70" w:type="dxa"/>
              <w:end w:w="90" w:type="dxa"/>
            </w:tcMar>
            <w:shd w:fill="F5F7FA"/>
          </w:tcPr>
          <w:p>
            <w:pPr>
              <w:spacing w:after="0" w:line="240" w:lineRule="auto"/>
            </w:pPr>
            <w:r>
              <w:rPr>
                <w:rFonts w:ascii="Aptos" w:hAnsi="Aptos"/>
                <w:color w:val="1F2933"/>
                <w:sz w:val="16"/>
              </w:rPr>
              <w:t>Approve authorities, rules, and consumer language</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Untracked changes and outdated law</w:t>
            </w:r>
          </w:p>
        </w:tc>
        <w:tc>
          <w:tcPr>
            <w:tcW w:type="dxa" w:w="3168"/>
            <w:tcMar>
              <w:top w:w="70" w:type="dxa"/>
              <w:start w:w="90" w:type="dxa"/>
              <w:bottom w:w="70" w:type="dxa"/>
              <w:end w:w="90" w:type="dxa"/>
            </w:tcMar>
            <w:shd w:fill="F5F7FA"/>
          </w:tcPr>
          <w:p>
            <w:pPr>
              <w:spacing w:after="0" w:line="240" w:lineRule="auto"/>
            </w:pPr>
            <w:r>
              <w:rPr>
                <w:rFonts w:ascii="Aptos" w:hAnsi="Aptos"/>
                <w:color w:val="1F2933"/>
                <w:sz w:val="16"/>
              </w:rPr>
              <w:t>Versioned review workflow and audit history</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Operations / support analyst</w:t>
            </w:r>
          </w:p>
        </w:tc>
        <w:tc>
          <w:tcPr>
            <w:tcW w:type="dxa" w:w="2448"/>
            <w:tcMar>
              <w:top w:w="70" w:type="dxa"/>
              <w:start w:w="90" w:type="dxa"/>
              <w:bottom w:w="70" w:type="dxa"/>
              <w:end w:w="90" w:type="dxa"/>
            </w:tcMar>
          </w:tcPr>
          <w:p>
            <w:pPr>
              <w:spacing w:after="0" w:line="240" w:lineRule="auto"/>
            </w:pPr>
            <w:r>
              <w:rPr>
                <w:rFonts w:ascii="Aptos" w:hAnsi="Aptos"/>
                <w:color w:val="1F2933"/>
                <w:sz w:val="16"/>
              </w:rPr>
              <w:t>Resolve parser failures and user questions</w:t>
            </w:r>
          </w:p>
        </w:tc>
        <w:tc>
          <w:tcPr>
            <w:tcW w:type="dxa" w:w="2592"/>
            <w:tcMar>
              <w:top w:w="70" w:type="dxa"/>
              <w:start w:w="90" w:type="dxa"/>
              <w:bottom w:w="70" w:type="dxa"/>
              <w:end w:w="90" w:type="dxa"/>
            </w:tcMar>
          </w:tcPr>
          <w:p>
            <w:pPr>
              <w:spacing w:after="0" w:line="240" w:lineRule="auto"/>
            </w:pPr>
            <w:r>
              <w:rPr>
                <w:rFonts w:ascii="Aptos" w:hAnsi="Aptos"/>
                <w:color w:val="1F2933"/>
                <w:sz w:val="16"/>
              </w:rPr>
              <w:t>Exposure to unnecessary PII</w:t>
            </w:r>
          </w:p>
        </w:tc>
        <w:tc>
          <w:tcPr>
            <w:tcW w:type="dxa" w:w="3168"/>
            <w:tcMar>
              <w:top w:w="70" w:type="dxa"/>
              <w:start w:w="90" w:type="dxa"/>
              <w:bottom w:w="70" w:type="dxa"/>
              <w:end w:w="90" w:type="dxa"/>
            </w:tcMar>
          </w:tcPr>
          <w:p>
            <w:pPr>
              <w:spacing w:after="0" w:line="240" w:lineRule="auto"/>
            </w:pPr>
            <w:r>
              <w:rPr>
                <w:rFonts w:ascii="Aptos" w:hAnsi="Aptos"/>
                <w:color w:val="1F2933"/>
                <w:sz w:val="16"/>
              </w:rPr>
              <w:t>Masked views, least privilege, and break-glass access controls</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Security administrator</w:t>
            </w:r>
          </w:p>
        </w:tc>
        <w:tc>
          <w:tcPr>
            <w:tcW w:type="dxa" w:w="2448"/>
            <w:tcMar>
              <w:top w:w="70" w:type="dxa"/>
              <w:start w:w="90" w:type="dxa"/>
              <w:bottom w:w="70" w:type="dxa"/>
              <w:end w:w="90" w:type="dxa"/>
            </w:tcMar>
            <w:shd w:fill="F5F7FA"/>
          </w:tcPr>
          <w:p>
            <w:pPr>
              <w:spacing w:after="0" w:line="240" w:lineRule="auto"/>
            </w:pPr>
            <w:r>
              <w:rPr>
                <w:rFonts w:ascii="Aptos" w:hAnsi="Aptos"/>
                <w:color w:val="1F2933"/>
                <w:sz w:val="16"/>
              </w:rPr>
              <w:t>Protect platform and respond to incidents</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Account takeover, data exfiltration, malicious uploads</w:t>
            </w:r>
          </w:p>
        </w:tc>
        <w:tc>
          <w:tcPr>
            <w:tcW w:type="dxa" w:w="3168"/>
            <w:tcMar>
              <w:top w:w="70" w:type="dxa"/>
              <w:start w:w="90" w:type="dxa"/>
              <w:bottom w:w="70" w:type="dxa"/>
              <w:end w:w="90" w:type="dxa"/>
            </w:tcMar>
            <w:shd w:fill="F5F7FA"/>
          </w:tcPr>
          <w:p>
            <w:pPr>
              <w:spacing w:after="0" w:line="240" w:lineRule="auto"/>
            </w:pPr>
            <w:r>
              <w:rPr>
                <w:rFonts w:ascii="Aptos" w:hAnsi="Aptos"/>
                <w:color w:val="1F2933"/>
                <w:sz w:val="16"/>
              </w:rPr>
              <w:t>Central audit, alerts, isolation, revocation, and deletion controls</w:t>
            </w:r>
          </w:p>
        </w:tc>
      </w:tr>
    </w:tbl>
    <w:p>
      <w:pPr>
        <w:spacing w:after="20"/>
      </w:pPr>
    </w:p>
    <w:p>
      <w:pPr>
        <w:pStyle w:val="Heading2"/>
        <w:keepNext/>
      </w:pPr>
      <w:r>
        <w:rPr>
          <w:rFonts w:ascii="Aptos Display" w:hAnsi="Aptos Display"/>
          <w:b/>
          <w:color w:val="245D8C"/>
          <w:sz w:val="26"/>
        </w:rPr>
        <w:t>5.2 Jobs to be done</w:t>
      </w:r>
    </w:p>
    <w:p>
      <w:pPr>
        <w:pStyle w:val="ListBullet"/>
        <w:spacing w:after="40" w:line="250" w:lineRule="auto"/>
        <w:ind w:left="0"/>
      </w:pPr>
      <w:r>
        <w:rPr>
          <w:rFonts w:ascii="Aptos" w:hAnsi="Aptos"/>
        </w:rPr>
        <w:t>When I receive a credit report, help me understand what each account and section means so I can make informed decisions.</w:t>
      </w:r>
    </w:p>
    <w:p>
      <w:pPr>
        <w:pStyle w:val="ListBullet"/>
        <w:spacing w:after="40" w:line="250" w:lineRule="auto"/>
        <w:ind w:left="0"/>
      </w:pPr>
      <w:r>
        <w:rPr>
          <w:rFonts w:ascii="Aptos" w:hAnsi="Aptos"/>
        </w:rPr>
        <w:t>When information differs across bureaus, show me the exact differences and whether the dates make the comparison meaningful.</w:t>
      </w:r>
    </w:p>
    <w:p>
      <w:pPr>
        <w:pStyle w:val="ListBullet"/>
        <w:spacing w:after="40" w:line="250" w:lineRule="auto"/>
        <w:ind w:left="0"/>
      </w:pPr>
      <w:r>
        <w:rPr>
          <w:rFonts w:ascii="Aptos" w:hAnsi="Aptos"/>
        </w:rPr>
        <w:t>When something looks wrong, tell me what documents or facts would verify it before I act.</w:t>
      </w:r>
    </w:p>
    <w:p>
      <w:pPr>
        <w:pStyle w:val="ListBullet"/>
        <w:spacing w:after="40" w:line="250" w:lineRule="auto"/>
        <w:ind w:left="0"/>
      </w:pPr>
      <w:r>
        <w:rPr>
          <w:rFonts w:ascii="Aptos" w:hAnsi="Aptos"/>
        </w:rPr>
        <w:t>When I do not recognize an account, address, or inquiry, help me distinguish a reporting mistake from possible identity theft.</w:t>
      </w:r>
    </w:p>
    <w:p>
      <w:pPr>
        <w:pStyle w:val="ListBullet"/>
        <w:spacing w:after="40" w:line="250" w:lineRule="auto"/>
        <w:ind w:left="0"/>
      </w:pPr>
      <w:r>
        <w:rPr>
          <w:rFonts w:ascii="Aptos" w:hAnsi="Aptos"/>
        </w:rPr>
        <w:t>When I have negative but accurate information, teach me constructive credit-building options rather than promising deletion.</w:t>
      </w:r>
    </w:p>
    <w:p>
      <w:pPr>
        <w:pStyle w:val="ListBullet"/>
        <w:spacing w:after="40" w:line="250" w:lineRule="auto"/>
        <w:ind w:left="0"/>
      </w:pPr>
      <w:r>
        <w:rPr>
          <w:rFonts w:ascii="Aptos" w:hAnsi="Aptos"/>
        </w:rPr>
        <w:t>When law or reporting guidance changes, ensure the analysis uses the approved version effective for my jurisdiction and analysis date.</w:t>
      </w:r>
    </w:p>
    <w:p>
      <w:pPr>
        <w:pStyle w:val="Heading2"/>
        <w:keepNext/>
        <w:pageBreakBefore/>
      </w:pPr>
      <w:r>
        <w:rPr>
          <w:rFonts w:ascii="Aptos Display" w:hAnsi="Aptos Display"/>
          <w:b/>
          <w:color w:val="245D8C"/>
          <w:sz w:val="26"/>
        </w:rPr>
        <w:t>5.3 Role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80" w:type="dxa"/>
              <w:start w:w="90" w:type="dxa"/>
              <w:bottom w:w="80" w:type="dxa"/>
              <w:end w:w="90" w:type="dxa"/>
            </w:tcMar>
            <w:vAlign w:val="center"/>
          </w:tcPr>
          <w:p>
            <w:pPr>
              <w:spacing w:after="0"/>
            </w:pPr>
            <w:r>
              <w:rPr>
                <w:rFonts w:ascii="Aptos" w:hAnsi="Aptos"/>
                <w:b/>
                <w:color w:val="FFFFFF"/>
                <w:sz w:val="16"/>
              </w:rPr>
              <w:t>Role</w:t>
            </w:r>
          </w:p>
        </w:tc>
        <w:tc>
          <w:tcPr>
            <w:tcW w:type="dxa" w:w="4320"/>
            <w:shd w:fill="17324D"/>
            <w:tcMar>
              <w:top w:w="80" w:type="dxa"/>
              <w:start w:w="90" w:type="dxa"/>
              <w:bottom w:w="80" w:type="dxa"/>
              <w:end w:w="90" w:type="dxa"/>
            </w:tcMar>
            <w:vAlign w:val="center"/>
          </w:tcPr>
          <w:p>
            <w:pPr>
              <w:spacing w:after="0"/>
            </w:pPr>
            <w:r>
              <w:rPr>
                <w:rFonts w:ascii="Aptos" w:hAnsi="Aptos"/>
                <w:b/>
                <w:color w:val="FFFFFF"/>
                <w:sz w:val="16"/>
              </w:rPr>
              <w:t>Permitted access</w:t>
            </w:r>
          </w:p>
        </w:tc>
        <w:tc>
          <w:tcPr>
            <w:tcW w:type="dxa" w:w="4032"/>
            <w:shd w:fill="17324D"/>
            <w:tcMar>
              <w:top w:w="80" w:type="dxa"/>
              <w:start w:w="90" w:type="dxa"/>
              <w:bottom w:w="80" w:type="dxa"/>
              <w:end w:w="90" w:type="dxa"/>
            </w:tcMar>
            <w:vAlign w:val="center"/>
          </w:tcPr>
          <w:p>
            <w:pPr>
              <w:spacing w:after="0"/>
            </w:pPr>
            <w:r>
              <w:rPr>
                <w:rFonts w:ascii="Aptos" w:hAnsi="Aptos"/>
                <w:b/>
                <w:color w:val="FFFFFF"/>
                <w:sz w:val="16"/>
              </w:rPr>
              <w:t>Explicitly prohibited</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Consumer</w:t>
            </w:r>
          </w:p>
        </w:tc>
        <w:tc>
          <w:tcPr>
            <w:tcW w:type="dxa" w:w="4320"/>
            <w:tcMar>
              <w:top w:w="70" w:type="dxa"/>
              <w:start w:w="90" w:type="dxa"/>
              <w:bottom w:w="70" w:type="dxa"/>
              <w:end w:w="90" w:type="dxa"/>
            </w:tcMar>
          </w:tcPr>
          <w:p>
            <w:pPr>
              <w:spacing w:after="0" w:line="240" w:lineRule="auto"/>
            </w:pPr>
            <w:r>
              <w:rPr>
                <w:rFonts w:ascii="Aptos" w:hAnsi="Aptos"/>
                <w:color w:val="1F2933"/>
                <w:sz w:val="16"/>
              </w:rPr>
              <w:t>Own documents, normalized records, findings, education, exports, deletion controls</w:t>
            </w:r>
          </w:p>
        </w:tc>
        <w:tc>
          <w:tcPr>
            <w:tcW w:type="dxa" w:w="4032"/>
            <w:tcMar>
              <w:top w:w="70" w:type="dxa"/>
              <w:start w:w="90" w:type="dxa"/>
              <w:bottom w:w="70" w:type="dxa"/>
              <w:end w:w="90" w:type="dxa"/>
            </w:tcMar>
          </w:tcPr>
          <w:p>
            <w:pPr>
              <w:spacing w:after="0" w:line="240" w:lineRule="auto"/>
            </w:pPr>
            <w:r>
              <w:rPr>
                <w:rFonts w:ascii="Aptos" w:hAnsi="Aptos"/>
                <w:color w:val="1F2933"/>
                <w:sz w:val="16"/>
              </w:rPr>
              <w:t>Other consumers; internal rules; unmasked administrative logs</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6"/>
              </w:rPr>
              <w:t>Support - masked</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6"/>
              </w:rPr>
              <w:t>Job status, parser errors, redacted source snippets</w:t>
            </w:r>
          </w:p>
        </w:tc>
        <w:tc>
          <w:tcPr>
            <w:tcW w:type="dxa" w:w="4032"/>
            <w:tcMar>
              <w:top w:w="70" w:type="dxa"/>
              <w:start w:w="90" w:type="dxa"/>
              <w:bottom w:w="70" w:type="dxa"/>
              <w:end w:w="90" w:type="dxa"/>
            </w:tcMar>
            <w:shd w:fill="F5F7FA"/>
          </w:tcPr>
          <w:p>
            <w:pPr>
              <w:spacing w:after="0" w:line="240" w:lineRule="auto"/>
            </w:pPr>
            <w:r>
              <w:rPr>
                <w:rFonts w:ascii="Aptos" w:hAnsi="Aptos"/>
                <w:color w:val="1F2933"/>
                <w:sz w:val="16"/>
              </w:rPr>
              <w:t>Full SSN/account number; bulk export; legal-rule approval</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Compliance reviewer</w:t>
            </w:r>
          </w:p>
        </w:tc>
        <w:tc>
          <w:tcPr>
            <w:tcW w:type="dxa" w:w="4320"/>
            <w:tcMar>
              <w:top w:w="70" w:type="dxa"/>
              <w:start w:w="90" w:type="dxa"/>
              <w:bottom w:w="70" w:type="dxa"/>
              <w:end w:w="90" w:type="dxa"/>
            </w:tcMar>
          </w:tcPr>
          <w:p>
            <w:pPr>
              <w:spacing w:after="0" w:line="240" w:lineRule="auto"/>
            </w:pPr>
            <w:r>
              <w:rPr>
                <w:rFonts w:ascii="Aptos" w:hAnsi="Aptos"/>
                <w:color w:val="1F2933"/>
                <w:sz w:val="16"/>
              </w:rPr>
              <w:t>Rules, authorities, synthetic fixtures, generated-language samples</w:t>
            </w:r>
          </w:p>
        </w:tc>
        <w:tc>
          <w:tcPr>
            <w:tcW w:type="dxa" w:w="4032"/>
            <w:tcMar>
              <w:top w:w="70" w:type="dxa"/>
              <w:start w:w="90" w:type="dxa"/>
              <w:bottom w:w="70" w:type="dxa"/>
              <w:end w:w="90" w:type="dxa"/>
            </w:tcMar>
          </w:tcPr>
          <w:p>
            <w:pPr>
              <w:spacing w:after="0" w:line="240" w:lineRule="auto"/>
            </w:pPr>
            <w:r>
              <w:rPr>
                <w:rFonts w:ascii="Aptos" w:hAnsi="Aptos"/>
                <w:color w:val="1F2933"/>
                <w:sz w:val="16"/>
              </w:rPr>
              <w:t>Production raw reports by default</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6"/>
              </w:rPr>
              <w:t>Security administrator</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6"/>
              </w:rPr>
              <w:t>Security telemetry, access events, revocation and incident tools</w:t>
            </w:r>
          </w:p>
        </w:tc>
        <w:tc>
          <w:tcPr>
            <w:tcW w:type="dxa" w:w="4032"/>
            <w:tcMar>
              <w:top w:w="70" w:type="dxa"/>
              <w:start w:w="90" w:type="dxa"/>
              <w:bottom w:w="70" w:type="dxa"/>
              <w:end w:w="90" w:type="dxa"/>
            </w:tcMar>
            <w:shd w:fill="F5F7FA"/>
          </w:tcPr>
          <w:p>
            <w:pPr>
              <w:spacing w:after="0" w:line="240" w:lineRule="auto"/>
            </w:pPr>
            <w:r>
              <w:rPr>
                <w:rFonts w:ascii="Aptos" w:hAnsi="Aptos"/>
                <w:color w:val="1F2933"/>
                <w:sz w:val="16"/>
              </w:rPr>
              <w:t>Routine content access without approved purpose</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Break-glass reviewer</w:t>
            </w:r>
          </w:p>
        </w:tc>
        <w:tc>
          <w:tcPr>
            <w:tcW w:type="dxa" w:w="4320"/>
            <w:tcMar>
              <w:top w:w="70" w:type="dxa"/>
              <w:start w:w="90" w:type="dxa"/>
              <w:bottom w:w="70" w:type="dxa"/>
              <w:end w:w="90" w:type="dxa"/>
            </w:tcMar>
          </w:tcPr>
          <w:p>
            <w:pPr>
              <w:spacing w:after="0" w:line="240" w:lineRule="auto"/>
            </w:pPr>
            <w:r>
              <w:rPr>
                <w:rFonts w:ascii="Aptos" w:hAnsi="Aptos"/>
                <w:color w:val="1F2933"/>
                <w:sz w:val="16"/>
              </w:rPr>
              <w:t>Time-bound access to a specific case after documented approval</w:t>
            </w:r>
          </w:p>
        </w:tc>
        <w:tc>
          <w:tcPr>
            <w:tcW w:type="dxa" w:w="4032"/>
            <w:tcMar>
              <w:top w:w="70" w:type="dxa"/>
              <w:start w:w="90" w:type="dxa"/>
              <w:bottom w:w="70" w:type="dxa"/>
              <w:end w:w="90" w:type="dxa"/>
            </w:tcMar>
          </w:tcPr>
          <w:p>
            <w:pPr>
              <w:spacing w:after="0" w:line="240" w:lineRule="auto"/>
            </w:pPr>
            <w:r>
              <w:rPr>
                <w:rFonts w:ascii="Aptos" w:hAnsi="Aptos"/>
                <w:color w:val="1F2933"/>
                <w:sz w:val="16"/>
              </w:rPr>
              <w:t>Persistent access; local download; unlogged activity</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6"/>
              </w:rPr>
              <w:t>Service worker</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6"/>
              </w:rPr>
              <w:t>Job-scoped access to required files and records</w:t>
            </w:r>
          </w:p>
        </w:tc>
        <w:tc>
          <w:tcPr>
            <w:tcW w:type="dxa" w:w="4032"/>
            <w:tcMar>
              <w:top w:w="70" w:type="dxa"/>
              <w:start w:w="90" w:type="dxa"/>
              <w:bottom w:w="70" w:type="dxa"/>
              <w:end w:w="90" w:type="dxa"/>
            </w:tcMar>
            <w:shd w:fill="F5F7FA"/>
          </w:tcPr>
          <w:p>
            <w:pPr>
              <w:spacing w:after="0" w:line="240" w:lineRule="auto"/>
            </w:pPr>
            <w:r>
              <w:rPr>
                <w:rFonts w:ascii="Aptos" w:hAnsi="Aptos"/>
                <w:color w:val="1F2933"/>
                <w:sz w:val="16"/>
              </w:rPr>
              <w:t>Human-interactive credentials; cross-tenant data</w:t>
            </w:r>
          </w:p>
        </w:tc>
      </w:tr>
    </w:tbl>
    <w:p>
      <w:pPr>
        <w:spacing w:after="20"/>
      </w:pPr>
    </w:p>
    <w:p>
      <w:pPr>
        <w:pStyle w:val="Heading1"/>
        <w:pageBreakBefore/>
      </w:pPr>
      <w:r>
        <w:rPr>
          <w:rFonts w:ascii="Aptos Display" w:hAnsi="Aptos Display"/>
          <w:b/>
          <w:color w:val="17324D"/>
          <w:sz w:val="36"/>
        </w:rPr>
        <w:t>6. End-to-End User Journeys</w:t>
      </w:r>
    </w:p>
    <w:p>
      <w:pPr>
        <w:pStyle w:val="Heading2"/>
        <w:keepNext/>
      </w:pPr>
      <w:r>
        <w:rPr>
          <w:rFonts w:ascii="Aptos Display" w:hAnsi="Aptos Display"/>
          <w:b/>
          <w:color w:val="245D8C"/>
          <w:sz w:val="26"/>
        </w:rPr>
        <w:t>6.1 Primary consumer journey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7"/>
              </w:rPr>
              <w:t>Step</w:t>
            </w:r>
          </w:p>
        </w:tc>
        <w:tc>
          <w:tcPr>
            <w:tcW w:type="dxa" w:w="2232"/>
            <w:shd w:fill="17324D"/>
            <w:tcMar>
              <w:top w:w="80" w:type="dxa"/>
              <w:start w:w="90" w:type="dxa"/>
              <w:bottom w:w="80" w:type="dxa"/>
              <w:end w:w="90" w:type="dxa"/>
            </w:tcMar>
            <w:vAlign w:val="center"/>
          </w:tcPr>
          <w:p>
            <w:pPr>
              <w:spacing w:after="0"/>
            </w:pPr>
            <w:r>
              <w:rPr>
                <w:rFonts w:ascii="Aptos" w:hAnsi="Aptos"/>
                <w:b/>
                <w:color w:val="FFFFFF"/>
                <w:sz w:val="17"/>
              </w:rPr>
              <w:t>Journey stage</w:t>
            </w:r>
          </w:p>
        </w:tc>
        <w:tc>
          <w:tcPr>
            <w:tcW w:type="dxa" w:w="6984"/>
            <w:shd w:fill="17324D"/>
            <w:tcMar>
              <w:top w:w="80" w:type="dxa"/>
              <w:start w:w="90" w:type="dxa"/>
              <w:bottom w:w="80" w:type="dxa"/>
              <w:end w:w="90" w:type="dxa"/>
            </w:tcMar>
            <w:vAlign w:val="center"/>
          </w:tcPr>
          <w:p>
            <w:pPr>
              <w:spacing w:after="0"/>
            </w:pPr>
            <w:r>
              <w:rPr>
                <w:rFonts w:ascii="Aptos" w:hAnsi="Aptos"/>
                <w:b/>
                <w:color w:val="FFFFFF"/>
                <w:sz w:val="17"/>
              </w:rPr>
              <w:t>Required outcome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J-01</w:t>
            </w:r>
          </w:p>
        </w:tc>
        <w:tc>
          <w:tcPr>
            <w:tcW w:type="dxa" w:w="2232"/>
            <w:tcMar>
              <w:top w:w="70" w:type="dxa"/>
              <w:start w:w="90" w:type="dxa"/>
              <w:bottom w:w="70" w:type="dxa"/>
              <w:end w:w="90" w:type="dxa"/>
            </w:tcMar>
          </w:tcPr>
          <w:p>
            <w:pPr>
              <w:spacing w:after="0" w:line="240" w:lineRule="auto"/>
            </w:pPr>
            <w:r>
              <w:rPr>
                <w:rFonts w:ascii="Aptos" w:hAnsi="Aptos"/>
                <w:color w:val="1F2933"/>
                <w:sz w:val="17"/>
              </w:rPr>
              <w:t>Onboarding and consent</w:t>
            </w:r>
          </w:p>
        </w:tc>
        <w:tc>
          <w:tcPr>
            <w:tcW w:type="dxa" w:w="6984"/>
            <w:tcMar>
              <w:top w:w="70" w:type="dxa"/>
              <w:start w:w="90" w:type="dxa"/>
              <w:bottom w:w="70" w:type="dxa"/>
              <w:end w:w="90" w:type="dxa"/>
            </w:tcMar>
          </w:tcPr>
          <w:p>
            <w:pPr>
              <w:spacing w:after="0" w:line="240" w:lineRule="auto"/>
            </w:pPr>
            <w:r>
              <w:rPr>
                <w:rFonts w:ascii="Aptos" w:hAnsi="Aptos"/>
                <w:color w:val="1F2933"/>
                <w:sz w:val="17"/>
              </w:rPr>
              <w:t>User confirms age, U.S. consumer scope, ownership/authorization, educational nature, sensitive-data handling, and jurisdiction.</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J-02</w:t>
            </w:r>
          </w:p>
        </w:tc>
        <w:tc>
          <w:tcPr>
            <w:tcW w:type="dxa" w:w="2232"/>
            <w:tcMar>
              <w:top w:w="70" w:type="dxa"/>
              <w:start w:w="90" w:type="dxa"/>
              <w:bottom w:w="70" w:type="dxa"/>
              <w:end w:w="90" w:type="dxa"/>
            </w:tcMar>
            <w:shd w:fill="F5F7FA"/>
          </w:tcPr>
          <w:p>
            <w:pPr>
              <w:spacing w:after="0" w:line="240" w:lineRule="auto"/>
            </w:pPr>
            <w:r>
              <w:rPr>
                <w:rFonts w:ascii="Aptos" w:hAnsi="Aptos"/>
                <w:color w:val="1F2933"/>
                <w:sz w:val="17"/>
              </w:rPr>
              <w:t>Secure upload</w:t>
            </w:r>
          </w:p>
        </w:tc>
        <w:tc>
          <w:tcPr>
            <w:tcW w:type="dxa" w:w="6984"/>
            <w:tcMar>
              <w:top w:w="70" w:type="dxa"/>
              <w:start w:w="90" w:type="dxa"/>
              <w:bottom w:w="70" w:type="dxa"/>
              <w:end w:w="90" w:type="dxa"/>
            </w:tcMar>
            <w:shd w:fill="F5F7FA"/>
          </w:tcPr>
          <w:p>
            <w:pPr>
              <w:spacing w:after="0" w:line="240" w:lineRule="auto"/>
            </w:pPr>
            <w:r>
              <w:rPr>
                <w:rFonts w:ascii="Aptos" w:hAnsi="Aptos"/>
                <w:color w:val="1F2933"/>
                <w:sz w:val="17"/>
              </w:rPr>
              <w:t>User uploads PDF or HTML. System validates type, scans content, stores privately, and creates a processing job.</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J-03</w:t>
            </w:r>
          </w:p>
        </w:tc>
        <w:tc>
          <w:tcPr>
            <w:tcW w:type="dxa" w:w="2232"/>
            <w:tcMar>
              <w:top w:w="70" w:type="dxa"/>
              <w:start w:w="90" w:type="dxa"/>
              <w:bottom w:w="70" w:type="dxa"/>
              <w:end w:w="90" w:type="dxa"/>
            </w:tcMar>
          </w:tcPr>
          <w:p>
            <w:pPr>
              <w:spacing w:after="0" w:line="240" w:lineRule="auto"/>
            </w:pPr>
            <w:r>
              <w:rPr>
                <w:rFonts w:ascii="Aptos" w:hAnsi="Aptos"/>
                <w:color w:val="1F2933"/>
                <w:sz w:val="17"/>
              </w:rPr>
              <w:t>Processing status</w:t>
            </w:r>
          </w:p>
        </w:tc>
        <w:tc>
          <w:tcPr>
            <w:tcW w:type="dxa" w:w="6984"/>
            <w:tcMar>
              <w:top w:w="70" w:type="dxa"/>
              <w:start w:w="90" w:type="dxa"/>
              <w:bottom w:w="70" w:type="dxa"/>
              <w:end w:w="90" w:type="dxa"/>
            </w:tcMar>
          </w:tcPr>
          <w:p>
            <w:pPr>
              <w:spacing w:after="0" w:line="240" w:lineRule="auto"/>
            </w:pPr>
            <w:r>
              <w:rPr>
                <w:rFonts w:ascii="Aptos" w:hAnsi="Aptos"/>
                <w:color w:val="1F2933"/>
                <w:sz w:val="17"/>
              </w:rPr>
              <w:t>User sees stage-level progress and actionable failure messages without revealing internal security details.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J-04</w:t>
            </w:r>
          </w:p>
        </w:tc>
        <w:tc>
          <w:tcPr>
            <w:tcW w:type="dxa" w:w="2232"/>
            <w:tcMar>
              <w:top w:w="70" w:type="dxa"/>
              <w:start w:w="90" w:type="dxa"/>
              <w:bottom w:w="70" w:type="dxa"/>
              <w:end w:w="90" w:type="dxa"/>
            </w:tcMar>
            <w:shd w:fill="F5F7FA"/>
          </w:tcPr>
          <w:p>
            <w:pPr>
              <w:spacing w:after="0" w:line="240" w:lineRule="auto"/>
            </w:pPr>
            <w:r>
              <w:rPr>
                <w:rFonts w:ascii="Aptos" w:hAnsi="Aptos"/>
                <w:color w:val="1F2933"/>
                <w:sz w:val="17"/>
              </w:rPr>
              <w:t>Data review</w:t>
            </w:r>
          </w:p>
        </w:tc>
        <w:tc>
          <w:tcPr>
            <w:tcW w:type="dxa" w:w="6984"/>
            <w:tcMar>
              <w:top w:w="70" w:type="dxa"/>
              <w:start w:w="90" w:type="dxa"/>
              <w:bottom w:w="70" w:type="dxa"/>
              <w:end w:w="90" w:type="dxa"/>
            </w:tcMar>
            <w:shd w:fill="F5F7FA"/>
          </w:tcPr>
          <w:p>
            <w:pPr>
              <w:spacing w:after="0" w:line="240" w:lineRule="auto"/>
            </w:pPr>
            <w:r>
              <w:rPr>
                <w:rFonts w:ascii="Aptos" w:hAnsi="Aptos"/>
                <w:color w:val="1F2933"/>
                <w:sz w:val="17"/>
              </w:rPr>
              <w:t>User reviews personal information, accounts, collections, inquiries, and bureau assignments with source-page links.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J-05</w:t>
            </w:r>
          </w:p>
        </w:tc>
        <w:tc>
          <w:tcPr>
            <w:tcW w:type="dxa" w:w="2232"/>
            <w:tcMar>
              <w:top w:w="70" w:type="dxa"/>
              <w:start w:w="90" w:type="dxa"/>
              <w:bottom w:w="70" w:type="dxa"/>
              <w:end w:w="90" w:type="dxa"/>
            </w:tcMar>
          </w:tcPr>
          <w:p>
            <w:pPr>
              <w:spacing w:after="0" w:line="240" w:lineRule="auto"/>
            </w:pPr>
            <w:r>
              <w:rPr>
                <w:rFonts w:ascii="Aptos" w:hAnsi="Aptos"/>
                <w:color w:val="1F2933"/>
                <w:sz w:val="17"/>
              </w:rPr>
              <w:t>User confirmation</w:t>
            </w:r>
          </w:p>
        </w:tc>
        <w:tc>
          <w:tcPr>
            <w:tcW w:type="dxa" w:w="6984"/>
            <w:tcMar>
              <w:top w:w="70" w:type="dxa"/>
              <w:start w:w="90" w:type="dxa"/>
              <w:bottom w:w="70" w:type="dxa"/>
              <w:end w:w="90" w:type="dxa"/>
            </w:tcMar>
          </w:tcPr>
          <w:p>
            <w:pPr>
              <w:spacing w:after="0" w:line="240" w:lineRule="auto"/>
            </w:pPr>
            <w:r>
              <w:rPr>
                <w:rFonts w:ascii="Aptos" w:hAnsi="Aptos"/>
                <w:color w:val="1F2933"/>
                <w:sz w:val="17"/>
              </w:rPr>
              <w:t>System asks only high-value questions needed to interpret unfamiliar data, account matching, disputes, bankruptcy, or inquiries.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J-06</w:t>
            </w:r>
          </w:p>
        </w:tc>
        <w:tc>
          <w:tcPr>
            <w:tcW w:type="dxa" w:w="2232"/>
            <w:tcMar>
              <w:top w:w="70" w:type="dxa"/>
              <w:start w:w="90" w:type="dxa"/>
              <w:bottom w:w="70" w:type="dxa"/>
              <w:end w:w="90" w:type="dxa"/>
            </w:tcMar>
            <w:shd w:fill="F5F7FA"/>
          </w:tcPr>
          <w:p>
            <w:pPr>
              <w:spacing w:after="0" w:line="240" w:lineRule="auto"/>
            </w:pPr>
            <w:r>
              <w:rPr>
                <w:rFonts w:ascii="Aptos" w:hAnsi="Aptos"/>
                <w:color w:val="1F2933"/>
                <w:sz w:val="17"/>
              </w:rPr>
              <w:t>Analysis</w:t>
            </w:r>
          </w:p>
        </w:tc>
        <w:tc>
          <w:tcPr>
            <w:tcW w:type="dxa" w:w="6984"/>
            <w:tcMar>
              <w:top w:w="70" w:type="dxa"/>
              <w:start w:w="90" w:type="dxa"/>
              <w:bottom w:w="70" w:type="dxa"/>
              <w:end w:w="90" w:type="dxa"/>
            </w:tcMar>
            <w:shd w:fill="F5F7FA"/>
          </w:tcPr>
          <w:p>
            <w:pPr>
              <w:spacing w:after="0" w:line="240" w:lineRule="auto"/>
            </w:pPr>
            <w:r>
              <w:rPr>
                <w:rFonts w:ascii="Aptos" w:hAnsi="Aptos"/>
                <w:color w:val="1F2933"/>
                <w:sz w:val="17"/>
              </w:rPr>
              <w:t>Versioned rules evaluate the approved normalized data and user facts. Weak findings are suppressed.</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J-07</w:t>
            </w:r>
          </w:p>
        </w:tc>
        <w:tc>
          <w:tcPr>
            <w:tcW w:type="dxa" w:w="2232"/>
            <w:tcMar>
              <w:top w:w="70" w:type="dxa"/>
              <w:start w:w="90" w:type="dxa"/>
              <w:bottom w:w="70" w:type="dxa"/>
              <w:end w:w="90" w:type="dxa"/>
            </w:tcMar>
          </w:tcPr>
          <w:p>
            <w:pPr>
              <w:spacing w:after="0" w:line="240" w:lineRule="auto"/>
            </w:pPr>
            <w:r>
              <w:rPr>
                <w:rFonts w:ascii="Aptos" w:hAnsi="Aptos"/>
                <w:color w:val="1F2933"/>
                <w:sz w:val="17"/>
              </w:rPr>
              <w:t>Report review</w:t>
            </w:r>
          </w:p>
        </w:tc>
        <w:tc>
          <w:tcPr>
            <w:tcW w:type="dxa" w:w="6984"/>
            <w:tcMar>
              <w:top w:w="70" w:type="dxa"/>
              <w:start w:w="90" w:type="dxa"/>
              <w:bottom w:w="70" w:type="dxa"/>
              <w:end w:w="90" w:type="dxa"/>
            </w:tcMar>
          </w:tcPr>
          <w:p>
            <w:pPr>
              <w:spacing w:after="0" w:line="240" w:lineRule="auto"/>
            </w:pPr>
            <w:r>
              <w:rPr>
                <w:rFonts w:ascii="Aptos" w:hAnsi="Aptos"/>
                <w:color w:val="1F2933"/>
                <w:sz w:val="17"/>
              </w:rPr>
              <w:t>User receives an overview, prioritized findings, alternative explanations, evidence, educational modules, and next steps.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7"/>
              </w:rPr>
              <w:t>J-08</w:t>
            </w:r>
          </w:p>
        </w:tc>
        <w:tc>
          <w:tcPr>
            <w:tcW w:type="dxa" w:w="2232"/>
            <w:tcMar>
              <w:top w:w="70" w:type="dxa"/>
              <w:start w:w="90" w:type="dxa"/>
              <w:bottom w:w="70" w:type="dxa"/>
              <w:end w:w="90" w:type="dxa"/>
            </w:tcMar>
            <w:shd w:fill="F5F7FA"/>
          </w:tcPr>
          <w:p>
            <w:pPr>
              <w:spacing w:after="0" w:line="240" w:lineRule="auto"/>
            </w:pPr>
            <w:r>
              <w:rPr>
                <w:rFonts w:ascii="Aptos" w:hAnsi="Aptos"/>
                <w:color w:val="1F2933"/>
                <w:sz w:val="17"/>
              </w:rPr>
              <w:t>Action workspace</w:t>
            </w:r>
          </w:p>
        </w:tc>
        <w:tc>
          <w:tcPr>
            <w:tcW w:type="dxa" w:w="6984"/>
            <w:tcMar>
              <w:top w:w="70" w:type="dxa"/>
              <w:start w:w="90" w:type="dxa"/>
              <w:bottom w:w="70" w:type="dxa"/>
              <w:end w:w="90" w:type="dxa"/>
            </w:tcMar>
            <w:shd w:fill="F5F7FA"/>
          </w:tcPr>
          <w:p>
            <w:pPr>
              <w:spacing w:after="0" w:line="240" w:lineRule="auto"/>
            </w:pPr>
            <w:r>
              <w:rPr>
                <w:rFonts w:ascii="Aptos" w:hAnsi="Aptos"/>
                <w:color w:val="1F2933"/>
                <w:sz w:val="17"/>
              </w:rPr>
              <w:t>User can mark items as recognized, gather documents, track actions, or dismiss findings with a reason.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7"/>
              </w:rPr>
              <w:t>J-09</w:t>
            </w:r>
          </w:p>
        </w:tc>
        <w:tc>
          <w:tcPr>
            <w:tcW w:type="dxa" w:w="2232"/>
            <w:tcMar>
              <w:top w:w="70" w:type="dxa"/>
              <w:start w:w="90" w:type="dxa"/>
              <w:bottom w:w="70" w:type="dxa"/>
              <w:end w:w="90" w:type="dxa"/>
            </w:tcMar>
          </w:tcPr>
          <w:p>
            <w:pPr>
              <w:spacing w:after="0" w:line="240" w:lineRule="auto"/>
            </w:pPr>
            <w:r>
              <w:rPr>
                <w:rFonts w:ascii="Aptos" w:hAnsi="Aptos"/>
                <w:color w:val="1F2933"/>
                <w:sz w:val="17"/>
              </w:rPr>
              <w:t>Export and retention</w:t>
            </w:r>
          </w:p>
        </w:tc>
        <w:tc>
          <w:tcPr>
            <w:tcW w:type="dxa" w:w="6984"/>
            <w:tcMar>
              <w:top w:w="70" w:type="dxa"/>
              <w:start w:w="90" w:type="dxa"/>
              <w:bottom w:w="70" w:type="dxa"/>
              <w:end w:w="90" w:type="dxa"/>
            </w:tcMar>
          </w:tcPr>
          <w:p>
            <w:pPr>
              <w:spacing w:after="0" w:line="240" w:lineRule="auto"/>
            </w:pPr>
            <w:r>
              <w:rPr>
                <w:rFonts w:ascii="Aptos" w:hAnsi="Aptos"/>
                <w:color w:val="1F2933"/>
                <w:sz w:val="17"/>
              </w:rPr>
              <w:t>User exports a sanitized report and can delete the original, derived data, or full account according to policy.</w:t>
            </w:r>
          </w:p>
        </w:tc>
      </w:tr>
    </w:tbl>
    <w:p>
      <w:pPr>
        <w:spacing w:after="20"/>
      </w:pPr>
    </w:p>
    <w:p>
      <w:pPr>
        <w:pStyle w:val="Heading2"/>
        <w:keepNext/>
      </w:pPr>
      <w:r>
        <w:rPr>
          <w:rFonts w:ascii="Aptos Display" w:hAnsi="Aptos Display"/>
          <w:b/>
          <w:color w:val="245D8C"/>
          <w:sz w:val="26"/>
        </w:rPr>
        <w:t>6.2 Administrative rule lifecycle</w:t>
      </w:r>
    </w:p>
    <w:p>
      <w:pPr>
        <w:pStyle w:val="ListNumber"/>
        <w:spacing w:after="40"/>
      </w:pPr>
      <w:r>
        <w:rPr>
          <w:rFonts w:ascii="Aptos" w:hAnsi="Aptos"/>
        </w:rPr>
        <w:t>Reviewer creates or updates a proposed rule or authority record outside the active production ruleset.</w:t>
      </w:r>
    </w:p>
    <w:p>
      <w:pPr>
        <w:pStyle w:val="ListNumber"/>
        <w:spacing w:after="40"/>
      </w:pPr>
      <w:r>
        <w:rPr>
          <w:rFonts w:ascii="Aptos" w:hAnsi="Aptos"/>
        </w:rPr>
        <w:t>Rule includes jurisdiction, effective dates, evidence prerequisites, limitations, severity, user questions, educational references, and test cases.</w:t>
      </w:r>
    </w:p>
    <w:p>
      <w:pPr>
        <w:pStyle w:val="ListNumber"/>
        <w:spacing w:after="40"/>
      </w:pPr>
      <w:r>
        <w:rPr>
          <w:rFonts w:ascii="Aptos" w:hAnsi="Aptos"/>
        </w:rPr>
        <w:t>Engineering validates rule schema and executes automated regression tests against synthetic and expert-labeled fixtures.</w:t>
      </w:r>
    </w:p>
    <w:p>
      <w:pPr>
        <w:pStyle w:val="ListNumber"/>
        <w:spacing w:after="40"/>
      </w:pPr>
      <w:r>
        <w:rPr>
          <w:rFonts w:ascii="Aptos" w:hAnsi="Aptos"/>
        </w:rPr>
        <w:t>Qualified reviewer approves, rejects, or requests revision; approval identity and timestamp are immutable.</w:t>
      </w:r>
    </w:p>
    <w:p>
      <w:pPr>
        <w:pStyle w:val="ListNumber"/>
        <w:spacing w:after="40"/>
      </w:pPr>
      <w:r>
        <w:rPr>
          <w:rFonts w:ascii="Aptos" w:hAnsi="Aptos"/>
        </w:rPr>
        <w:t>Release manager publishes a versioned ruleset. Existing analyses do not silently change.</w:t>
      </w:r>
    </w:p>
    <w:p>
      <w:pPr>
        <w:pStyle w:val="ListNumber"/>
        <w:spacing w:after="40"/>
      </w:pPr>
      <w:r>
        <w:rPr>
          <w:rFonts w:ascii="Aptos" w:hAnsi="Aptos"/>
        </w:rPr>
        <w:t>Material legal changes can disable a rule immediately and identify prior analyses eligible for reanalysis.</w:t>
      </w:r>
    </w:p>
    <w:p>
      <w:pPr>
        <w:pStyle w:val="Heading1"/>
        <w:pageBreakBefore/>
      </w:pPr>
      <w:r>
        <w:rPr>
          <w:rFonts w:ascii="Aptos Display" w:hAnsi="Aptos Display"/>
          <w:b/>
          <w:color w:val="17324D"/>
          <w:sz w:val="36"/>
        </w:rPr>
        <w:t>7. Functional Requirements</w:t>
      </w:r>
    </w:p>
    <w:p>
      <w:pPr>
        <w:pStyle w:val="Heading2"/>
        <w:keepNext/>
      </w:pPr>
      <w:r>
        <w:rPr>
          <w:rFonts w:ascii="Aptos Display" w:hAnsi="Aptos Display"/>
          <w:b/>
          <w:color w:val="245D8C"/>
          <w:sz w:val="26"/>
        </w:rPr>
        <w:t>7.1 Onboarding, authorization, and account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6"/>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6"/>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6"/>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6"/>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FR-001</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Require adult U.S. consumer confirmation and report ownership or lawful authorization before upload.</w:t>
            </w:r>
          </w:p>
        </w:tc>
        <w:tc>
          <w:tcPr>
            <w:tcW w:type="dxa" w:w="3816"/>
            <w:tcMar>
              <w:top w:w="70" w:type="dxa"/>
              <w:start w:w="90" w:type="dxa"/>
              <w:bottom w:w="70" w:type="dxa"/>
              <w:end w:w="90" w:type="dxa"/>
            </w:tcMar>
          </w:tcPr>
          <w:p>
            <w:pPr>
              <w:spacing w:after="0" w:line="240" w:lineRule="auto"/>
            </w:pPr>
            <w:r>
              <w:rPr>
                <w:rFonts w:ascii="Aptos" w:hAnsi="Aptos"/>
                <w:color w:val="1F2933"/>
                <w:sz w:val="16"/>
              </w:rPr>
              <w:t>No upload token is issued until all required consents are recorded with version and timestamp.</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FR-002</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Capture user state of residence and analysis jurisdiction without using location inference as the sole source.</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Jurisdiction is explicitly confirmed and included in every analysis run.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FR-003</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Explain the product boundary before purchase and upload.</w:t>
            </w:r>
          </w:p>
        </w:tc>
        <w:tc>
          <w:tcPr>
            <w:tcW w:type="dxa" w:w="3816"/>
            <w:tcMar>
              <w:top w:w="70" w:type="dxa"/>
              <w:start w:w="90" w:type="dxa"/>
              <w:bottom w:w="70" w:type="dxa"/>
              <w:end w:w="90" w:type="dxa"/>
            </w:tcMar>
          </w:tcPr>
          <w:p>
            <w:pPr>
              <w:spacing w:after="0" w:line="240" w:lineRule="auto"/>
            </w:pPr>
            <w:r>
              <w:rPr>
                <w:rFonts w:ascii="Aptos" w:hAnsi="Aptos"/>
                <w:color w:val="1F2933"/>
                <w:sz w:val="16"/>
              </w:rPr>
              <w:t>User sees that results are educational, not a legal verdict or score guarantee.</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FR-004</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Support secure sign-in, session revocation, passwordless or strong-password methods, and optional MFA.</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Security tests confirm session expiry, revocation, and tenant separation.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FR-005</w:t>
            </w:r>
          </w:p>
        </w:tc>
        <w:tc>
          <w:tcPr>
            <w:tcW w:type="dxa" w:w="936"/>
            <w:tcMar>
              <w:top w:w="70" w:type="dxa"/>
              <w:start w:w="90" w:type="dxa"/>
              <w:bottom w:w="70" w:type="dxa"/>
              <w:end w:w="90" w:type="dxa"/>
            </w:tcMar>
          </w:tcPr>
          <w:p>
            <w:pPr>
              <w:spacing w:after="0" w:line="240" w:lineRule="auto"/>
            </w:pPr>
            <w:r>
              <w:rPr>
                <w:rFonts w:ascii="Aptos" w:hAnsi="Aptos"/>
                <w:color w:val="1F2933"/>
                <w:sz w:val="16"/>
              </w:rPr>
              <w:t>P1</w:t>
            </w:r>
          </w:p>
        </w:tc>
        <w:tc>
          <w:tcPr>
            <w:tcW w:type="dxa" w:w="4464"/>
            <w:tcMar>
              <w:top w:w="70" w:type="dxa"/>
              <w:start w:w="90" w:type="dxa"/>
              <w:bottom w:w="70" w:type="dxa"/>
              <w:end w:w="90" w:type="dxa"/>
            </w:tcMar>
          </w:tcPr>
          <w:p>
            <w:pPr>
              <w:spacing w:after="0" w:line="240" w:lineRule="auto"/>
            </w:pPr>
            <w:r>
              <w:rPr>
                <w:rFonts w:ascii="Aptos" w:hAnsi="Aptos"/>
                <w:color w:val="1F2933"/>
                <w:sz w:val="16"/>
              </w:rPr>
              <w:t>Permit a user to use an alias/display name in the product while retaining only necessary billing/legal identifiers.</w:t>
            </w:r>
          </w:p>
        </w:tc>
        <w:tc>
          <w:tcPr>
            <w:tcW w:type="dxa" w:w="3816"/>
            <w:tcMar>
              <w:top w:w="70" w:type="dxa"/>
              <w:start w:w="90" w:type="dxa"/>
              <w:bottom w:w="70" w:type="dxa"/>
              <w:end w:w="90" w:type="dxa"/>
            </w:tcMar>
          </w:tcPr>
          <w:p>
            <w:pPr>
              <w:spacing w:after="0" w:line="240" w:lineRule="auto"/>
            </w:pPr>
            <w:r>
              <w:rPr>
                <w:rFonts w:ascii="Aptos" w:hAnsi="Aptos"/>
                <w:color w:val="1F2933"/>
                <w:sz w:val="16"/>
              </w:rPr>
              <w:t>Display name is separated from sensitive report data and is editable.</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FR-006</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Provide account and data deletion controls.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User can request deletion and receive a completion status covering originals and derivatives.</w:t>
            </w:r>
          </w:p>
        </w:tc>
      </w:tr>
    </w:tbl>
    <w:p>
      <w:pPr>
        <w:spacing w:after="20"/>
      </w:pPr>
    </w:p>
    <w:p>
      <w:pPr>
        <w:pStyle w:val="Heading2"/>
        <w:keepNext/>
      </w:pPr>
      <w:r>
        <w:rPr>
          <w:rFonts w:ascii="Aptos Display" w:hAnsi="Aptos Display"/>
          <w:b/>
          <w:color w:val="245D8C"/>
          <w:sz w:val="26"/>
        </w:rPr>
        <w:t>7.2 Document upload and ingestion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6"/>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6"/>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6"/>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6"/>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FR-010</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Accept native-text PDF and static HTML files; reject unsupported types using content-based validation.</w:t>
            </w:r>
          </w:p>
        </w:tc>
        <w:tc>
          <w:tcPr>
            <w:tcW w:type="dxa" w:w="3816"/>
            <w:tcMar>
              <w:top w:w="70" w:type="dxa"/>
              <w:start w:w="90" w:type="dxa"/>
              <w:bottom w:w="70" w:type="dxa"/>
              <w:end w:w="90" w:type="dxa"/>
            </w:tcMar>
          </w:tcPr>
          <w:p>
            <w:pPr>
              <w:spacing w:after="0" w:line="240" w:lineRule="auto"/>
            </w:pPr>
            <w:r>
              <w:rPr>
                <w:rFonts w:ascii="Aptos" w:hAnsi="Aptos"/>
                <w:color w:val="1F2933"/>
                <w:sz w:val="16"/>
              </w:rPr>
              <w:t>File signature, MIME, extension, and parser result are consistent; mismatch is quarantined.</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FR-011</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Use a private bucket and short-lived signed access; never expose a persistent public URL.</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Unauthorized and expired URL tests fail closed.</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FR-012</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Run malware scanning and HTML active-content stripping before parsing.</w:t>
            </w:r>
          </w:p>
        </w:tc>
        <w:tc>
          <w:tcPr>
            <w:tcW w:type="dxa" w:w="3816"/>
            <w:tcMar>
              <w:top w:w="70" w:type="dxa"/>
              <w:start w:w="90" w:type="dxa"/>
              <w:bottom w:w="70" w:type="dxa"/>
              <w:end w:w="90" w:type="dxa"/>
            </w:tcMar>
          </w:tcPr>
          <w:p>
            <w:pPr>
              <w:spacing w:after="0" w:line="240" w:lineRule="auto"/>
            </w:pPr>
            <w:r>
              <w:rPr>
                <w:rFonts w:ascii="Aptos" w:hAnsi="Aptos"/>
                <w:color w:val="1F2933"/>
                <w:sz w:val="16"/>
              </w:rPr>
              <w:t>Known test malware and script payloads are quarantined and cannot reach the parser or browser.</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FR-013</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Hash the original document and create immutable ingestion metadata.</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Hash, size, media type, upload actor, scan status, and retention class are recorded.</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FR-014</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Limit file count, size, page count, nesting, compression ratio, and processing time.</w:t>
            </w:r>
          </w:p>
        </w:tc>
        <w:tc>
          <w:tcPr>
            <w:tcW w:type="dxa" w:w="3816"/>
            <w:tcMar>
              <w:top w:w="70" w:type="dxa"/>
              <w:start w:w="90" w:type="dxa"/>
              <w:bottom w:w="70" w:type="dxa"/>
              <w:end w:w="90" w:type="dxa"/>
            </w:tcMar>
          </w:tcPr>
          <w:p>
            <w:pPr>
              <w:spacing w:after="0" w:line="240" w:lineRule="auto"/>
            </w:pPr>
            <w:r>
              <w:rPr>
                <w:rFonts w:ascii="Aptos" w:hAnsi="Aptos"/>
                <w:color w:val="1F2933"/>
                <w:sz w:val="16"/>
              </w:rPr>
              <w:t>Zip bombs, decompression bombs, oversized files, and pathological PDFs are rejected safely.</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FR-015</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P1</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Support scanned-PDF OCR through a provider-neutral interface.</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OCR is invoked only after embedded-text quality checks fail and output retains page coordinates.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FR-016</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Handle encrypted or password-protected PDFs without storing passwords in logs or durable plaintext.</w:t>
            </w:r>
          </w:p>
        </w:tc>
        <w:tc>
          <w:tcPr>
            <w:tcW w:type="dxa" w:w="3816"/>
            <w:tcMar>
              <w:top w:w="70" w:type="dxa"/>
              <w:start w:w="90" w:type="dxa"/>
              <w:bottom w:w="70" w:type="dxa"/>
              <w:end w:w="90" w:type="dxa"/>
            </w:tcMar>
          </w:tcPr>
          <w:p>
            <w:pPr>
              <w:spacing w:after="0" w:line="240" w:lineRule="auto"/>
            </w:pPr>
            <w:r>
              <w:rPr>
                <w:rFonts w:ascii="Aptos" w:hAnsi="Aptos"/>
                <w:color w:val="1F2933"/>
                <w:sz w:val="16"/>
              </w:rPr>
              <w:t>Unsupported encryption receives a clear message; password handling passes secret-leak tests.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FR-017</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Treat all document text as untrusted data, not system instructions.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Prompt-injection strings in reports cannot change tool, model, or analysis behavior.</w:t>
            </w:r>
          </w:p>
        </w:tc>
      </w:tr>
    </w:tbl>
    <w:p>
      <w:pPr>
        <w:spacing w:after="20"/>
      </w:pPr>
    </w:p>
    <w:p>
      <w:pPr>
        <w:pStyle w:val="Heading2"/>
        <w:keepNext/>
      </w:pPr>
      <w:r>
        <w:rPr>
          <w:rFonts w:ascii="Aptos Display" w:hAnsi="Aptos Display"/>
          <w:b/>
          <w:color w:val="245D8C"/>
          <w:sz w:val="26"/>
        </w:rPr>
        <w:t>7.3 Parsing and normalization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5"/>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5"/>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5"/>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5"/>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FR-020</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Detect provider/template and route to a versioned adapter with a generic fallback.</w:t>
            </w:r>
          </w:p>
        </w:tc>
        <w:tc>
          <w:tcPr>
            <w:tcW w:type="dxa" w:w="3816"/>
            <w:tcMar>
              <w:top w:w="70" w:type="dxa"/>
              <w:start w:w="90" w:type="dxa"/>
              <w:bottom w:w="70" w:type="dxa"/>
              <w:end w:w="90" w:type="dxa"/>
            </w:tcMar>
          </w:tcPr>
          <w:p>
            <w:pPr>
              <w:spacing w:after="0" w:line="240" w:lineRule="auto"/>
            </w:pPr>
            <w:r>
              <w:rPr>
                <w:rFonts w:ascii="Aptos" w:hAnsi="Aptos"/>
                <w:color w:val="1F2933"/>
                <w:sz w:val="15"/>
              </w:rPr>
              <w:t>Adapter and version are recorded; unsupported layouts are flagged rather than guessed.</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FR-021</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Extract text with page, order, and bounding-box provenance where the format permits.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Every P0 normalized field maps to at least one source reference.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FR-022</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Normalize report metadata, identity data, tradelines, collections, inquiries, public records, scores, and remarks.</w:t>
            </w:r>
          </w:p>
        </w:tc>
        <w:tc>
          <w:tcPr>
            <w:tcW w:type="dxa" w:w="3816"/>
            <w:tcMar>
              <w:top w:w="70" w:type="dxa"/>
              <w:start w:w="90" w:type="dxa"/>
              <w:bottom w:w="70" w:type="dxa"/>
              <w:end w:w="90" w:type="dxa"/>
            </w:tcMar>
          </w:tcPr>
          <w:p>
            <w:pPr>
              <w:spacing w:after="0" w:line="240" w:lineRule="auto"/>
            </w:pPr>
            <w:r>
              <w:rPr>
                <w:rFonts w:ascii="Aptos" w:hAnsi="Aptos"/>
                <w:color w:val="1F2933"/>
                <w:sz w:val="15"/>
              </w:rPr>
              <w:t>Output validates against the canonical schema with no silent field coercion.</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FR-023</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Preserve bureau-specific records separately before cross-bureau matching.</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No bureau value is overwritten by another bureau value.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FR-024</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Assign parser confidence at field and entity levels.</w:t>
            </w:r>
          </w:p>
        </w:tc>
        <w:tc>
          <w:tcPr>
            <w:tcW w:type="dxa" w:w="3816"/>
            <w:tcMar>
              <w:top w:w="70" w:type="dxa"/>
              <w:start w:w="90" w:type="dxa"/>
              <w:bottom w:w="70" w:type="dxa"/>
              <w:end w:w="90" w:type="dxa"/>
            </w:tcMar>
          </w:tcPr>
          <w:p>
            <w:pPr>
              <w:spacing w:after="0" w:line="240" w:lineRule="auto"/>
            </w:pPr>
            <w:r>
              <w:rPr>
                <w:rFonts w:ascii="Aptos" w:hAnsi="Aptos"/>
                <w:color w:val="1F2933"/>
                <w:sz w:val="15"/>
              </w:rPr>
              <w:t>Low-confidence fields are shown for confirmation and excluded from rules requiring higher confidence.</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FR-025</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Normalize dates with explicit precision and source semantics.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Month-only dates are not represented as falsely precise day-level dates.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FR-026</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Normalize money as integer cents plus original display text and currency.</w:t>
            </w:r>
          </w:p>
        </w:tc>
        <w:tc>
          <w:tcPr>
            <w:tcW w:type="dxa" w:w="3816"/>
            <w:tcMar>
              <w:top w:w="70" w:type="dxa"/>
              <w:start w:w="90" w:type="dxa"/>
              <w:bottom w:w="70" w:type="dxa"/>
              <w:end w:w="90" w:type="dxa"/>
            </w:tcMar>
          </w:tcPr>
          <w:p>
            <w:pPr>
              <w:spacing w:after="0" w:line="240" w:lineRule="auto"/>
            </w:pPr>
            <w:r>
              <w:rPr>
                <w:rFonts w:ascii="Aptos" w:hAnsi="Aptos"/>
                <w:color w:val="1F2933"/>
                <w:sz w:val="15"/>
              </w:rPr>
              <w:t>Calculations use normalized cents while evidence displays the original report text.</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FR-027</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Mask SSNs and account numbers immediately after the minimum required matching operation.</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UI, logs, analytics, and model payloads never contain complete identifiers.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FR-028</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Allow user corrections without destroying parser output.</w:t>
            </w:r>
          </w:p>
        </w:tc>
        <w:tc>
          <w:tcPr>
            <w:tcW w:type="dxa" w:w="3816"/>
            <w:tcMar>
              <w:top w:w="70" w:type="dxa"/>
              <w:start w:w="90" w:type="dxa"/>
              <w:bottom w:w="70" w:type="dxa"/>
              <w:end w:w="90" w:type="dxa"/>
            </w:tcMar>
          </w:tcPr>
          <w:p>
            <w:pPr>
              <w:spacing w:after="0" w:line="240" w:lineRule="auto"/>
            </w:pPr>
            <w:r>
              <w:rPr>
                <w:rFonts w:ascii="Aptos" w:hAnsi="Aptos"/>
                <w:color w:val="1F2933"/>
                <w:sz w:val="15"/>
              </w:rPr>
              <w:t>Original extraction, user correction, correction reason, and timestamp remain auditable.</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FR-029</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P1</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Support reprocessing with a new adapter while preserving prior normalized versions.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A reprocess creates a new version and explicit diff.</w:t>
            </w:r>
          </w:p>
        </w:tc>
      </w:tr>
    </w:tbl>
    <w:p>
      <w:pPr>
        <w:spacing w:after="20"/>
      </w:pPr>
    </w:p>
    <w:p>
      <w:pPr>
        <w:pStyle w:val="Heading2"/>
        <w:keepNext/>
      </w:pPr>
      <w:r>
        <w:rPr>
          <w:rFonts w:ascii="Aptos Display" w:hAnsi="Aptos Display"/>
          <w:b/>
          <w:color w:val="245D8C"/>
          <w:sz w:val="26"/>
        </w:rPr>
        <w:t>7.4 Cross-bureau matching and user confirmation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6"/>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6"/>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6"/>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6"/>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FR-030</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Match probable representations of the same account using masked number, creditor identity, type, dates, balances, and user input.</w:t>
            </w:r>
          </w:p>
        </w:tc>
        <w:tc>
          <w:tcPr>
            <w:tcW w:type="dxa" w:w="3816"/>
            <w:tcMar>
              <w:top w:w="70" w:type="dxa"/>
              <w:start w:w="90" w:type="dxa"/>
              <w:bottom w:w="70" w:type="dxa"/>
              <w:end w:w="90" w:type="dxa"/>
            </w:tcMar>
          </w:tcPr>
          <w:p>
            <w:pPr>
              <w:spacing w:after="0" w:line="240" w:lineRule="auto"/>
            </w:pPr>
            <w:r>
              <w:rPr>
                <w:rFonts w:ascii="Aptos" w:hAnsi="Aptos"/>
                <w:color w:val="1F2933"/>
                <w:sz w:val="16"/>
              </w:rPr>
              <w:t>Match confidence and contributing signals are visible to reviewers.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FR-031</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Never merge ambiguous accounts automatically above the configured risk threshold.</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Ambiguous groups require user confirmation or remain separate.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FR-032</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Compare balances and statuses only after considering bureau update dates.</w:t>
            </w:r>
          </w:p>
        </w:tc>
        <w:tc>
          <w:tcPr>
            <w:tcW w:type="dxa" w:w="3816"/>
            <w:tcMar>
              <w:top w:w="70" w:type="dxa"/>
              <w:start w:w="90" w:type="dxa"/>
              <w:bottom w:w="70" w:type="dxa"/>
              <w:end w:w="90" w:type="dxa"/>
            </w:tcMar>
          </w:tcPr>
          <w:p>
            <w:pPr>
              <w:spacing w:after="0" w:line="240" w:lineRule="auto"/>
            </w:pPr>
            <w:r>
              <w:rPr>
                <w:rFonts w:ascii="Aptos" w:hAnsi="Aptos"/>
                <w:color w:val="1F2933"/>
                <w:sz w:val="16"/>
              </w:rPr>
              <w:t>Rules suppress or qualify comparisons with materially different update dates.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FR-033</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Ask whether the user recognizes addresses, inquiries, and accounts only when the answer changes analysis.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Question count is minimized and each answer maps to specific rule inputs.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FR-034</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Allow “I do not know” and “not shown” responses.</w:t>
            </w:r>
          </w:p>
        </w:tc>
        <w:tc>
          <w:tcPr>
            <w:tcW w:type="dxa" w:w="3816"/>
            <w:tcMar>
              <w:top w:w="70" w:type="dxa"/>
              <w:start w:w="90" w:type="dxa"/>
              <w:bottom w:w="70" w:type="dxa"/>
              <w:end w:w="90" w:type="dxa"/>
            </w:tcMar>
          </w:tcPr>
          <w:p>
            <w:pPr>
              <w:spacing w:after="0" w:line="240" w:lineRule="auto"/>
            </w:pPr>
            <w:r>
              <w:rPr>
                <w:rFonts w:ascii="Aptos" w:hAnsi="Aptos"/>
                <w:color w:val="1F2933"/>
                <w:sz w:val="16"/>
              </w:rPr>
              <w:t>Uncertainty is preserved; the system does not force a factual answer.</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FR-035</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P1</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Provide a split/merge correction tool for matched accounts.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Corrections trigger deterministic reanalysis and preserve history.</w:t>
            </w:r>
          </w:p>
        </w:tc>
      </w:tr>
    </w:tbl>
    <w:p>
      <w:pPr>
        <w:spacing w:after="20"/>
      </w:pPr>
    </w:p>
    <w:p>
      <w:pPr>
        <w:pStyle w:val="Heading2"/>
        <w:keepNext/>
      </w:pPr>
      <w:r>
        <w:rPr>
          <w:rFonts w:ascii="Aptos Display" w:hAnsi="Aptos Display"/>
          <w:b/>
          <w:color w:val="245D8C"/>
          <w:sz w:val="26"/>
        </w:rPr>
        <w:t>7.5 Analysis and findings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5"/>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5"/>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5"/>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5"/>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FR-040</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Run pure, versioned TypeScript rules against normalized data and confirmed user facts.</w:t>
            </w:r>
          </w:p>
        </w:tc>
        <w:tc>
          <w:tcPr>
            <w:tcW w:type="dxa" w:w="3816"/>
            <w:tcMar>
              <w:top w:w="70" w:type="dxa"/>
              <w:start w:w="90" w:type="dxa"/>
              <w:bottom w:w="70" w:type="dxa"/>
              <w:end w:w="90" w:type="dxa"/>
            </w:tcMar>
          </w:tcPr>
          <w:p>
            <w:pPr>
              <w:spacing w:after="0" w:line="240" w:lineRule="auto"/>
            </w:pPr>
            <w:r>
              <w:rPr>
                <w:rFonts w:ascii="Aptos" w:hAnsi="Aptos"/>
                <w:color w:val="1F2933"/>
                <w:sz w:val="15"/>
              </w:rPr>
              <w:t>Rules are deterministic, side-effect-free, and unit-tested.</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FR-041</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Classify findings using the approved taxonomy, not “violation” by default.</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Output schema rejects unsupported legal-verdict labels.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FR-042</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Attach evidence, severity, confidence, limitations, alternative explanations, and recommended verification documents.</w:t>
            </w:r>
          </w:p>
        </w:tc>
        <w:tc>
          <w:tcPr>
            <w:tcW w:type="dxa" w:w="3816"/>
            <w:tcMar>
              <w:top w:w="70" w:type="dxa"/>
              <w:start w:w="90" w:type="dxa"/>
              <w:bottom w:w="70" w:type="dxa"/>
              <w:end w:w="90" w:type="dxa"/>
            </w:tcMar>
          </w:tcPr>
          <w:p>
            <w:pPr>
              <w:spacing w:after="0" w:line="240" w:lineRule="auto"/>
            </w:pPr>
            <w:r>
              <w:rPr>
                <w:rFonts w:ascii="Aptos" w:hAnsi="Aptos"/>
                <w:color w:val="1F2933"/>
                <w:sz w:val="15"/>
              </w:rPr>
              <w:t>No finding is publishable with a missing required field.</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FR-043</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Suppress findings when required fields are missing, low-confidence, or not comparable.</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Negative test fixtures produce no finding.</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FR-044</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Separate document-derived facts, user assertions, rule inferences, and educational statements.</w:t>
            </w:r>
          </w:p>
        </w:tc>
        <w:tc>
          <w:tcPr>
            <w:tcW w:type="dxa" w:w="3816"/>
            <w:tcMar>
              <w:top w:w="70" w:type="dxa"/>
              <w:start w:w="90" w:type="dxa"/>
              <w:bottom w:w="70" w:type="dxa"/>
              <w:end w:w="90" w:type="dxa"/>
            </w:tcMar>
          </w:tcPr>
          <w:p>
            <w:pPr>
              <w:spacing w:after="0" w:line="240" w:lineRule="auto"/>
            </w:pPr>
            <w:r>
              <w:rPr>
                <w:rFonts w:ascii="Aptos" w:hAnsi="Aptos"/>
                <w:color w:val="1F2933"/>
                <w:sz w:val="15"/>
              </w:rPr>
              <w:t>Each report sentence can be traced to its evidence class.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FR-045</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Record all rules evaluated, not only triggered rules.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Analysis audit includes evaluated, skipped, suppressed, and triggered outcomes.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FR-046</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Explain when the report does not contain enough information to assess a concern.</w:t>
            </w:r>
          </w:p>
        </w:tc>
        <w:tc>
          <w:tcPr>
            <w:tcW w:type="dxa" w:w="3816"/>
            <w:tcMar>
              <w:top w:w="70" w:type="dxa"/>
              <w:start w:w="90" w:type="dxa"/>
              <w:bottom w:w="70" w:type="dxa"/>
              <w:end w:w="90" w:type="dxa"/>
            </w:tcMar>
          </w:tcPr>
          <w:p>
            <w:pPr>
              <w:spacing w:after="0" w:line="240" w:lineRule="auto"/>
            </w:pPr>
            <w:r>
              <w:rPr>
                <w:rFonts w:ascii="Aptos" w:hAnsi="Aptos"/>
                <w:color w:val="1F2933"/>
                <w:sz w:val="15"/>
              </w:rPr>
              <w:t>Metro 2 and permissible-purpose conclusions show explicit insufficiency where applicable.</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FR-047</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P1</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Permit expert case review for high-risk or low-confidence cases.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Reviewer changes are attributed and cannot overwrite original automated output.</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FR-048</w:t>
            </w:r>
          </w:p>
        </w:tc>
        <w:tc>
          <w:tcPr>
            <w:tcW w:type="dxa" w:w="936"/>
            <w:tcMar>
              <w:top w:w="70" w:type="dxa"/>
              <w:start w:w="90" w:type="dxa"/>
              <w:bottom w:w="70" w:type="dxa"/>
              <w:end w:w="90" w:type="dxa"/>
            </w:tcMar>
          </w:tcPr>
          <w:p>
            <w:pPr>
              <w:spacing w:after="0" w:line="240" w:lineRule="auto"/>
            </w:pPr>
            <w:r>
              <w:rPr>
                <w:rFonts w:ascii="Aptos" w:hAnsi="Aptos"/>
                <w:color w:val="1F2933"/>
                <w:sz w:val="15"/>
              </w:rPr>
              <w:t>P1</w:t>
            </w:r>
          </w:p>
        </w:tc>
        <w:tc>
          <w:tcPr>
            <w:tcW w:type="dxa" w:w="4464"/>
            <w:tcMar>
              <w:top w:w="70" w:type="dxa"/>
              <w:start w:w="90" w:type="dxa"/>
              <w:bottom w:w="70" w:type="dxa"/>
              <w:end w:w="90" w:type="dxa"/>
            </w:tcMar>
          </w:tcPr>
          <w:p>
            <w:pPr>
              <w:spacing w:after="0" w:line="240" w:lineRule="auto"/>
            </w:pPr>
            <w:r>
              <w:rPr>
                <w:rFonts w:ascii="Aptos" w:hAnsi="Aptos"/>
                <w:color w:val="1F2933"/>
                <w:sz w:val="15"/>
              </w:rPr>
              <w:t>Support ruleset reanalysis when law or logic changes.</w:t>
            </w:r>
          </w:p>
        </w:tc>
        <w:tc>
          <w:tcPr>
            <w:tcW w:type="dxa" w:w="3816"/>
            <w:tcMar>
              <w:top w:w="70" w:type="dxa"/>
              <w:start w:w="90" w:type="dxa"/>
              <w:bottom w:w="70" w:type="dxa"/>
              <w:end w:w="90" w:type="dxa"/>
            </w:tcMar>
          </w:tcPr>
          <w:p>
            <w:pPr>
              <w:spacing w:after="0" w:line="240" w:lineRule="auto"/>
            </w:pPr>
            <w:r>
              <w:rPr>
                <w:rFonts w:ascii="Aptos" w:hAnsi="Aptos"/>
                <w:color w:val="1F2933"/>
                <w:sz w:val="15"/>
              </w:rPr>
              <w:t>User is told why a new analysis differs from a prior one.</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FR-049</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Prevent duplicate findings that describe the same evidence and consumer action.</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Deduplication is deterministic and covered by tests.</w:t>
            </w:r>
          </w:p>
        </w:tc>
      </w:tr>
    </w:tbl>
    <w:p>
      <w:pPr>
        <w:spacing w:after="20"/>
      </w:pPr>
    </w:p>
    <w:p>
      <w:pPr>
        <w:pStyle w:val="Heading2"/>
        <w:keepNext/>
      </w:pPr>
      <w:r>
        <w:rPr>
          <w:rFonts w:ascii="Aptos Display" w:hAnsi="Aptos Display"/>
          <w:b/>
          <w:color w:val="245D8C"/>
          <w:sz w:val="26"/>
        </w:rPr>
        <w:t>7.6 Report and education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5"/>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5"/>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5"/>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5"/>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FR-050</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Generate an interactive report with overview, prioritized findings, evidence, education, and action plan.</w:t>
            </w:r>
          </w:p>
        </w:tc>
        <w:tc>
          <w:tcPr>
            <w:tcW w:type="dxa" w:w="3816"/>
            <w:tcMar>
              <w:top w:w="70" w:type="dxa"/>
              <w:start w:w="90" w:type="dxa"/>
              <w:bottom w:w="70" w:type="dxa"/>
              <w:end w:w="90" w:type="dxa"/>
            </w:tcMar>
          </w:tcPr>
          <w:p>
            <w:pPr>
              <w:spacing w:after="0" w:line="240" w:lineRule="auto"/>
            </w:pPr>
            <w:r>
              <w:rPr>
                <w:rFonts w:ascii="Aptos" w:hAnsi="Aptos"/>
                <w:color w:val="1F2933"/>
                <w:sz w:val="15"/>
              </w:rPr>
              <w:t>All sections render from validated structured data, not free-form model output.</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FR-051</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Let users open the source page/snippet associated with a finding.</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Evidence navigation works without exposing unrelated report content.</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FR-052</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Use plain-language explanations and define technical terms.</w:t>
            </w:r>
          </w:p>
        </w:tc>
        <w:tc>
          <w:tcPr>
            <w:tcW w:type="dxa" w:w="3816"/>
            <w:tcMar>
              <w:top w:w="70" w:type="dxa"/>
              <w:start w:w="90" w:type="dxa"/>
              <w:bottom w:w="70" w:type="dxa"/>
              <w:end w:w="90" w:type="dxa"/>
            </w:tcMar>
          </w:tcPr>
          <w:p>
            <w:pPr>
              <w:spacing w:after="0" w:line="240" w:lineRule="auto"/>
            </w:pPr>
            <w:r>
              <w:rPr>
                <w:rFonts w:ascii="Aptos" w:hAnsi="Aptos"/>
                <w:color w:val="1F2933"/>
                <w:sz w:val="15"/>
              </w:rPr>
              <w:t>Content passes readability and comprehension review without changing legal meaning.</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FR-053</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Distinguish credit-building education from error-verification guidance.</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Accurate negative information never receives a deletion-oriented recommendation.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FR-054</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Provide a prioritized, user-controlled checklist.</w:t>
            </w:r>
          </w:p>
        </w:tc>
        <w:tc>
          <w:tcPr>
            <w:tcW w:type="dxa" w:w="3816"/>
            <w:tcMar>
              <w:top w:w="70" w:type="dxa"/>
              <w:start w:w="90" w:type="dxa"/>
              <w:bottom w:w="70" w:type="dxa"/>
              <w:end w:w="90" w:type="dxa"/>
            </w:tcMar>
          </w:tcPr>
          <w:p>
            <w:pPr>
              <w:spacing w:after="0" w:line="240" w:lineRule="auto"/>
            </w:pPr>
            <w:r>
              <w:rPr>
                <w:rFonts w:ascii="Aptos" w:hAnsi="Aptos"/>
                <w:color w:val="1F2933"/>
                <w:sz w:val="15"/>
              </w:rPr>
              <w:t>Each action identifies purpose, responsible party, needed evidence, and completion status.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FR-055</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Provide a downloadable analysis with masked identifiers and source references.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Export contains no full SSN or account number and matches current report state.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FR-056</w:t>
            </w:r>
          </w:p>
        </w:tc>
        <w:tc>
          <w:tcPr>
            <w:tcW w:type="dxa" w:w="936"/>
            <w:tcMar>
              <w:top w:w="70" w:type="dxa"/>
              <w:start w:w="90" w:type="dxa"/>
              <w:bottom w:w="70" w:type="dxa"/>
              <w:end w:w="90" w:type="dxa"/>
            </w:tcMar>
          </w:tcPr>
          <w:p>
            <w:pPr>
              <w:spacing w:after="0" w:line="240" w:lineRule="auto"/>
            </w:pPr>
            <w:r>
              <w:rPr>
                <w:rFonts w:ascii="Aptos" w:hAnsi="Aptos"/>
                <w:color w:val="1F2933"/>
                <w:sz w:val="15"/>
              </w:rPr>
              <w:t>P1</w:t>
            </w:r>
          </w:p>
        </w:tc>
        <w:tc>
          <w:tcPr>
            <w:tcW w:type="dxa" w:w="4464"/>
            <w:tcMar>
              <w:top w:w="70" w:type="dxa"/>
              <w:start w:w="90" w:type="dxa"/>
              <w:bottom w:w="70" w:type="dxa"/>
              <w:end w:w="90" w:type="dxa"/>
            </w:tcMar>
          </w:tcPr>
          <w:p>
            <w:pPr>
              <w:spacing w:after="0" w:line="240" w:lineRule="auto"/>
            </w:pPr>
            <w:r>
              <w:rPr>
                <w:rFonts w:ascii="Aptos" w:hAnsi="Aptos"/>
                <w:color w:val="1F2933"/>
                <w:sz w:val="15"/>
              </w:rPr>
              <w:t>Support Spanish and additional languages after legal-content localization review.</w:t>
            </w:r>
          </w:p>
        </w:tc>
        <w:tc>
          <w:tcPr>
            <w:tcW w:type="dxa" w:w="3816"/>
            <w:tcMar>
              <w:top w:w="70" w:type="dxa"/>
              <w:start w:w="90" w:type="dxa"/>
              <w:bottom w:w="70" w:type="dxa"/>
              <w:end w:w="90" w:type="dxa"/>
            </w:tcMar>
          </w:tcPr>
          <w:p>
            <w:pPr>
              <w:spacing w:after="0" w:line="240" w:lineRule="auto"/>
            </w:pPr>
            <w:r>
              <w:rPr>
                <w:rFonts w:ascii="Aptos" w:hAnsi="Aptos"/>
                <w:color w:val="1F2933"/>
                <w:sz w:val="15"/>
              </w:rPr>
              <w:t>Translation preserves disclaimers, authority scope, and structured facts.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5"/>
              </w:rPr>
              <w:t>FR-057</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5"/>
              </w:rPr>
              <w:t>P1</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5"/>
              </w:rPr>
              <w:t>Provide reviewed correspondence drafts only after a specific factual basis is selected.</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5"/>
              </w:rPr>
              <w:t>Draft is editable, never sent automatically, and includes user verification prompts.</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5"/>
              </w:rPr>
              <w:t>FR-058</w:t>
            </w:r>
          </w:p>
        </w:tc>
        <w:tc>
          <w:tcPr>
            <w:tcW w:type="dxa" w:w="936"/>
            <w:tcMar>
              <w:top w:w="70" w:type="dxa"/>
              <w:start w:w="90" w:type="dxa"/>
              <w:bottom w:w="70" w:type="dxa"/>
              <w:end w:w="90" w:type="dxa"/>
            </w:tcMar>
          </w:tcPr>
          <w:p>
            <w:pPr>
              <w:spacing w:after="0" w:line="240" w:lineRule="auto"/>
            </w:pPr>
            <w:r>
              <w:rPr>
                <w:rFonts w:ascii="Aptos" w:hAnsi="Aptos"/>
                <w:color w:val="1F2933"/>
                <w:sz w:val="15"/>
              </w:rPr>
              <w:t>P0</w:t>
            </w:r>
          </w:p>
        </w:tc>
        <w:tc>
          <w:tcPr>
            <w:tcW w:type="dxa" w:w="4464"/>
            <w:tcMar>
              <w:top w:w="70" w:type="dxa"/>
              <w:start w:w="90" w:type="dxa"/>
              <w:bottom w:w="70" w:type="dxa"/>
              <w:end w:w="90" w:type="dxa"/>
            </w:tcMar>
          </w:tcPr>
          <w:p>
            <w:pPr>
              <w:spacing w:after="0" w:line="240" w:lineRule="auto"/>
            </w:pPr>
            <w:r>
              <w:rPr>
                <w:rFonts w:ascii="Aptos" w:hAnsi="Aptos"/>
                <w:color w:val="1F2933"/>
                <w:sz w:val="15"/>
              </w:rPr>
              <w:t>Display urgent identity-theft and security resources when user facts support that path.</w:t>
            </w:r>
          </w:p>
        </w:tc>
        <w:tc>
          <w:tcPr>
            <w:tcW w:type="dxa" w:w="3816"/>
            <w:tcMar>
              <w:top w:w="70" w:type="dxa"/>
              <w:start w:w="90" w:type="dxa"/>
              <w:bottom w:w="70" w:type="dxa"/>
              <w:end w:w="90" w:type="dxa"/>
            </w:tcMar>
          </w:tcPr>
          <w:p>
            <w:pPr>
              <w:spacing w:after="0" w:line="240" w:lineRule="auto"/>
            </w:pPr>
            <w:r>
              <w:rPr>
                <w:rFonts w:ascii="Aptos" w:hAnsi="Aptos"/>
                <w:color w:val="1F2933"/>
                <w:sz w:val="15"/>
              </w:rPr>
              <w:t>System distinguishes unfamiliar information from confirmed identity theft.</w:t>
            </w:r>
          </w:p>
        </w:tc>
      </w:tr>
    </w:tbl>
    <w:p>
      <w:pPr>
        <w:spacing w:after="20"/>
      </w:pPr>
    </w:p>
    <w:p>
      <w:pPr>
        <w:pStyle w:val="Heading2"/>
        <w:keepNext/>
      </w:pPr>
      <w:r>
        <w:rPr>
          <w:rFonts w:ascii="Aptos Display" w:hAnsi="Aptos Display"/>
          <w:b/>
          <w:color w:val="245D8C"/>
          <w:sz w:val="26"/>
        </w:rPr>
        <w:t>7.7 Administration and governance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6"/>
              </w:rPr>
              <w:t>ID</w:t>
            </w:r>
          </w:p>
        </w:tc>
        <w:tc>
          <w:tcPr>
            <w:tcW w:type="dxa" w:w="936"/>
            <w:shd w:fill="17324D"/>
            <w:tcMar>
              <w:top w:w="80" w:type="dxa"/>
              <w:start w:w="90" w:type="dxa"/>
              <w:bottom w:w="80" w:type="dxa"/>
              <w:end w:w="90" w:type="dxa"/>
            </w:tcMar>
            <w:vAlign w:val="center"/>
          </w:tcPr>
          <w:p>
            <w:pPr>
              <w:spacing w:after="0"/>
            </w:pPr>
            <w:r>
              <w:rPr>
                <w:rFonts w:ascii="Aptos" w:hAnsi="Aptos"/>
                <w:b/>
                <w:color w:val="FFFFFF"/>
                <w:sz w:val="16"/>
              </w:rPr>
              <w:t>Priority</w:t>
            </w:r>
          </w:p>
        </w:tc>
        <w:tc>
          <w:tcPr>
            <w:tcW w:type="dxa" w:w="4464"/>
            <w:shd w:fill="17324D"/>
            <w:tcMar>
              <w:top w:w="80" w:type="dxa"/>
              <w:start w:w="90" w:type="dxa"/>
              <w:bottom w:w="80" w:type="dxa"/>
              <w:end w:w="90" w:type="dxa"/>
            </w:tcMar>
            <w:vAlign w:val="center"/>
          </w:tcPr>
          <w:p>
            <w:pPr>
              <w:spacing w:after="0"/>
            </w:pPr>
            <w:r>
              <w:rPr>
                <w:rFonts w:ascii="Aptos" w:hAnsi="Aptos"/>
                <w:b/>
                <w:color w:val="FFFFFF"/>
                <w:sz w:val="16"/>
              </w:rPr>
              <w:t>Requirement</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6"/>
              </w:rPr>
              <w:t>Acceptance condition</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FR-060</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Manage authorities, educational modules, rules, jurisdictions, effective dates, and approvals.</w:t>
            </w:r>
          </w:p>
        </w:tc>
        <w:tc>
          <w:tcPr>
            <w:tcW w:type="dxa" w:w="3816"/>
            <w:tcMar>
              <w:top w:w="70" w:type="dxa"/>
              <w:start w:w="90" w:type="dxa"/>
              <w:bottom w:w="70" w:type="dxa"/>
              <w:end w:w="90" w:type="dxa"/>
            </w:tcMar>
          </w:tcPr>
          <w:p>
            <w:pPr>
              <w:spacing w:after="0" w:line="240" w:lineRule="auto"/>
            </w:pPr>
            <w:r>
              <w:rPr>
                <w:rFonts w:ascii="Aptos" w:hAnsi="Aptos"/>
                <w:color w:val="1F2933"/>
                <w:sz w:val="16"/>
              </w:rPr>
              <w:t>Only approved, effective content can be included in production analysis.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FR-061</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Provide immutable approval and publication events.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Reviewer identity, timestamp, diff, and reason are available.</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FR-062</w:t>
            </w:r>
          </w:p>
        </w:tc>
        <w:tc>
          <w:tcPr>
            <w:tcW w:type="dxa" w:w="936"/>
            <w:tcMar>
              <w:top w:w="70" w:type="dxa"/>
              <w:start w:w="90" w:type="dxa"/>
              <w:bottom w:w="70" w:type="dxa"/>
              <w:end w:w="90" w:type="dxa"/>
            </w:tcMar>
          </w:tcPr>
          <w:p>
            <w:pPr>
              <w:spacing w:after="0" w:line="240" w:lineRule="auto"/>
            </w:pPr>
            <w:r>
              <w:rPr>
                <w:rFonts w:ascii="Aptos" w:hAnsi="Aptos"/>
                <w:color w:val="1F2933"/>
                <w:sz w:val="16"/>
              </w:rPr>
              <w:t>P0</w:t>
            </w:r>
          </w:p>
        </w:tc>
        <w:tc>
          <w:tcPr>
            <w:tcW w:type="dxa" w:w="4464"/>
            <w:tcMar>
              <w:top w:w="70" w:type="dxa"/>
              <w:start w:w="90" w:type="dxa"/>
              <w:bottom w:w="70" w:type="dxa"/>
              <w:end w:w="90" w:type="dxa"/>
            </w:tcMar>
          </w:tcPr>
          <w:p>
            <w:pPr>
              <w:spacing w:after="0" w:line="240" w:lineRule="auto"/>
            </w:pPr>
            <w:r>
              <w:rPr>
                <w:rFonts w:ascii="Aptos" w:hAnsi="Aptos"/>
                <w:color w:val="1F2933"/>
                <w:sz w:val="16"/>
              </w:rPr>
              <w:t>Support emergency rule/content disablement.</w:t>
            </w:r>
          </w:p>
        </w:tc>
        <w:tc>
          <w:tcPr>
            <w:tcW w:type="dxa" w:w="3816"/>
            <w:tcMar>
              <w:top w:w="70" w:type="dxa"/>
              <w:start w:w="90" w:type="dxa"/>
              <w:bottom w:w="70" w:type="dxa"/>
              <w:end w:w="90" w:type="dxa"/>
            </w:tcMar>
          </w:tcPr>
          <w:p>
            <w:pPr>
              <w:spacing w:after="0" w:line="240" w:lineRule="auto"/>
            </w:pPr>
            <w:r>
              <w:rPr>
                <w:rFonts w:ascii="Aptos" w:hAnsi="Aptos"/>
                <w:color w:val="1F2933"/>
                <w:sz w:val="16"/>
              </w:rPr>
              <w:t>A disabled item is blocked from new analyses without deleting audit history.</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FR-063</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Use synthetic or de-identified cases in routine compliance review.</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Raw consumer documents are not required for standard rule approval.</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FR-064</w:t>
            </w:r>
          </w:p>
        </w:tc>
        <w:tc>
          <w:tcPr>
            <w:tcW w:type="dxa" w:w="936"/>
            <w:tcMar>
              <w:top w:w="70" w:type="dxa"/>
              <w:start w:w="90" w:type="dxa"/>
              <w:bottom w:w="70" w:type="dxa"/>
              <w:end w:w="90" w:type="dxa"/>
            </w:tcMar>
          </w:tcPr>
          <w:p>
            <w:pPr>
              <w:spacing w:after="0" w:line="240" w:lineRule="auto"/>
            </w:pPr>
            <w:r>
              <w:rPr>
                <w:rFonts w:ascii="Aptos" w:hAnsi="Aptos"/>
                <w:color w:val="1F2933"/>
                <w:sz w:val="16"/>
              </w:rPr>
              <w:t>P1</w:t>
            </w:r>
          </w:p>
        </w:tc>
        <w:tc>
          <w:tcPr>
            <w:tcW w:type="dxa" w:w="4464"/>
            <w:tcMar>
              <w:top w:w="70" w:type="dxa"/>
              <w:start w:w="90" w:type="dxa"/>
              <w:bottom w:w="70" w:type="dxa"/>
              <w:end w:w="90" w:type="dxa"/>
            </w:tcMar>
          </w:tcPr>
          <w:p>
            <w:pPr>
              <w:spacing w:after="0" w:line="240" w:lineRule="auto"/>
            </w:pPr>
            <w:r>
              <w:rPr>
                <w:rFonts w:ascii="Aptos" w:hAnsi="Aptos"/>
                <w:color w:val="1F2933"/>
                <w:sz w:val="16"/>
              </w:rPr>
              <w:t>Provide sample-output review queues and bias/error tagging.</w:t>
            </w:r>
          </w:p>
        </w:tc>
        <w:tc>
          <w:tcPr>
            <w:tcW w:type="dxa" w:w="3816"/>
            <w:tcMar>
              <w:top w:w="70" w:type="dxa"/>
              <w:start w:w="90" w:type="dxa"/>
              <w:bottom w:w="70" w:type="dxa"/>
              <w:end w:w="90" w:type="dxa"/>
            </w:tcMar>
          </w:tcPr>
          <w:p>
            <w:pPr>
              <w:spacing w:after="0" w:line="240" w:lineRule="auto"/>
            </w:pPr>
            <w:r>
              <w:rPr>
                <w:rFonts w:ascii="Aptos" w:hAnsi="Aptos"/>
                <w:color w:val="1F2933"/>
                <w:sz w:val="16"/>
              </w:rPr>
              <w:t>Review decisions feed measured quality metrics, not automatic law updates.</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FR-065</w:t>
            </w:r>
          </w:p>
        </w:tc>
        <w:tc>
          <w:tcPr>
            <w:tcW w:type="dxa" w:w="936"/>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4464"/>
            <w:tcMar>
              <w:top w:w="70" w:type="dxa"/>
              <w:start w:w="90" w:type="dxa"/>
              <w:bottom w:w="70" w:type="dxa"/>
              <w:end w:w="90" w:type="dxa"/>
            </w:tcMar>
            <w:shd w:fill="F5F7FA"/>
          </w:tcPr>
          <w:p>
            <w:pPr>
              <w:spacing w:after="0" w:line="240" w:lineRule="auto"/>
            </w:pPr>
            <w:r>
              <w:rPr>
                <w:rFonts w:ascii="Aptos" w:hAnsi="Aptos"/>
                <w:color w:val="1F2933"/>
                <w:sz w:val="16"/>
              </w:rPr>
              <w:t>Track vendor, model, parser, and ruleset configuration changes.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Deployment record ties all runtime dependencies to an analysis version.</w:t>
            </w:r>
          </w:p>
        </w:tc>
      </w:tr>
    </w:tbl>
    <w:p>
      <w:pPr>
        <w:spacing w:after="20"/>
      </w:pPr>
    </w:p>
    <w:p>
      <w:pPr>
        <w:pStyle w:val="Heading1"/>
        <w:pageBreakBefore/>
      </w:pPr>
      <w:r>
        <w:rPr>
          <w:rFonts w:ascii="Aptos Display" w:hAnsi="Aptos Display"/>
          <w:b/>
          <w:color w:val="17324D"/>
          <w:sz w:val="36"/>
        </w:rPr>
        <w:t>8. Canonical Credit Report Data Model</w:t>
      </w:r>
    </w:p>
    <w:p>
      <w:pPr>
        <w:pStyle w:val="Heading2"/>
        <w:keepNext/>
      </w:pPr>
      <w:r>
        <w:rPr>
          <w:rFonts w:ascii="Aptos Display" w:hAnsi="Aptos Display"/>
          <w:b/>
          <w:color w:val="245D8C"/>
          <w:sz w:val="26"/>
        </w:rPr>
        <w:t>8.1 Modeling rules</w:t>
      </w:r>
    </w:p>
    <w:p>
      <w:pPr>
        <w:pStyle w:val="ListBullet"/>
        <w:spacing w:after="40" w:line="250" w:lineRule="auto"/>
        <w:ind w:left="0"/>
      </w:pPr>
      <w:r>
        <w:rPr>
          <w:rFonts w:ascii="Aptos" w:hAnsi="Aptos"/>
        </w:rPr>
        <w:t>Store each bureau representation as a separate entity. Cross-bureau account groups are links, not destructive merges.</w:t>
      </w:r>
    </w:p>
    <w:p>
      <w:pPr>
        <w:pStyle w:val="ListBullet"/>
        <w:spacing w:after="40" w:line="250" w:lineRule="auto"/>
        <w:ind w:left="0"/>
      </w:pPr>
      <w:r>
        <w:rPr>
          <w:rFonts w:ascii="Aptos" w:hAnsi="Aptos"/>
        </w:rPr>
        <w:t>Use typed relational columns for values used in rules, filters, dates, money, and audits. Use JSONB for raw provider-specific attributes that have not yet been promoted to the canonical schema.</w:t>
      </w:r>
    </w:p>
    <w:p>
      <w:pPr>
        <w:pStyle w:val="ListBullet"/>
        <w:spacing w:after="40" w:line="250" w:lineRule="auto"/>
        <w:ind w:left="0"/>
      </w:pPr>
      <w:r>
        <w:rPr>
          <w:rFonts w:ascii="Aptos" w:hAnsi="Aptos"/>
        </w:rPr>
        <w:t>Every normalized value carries provenance, confidence, extraction method, parser version, and correction history.</w:t>
      </w:r>
    </w:p>
    <w:p>
      <w:pPr>
        <w:pStyle w:val="ListBullet"/>
        <w:spacing w:after="40" w:line="250" w:lineRule="auto"/>
        <w:ind w:left="0"/>
      </w:pPr>
      <w:r>
        <w:rPr>
          <w:rFonts w:ascii="Aptos" w:hAnsi="Aptos"/>
        </w:rPr>
        <w:t>Represent unknown, absent, not applicable, redacted, and parser-failed states distinctly.</w:t>
      </w:r>
    </w:p>
    <w:p>
      <w:pPr>
        <w:pStyle w:val="ListBullet"/>
        <w:spacing w:after="40" w:line="250" w:lineRule="auto"/>
        <w:ind w:left="0"/>
      </w:pPr>
      <w:r>
        <w:rPr>
          <w:rFonts w:ascii="Aptos" w:hAnsi="Aptos"/>
        </w:rPr>
        <w:t>Do not infer a date of first delinquency from a similarly named displayed date without an approved mapping rule.</w:t>
      </w:r>
    </w:p>
    <w:p>
      <w:pPr>
        <w:pStyle w:val="Heading2"/>
        <w:keepNext/>
      </w:pPr>
      <w:r>
        <w:rPr>
          <w:rFonts w:ascii="Aptos Display" w:hAnsi="Aptos Display"/>
          <w:b/>
          <w:color w:val="245D8C"/>
          <w:sz w:val="26"/>
        </w:rPr>
        <w:t>8.2 Core entities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24D"/>
            <w:tcMar>
              <w:top w:w="80" w:type="dxa"/>
              <w:start w:w="90" w:type="dxa"/>
              <w:bottom w:w="80" w:type="dxa"/>
              <w:end w:w="90" w:type="dxa"/>
            </w:tcMar>
            <w:vAlign w:val="center"/>
          </w:tcPr>
          <w:p>
            <w:pPr>
              <w:spacing w:after="0"/>
            </w:pPr>
            <w:r>
              <w:rPr>
                <w:rFonts w:ascii="Aptos" w:hAnsi="Aptos"/>
                <w:b/>
                <w:color w:val="FFFFFF"/>
                <w:sz w:val="15"/>
              </w:rPr>
              <w:t>Entity</w:t>
            </w:r>
          </w:p>
        </w:tc>
        <w:tc>
          <w:tcPr>
            <w:tcW w:type="dxa" w:w="3240"/>
            <w:shd w:fill="17324D"/>
            <w:tcMar>
              <w:top w:w="80" w:type="dxa"/>
              <w:start w:w="90" w:type="dxa"/>
              <w:bottom w:w="80" w:type="dxa"/>
              <w:end w:w="90" w:type="dxa"/>
            </w:tcMar>
            <w:vAlign w:val="center"/>
          </w:tcPr>
          <w:p>
            <w:pPr>
              <w:spacing w:after="0"/>
            </w:pPr>
            <w:r>
              <w:rPr>
                <w:rFonts w:ascii="Aptos" w:hAnsi="Aptos"/>
                <w:b/>
                <w:color w:val="FFFFFF"/>
                <w:sz w:val="15"/>
              </w:rPr>
              <w:t>Purpose</w:t>
            </w:r>
          </w:p>
        </w:tc>
        <w:tc>
          <w:tcPr>
            <w:tcW w:type="dxa" w:w="4968"/>
            <w:shd w:fill="17324D"/>
            <w:tcMar>
              <w:top w:w="80" w:type="dxa"/>
              <w:start w:w="90" w:type="dxa"/>
              <w:bottom w:w="80" w:type="dxa"/>
              <w:end w:w="90" w:type="dxa"/>
            </w:tcMar>
            <w:vAlign w:val="center"/>
          </w:tcPr>
          <w:p>
            <w:pPr>
              <w:spacing w:after="0"/>
            </w:pPr>
            <w:r>
              <w:rPr>
                <w:rFonts w:ascii="Aptos" w:hAnsi="Aptos"/>
                <w:b/>
                <w:color w:val="FFFFFF"/>
                <w:sz w:val="15"/>
              </w:rPr>
              <w:t>Representative fields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reports</w:t>
            </w:r>
          </w:p>
        </w:tc>
        <w:tc>
          <w:tcPr>
            <w:tcW w:type="dxa" w:w="3240"/>
            <w:tcMar>
              <w:top w:w="70" w:type="dxa"/>
              <w:start w:w="90" w:type="dxa"/>
              <w:bottom w:w="70" w:type="dxa"/>
              <w:end w:w="90" w:type="dxa"/>
            </w:tcMar>
          </w:tcPr>
          <w:p>
            <w:pPr>
              <w:spacing w:after="0" w:line="240" w:lineRule="auto"/>
            </w:pPr>
            <w:r>
              <w:rPr>
                <w:rFonts w:ascii="Aptos" w:hAnsi="Aptos"/>
                <w:color w:val="1F2933"/>
                <w:sz w:val="15"/>
              </w:rPr>
              <w:t>One logical consumer report or multi-bureau bundle</w:t>
            </w:r>
          </w:p>
        </w:tc>
        <w:tc>
          <w:tcPr>
            <w:tcW w:type="dxa" w:w="4968"/>
            <w:tcMar>
              <w:top w:w="70" w:type="dxa"/>
              <w:start w:w="90" w:type="dxa"/>
              <w:bottom w:w="70" w:type="dxa"/>
              <w:end w:w="90" w:type="dxa"/>
            </w:tcMar>
          </w:tcPr>
          <w:p>
            <w:pPr>
              <w:spacing w:after="0" w:line="240" w:lineRule="auto"/>
            </w:pPr>
            <w:r>
              <w:rPr>
                <w:rFonts w:ascii="Aptos" w:hAnsi="Aptos"/>
                <w:color w:val="1F2933"/>
                <w:sz w:val="15"/>
              </w:rPr>
              <w:t>provider, report date, jurisdiction, status, ruleset</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report_documents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Original or derived uploaded file</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hash, MIME, storage key, scan result, retention class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report_pages</w:t>
            </w:r>
          </w:p>
        </w:tc>
        <w:tc>
          <w:tcPr>
            <w:tcW w:type="dxa" w:w="3240"/>
            <w:tcMar>
              <w:top w:w="70" w:type="dxa"/>
              <w:start w:w="90" w:type="dxa"/>
              <w:bottom w:w="70" w:type="dxa"/>
              <w:end w:w="90" w:type="dxa"/>
            </w:tcMar>
          </w:tcPr>
          <w:p>
            <w:pPr>
              <w:spacing w:after="0" w:line="240" w:lineRule="auto"/>
            </w:pPr>
            <w:r>
              <w:rPr>
                <w:rFonts w:ascii="Aptos" w:hAnsi="Aptos"/>
                <w:color w:val="1F2933"/>
                <w:sz w:val="15"/>
              </w:rPr>
              <w:t>Page-level extraction and image metadata</w:t>
            </w:r>
          </w:p>
        </w:tc>
        <w:tc>
          <w:tcPr>
            <w:tcW w:type="dxa" w:w="4968"/>
            <w:tcMar>
              <w:top w:w="70" w:type="dxa"/>
              <w:start w:w="90" w:type="dxa"/>
              <w:bottom w:w="70" w:type="dxa"/>
              <w:end w:w="90" w:type="dxa"/>
            </w:tcMar>
          </w:tcPr>
          <w:p>
            <w:pPr>
              <w:spacing w:after="0" w:line="240" w:lineRule="auto"/>
            </w:pPr>
            <w:r>
              <w:rPr>
                <w:rFonts w:ascii="Aptos" w:hAnsi="Aptos"/>
                <w:color w:val="1F2933"/>
                <w:sz w:val="15"/>
              </w:rPr>
              <w:t>page number, text quality, OCR status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consumer_profiles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Report-scoped identity representation</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name variants, DOB fragment, SSN fragment, source</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addresses / employers</w:t>
            </w:r>
          </w:p>
        </w:tc>
        <w:tc>
          <w:tcPr>
            <w:tcW w:type="dxa" w:w="3240"/>
            <w:tcMar>
              <w:top w:w="70" w:type="dxa"/>
              <w:start w:w="90" w:type="dxa"/>
              <w:bottom w:w="70" w:type="dxa"/>
              <w:end w:w="90" w:type="dxa"/>
            </w:tcMar>
          </w:tcPr>
          <w:p>
            <w:pPr>
              <w:spacing w:after="0" w:line="240" w:lineRule="auto"/>
            </w:pPr>
            <w:r>
              <w:rPr>
                <w:rFonts w:ascii="Aptos" w:hAnsi="Aptos"/>
                <w:color w:val="1F2933"/>
                <w:sz w:val="15"/>
              </w:rPr>
              <w:t>Identity history shown by report</w:t>
            </w:r>
          </w:p>
        </w:tc>
        <w:tc>
          <w:tcPr>
            <w:tcW w:type="dxa" w:w="4968"/>
            <w:tcMar>
              <w:top w:w="70" w:type="dxa"/>
              <w:start w:w="90" w:type="dxa"/>
              <w:bottom w:w="70" w:type="dxa"/>
              <w:end w:w="90" w:type="dxa"/>
            </w:tcMar>
          </w:tcPr>
          <w:p>
            <w:pPr>
              <w:spacing w:after="0" w:line="240" w:lineRule="auto"/>
            </w:pPr>
            <w:r>
              <w:rPr>
                <w:rFonts w:ascii="Aptos" w:hAnsi="Aptos"/>
                <w:color w:val="1F2933"/>
                <w:sz w:val="15"/>
              </w:rPr>
              <w:t>raw/normalized value, dates, recognition status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tradelines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Bureau-specific credit accounts</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creditor, type, status, dates, balances, responsibility</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tradeline_history</w:t>
            </w:r>
          </w:p>
        </w:tc>
        <w:tc>
          <w:tcPr>
            <w:tcW w:type="dxa" w:w="3240"/>
            <w:tcMar>
              <w:top w:w="70" w:type="dxa"/>
              <w:start w:w="90" w:type="dxa"/>
              <w:bottom w:w="70" w:type="dxa"/>
              <w:end w:w="90" w:type="dxa"/>
            </w:tcMar>
          </w:tcPr>
          <w:p>
            <w:pPr>
              <w:spacing w:after="0" w:line="240" w:lineRule="auto"/>
            </w:pPr>
            <w:r>
              <w:rPr>
                <w:rFonts w:ascii="Aptos" w:hAnsi="Aptos"/>
                <w:color w:val="1F2933"/>
                <w:sz w:val="15"/>
              </w:rPr>
              <w:t>Monthly payment/status history</w:t>
            </w:r>
          </w:p>
        </w:tc>
        <w:tc>
          <w:tcPr>
            <w:tcW w:type="dxa" w:w="4968"/>
            <w:tcMar>
              <w:top w:w="70" w:type="dxa"/>
              <w:start w:w="90" w:type="dxa"/>
              <w:bottom w:w="70" w:type="dxa"/>
              <w:end w:w="90" w:type="dxa"/>
            </w:tcMar>
          </w:tcPr>
          <w:p>
            <w:pPr>
              <w:spacing w:after="0" w:line="240" w:lineRule="auto"/>
            </w:pPr>
            <w:r>
              <w:rPr>
                <w:rFonts w:ascii="Aptos" w:hAnsi="Aptos"/>
                <w:color w:val="1F2933"/>
                <w:sz w:val="15"/>
              </w:rPr>
              <w:t>month precision, status code/display, provenance</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collections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Collection accounts</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collector, original creditor, balance, dates, remarks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inquiries</w:t>
            </w:r>
          </w:p>
        </w:tc>
        <w:tc>
          <w:tcPr>
            <w:tcW w:type="dxa" w:w="3240"/>
            <w:tcMar>
              <w:top w:w="70" w:type="dxa"/>
              <w:start w:w="90" w:type="dxa"/>
              <w:bottom w:w="70" w:type="dxa"/>
              <w:end w:w="90" w:type="dxa"/>
            </w:tcMar>
          </w:tcPr>
          <w:p>
            <w:pPr>
              <w:spacing w:after="0" w:line="240" w:lineRule="auto"/>
            </w:pPr>
            <w:r>
              <w:rPr>
                <w:rFonts w:ascii="Aptos" w:hAnsi="Aptos"/>
                <w:color w:val="1F2933"/>
                <w:sz w:val="15"/>
              </w:rPr>
              <w:t>Hard/soft/unknown report inquiries</w:t>
            </w:r>
          </w:p>
        </w:tc>
        <w:tc>
          <w:tcPr>
            <w:tcW w:type="dxa" w:w="4968"/>
            <w:tcMar>
              <w:top w:w="70" w:type="dxa"/>
              <w:start w:w="90" w:type="dxa"/>
              <w:bottom w:w="70" w:type="dxa"/>
              <w:end w:w="90" w:type="dxa"/>
            </w:tcMar>
          </w:tcPr>
          <w:p>
            <w:pPr>
              <w:spacing w:after="0" w:line="240" w:lineRule="auto"/>
            </w:pPr>
            <w:r>
              <w:rPr>
                <w:rFonts w:ascii="Aptos" w:hAnsi="Aptos"/>
                <w:color w:val="1F2933"/>
                <w:sz w:val="15"/>
              </w:rPr>
              <w:t>requestor, date, purpose display, user recognition</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public_records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Displayed bankruptcy or public-record data</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record type, court/reference, dates, status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account_match_groups</w:t>
            </w:r>
          </w:p>
        </w:tc>
        <w:tc>
          <w:tcPr>
            <w:tcW w:type="dxa" w:w="3240"/>
            <w:tcMar>
              <w:top w:w="70" w:type="dxa"/>
              <w:start w:w="90" w:type="dxa"/>
              <w:bottom w:w="70" w:type="dxa"/>
              <w:end w:w="90" w:type="dxa"/>
            </w:tcMar>
          </w:tcPr>
          <w:p>
            <w:pPr>
              <w:spacing w:after="0" w:line="240" w:lineRule="auto"/>
            </w:pPr>
            <w:r>
              <w:rPr>
                <w:rFonts w:ascii="Aptos" w:hAnsi="Aptos"/>
                <w:color w:val="1F2933"/>
                <w:sz w:val="15"/>
              </w:rPr>
              <w:t>Probable same-account links</w:t>
            </w:r>
          </w:p>
        </w:tc>
        <w:tc>
          <w:tcPr>
            <w:tcW w:type="dxa" w:w="4968"/>
            <w:tcMar>
              <w:top w:w="70" w:type="dxa"/>
              <w:start w:w="90" w:type="dxa"/>
              <w:bottom w:w="70" w:type="dxa"/>
              <w:end w:w="90" w:type="dxa"/>
            </w:tcMar>
          </w:tcPr>
          <w:p>
            <w:pPr>
              <w:spacing w:after="0" w:line="240" w:lineRule="auto"/>
            </w:pPr>
            <w:r>
              <w:rPr>
                <w:rFonts w:ascii="Aptos" w:hAnsi="Aptos"/>
                <w:color w:val="1F2933"/>
                <w:sz w:val="15"/>
              </w:rPr>
              <w:t>members, confidence, signals, user confirmation</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analysis_runs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Immutable execution record</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input version, ruleset, model, prompt, status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findings</w:t>
            </w:r>
          </w:p>
        </w:tc>
        <w:tc>
          <w:tcPr>
            <w:tcW w:type="dxa" w:w="3240"/>
            <w:tcMar>
              <w:top w:w="70" w:type="dxa"/>
              <w:start w:w="90" w:type="dxa"/>
              <w:bottom w:w="70" w:type="dxa"/>
              <w:end w:w="90" w:type="dxa"/>
            </w:tcMar>
          </w:tcPr>
          <w:p>
            <w:pPr>
              <w:spacing w:after="0" w:line="240" w:lineRule="auto"/>
            </w:pPr>
            <w:r>
              <w:rPr>
                <w:rFonts w:ascii="Aptos" w:hAnsi="Aptos"/>
                <w:color w:val="1F2933"/>
                <w:sz w:val="15"/>
              </w:rPr>
              <w:t>Rule output</w:t>
            </w:r>
          </w:p>
        </w:tc>
        <w:tc>
          <w:tcPr>
            <w:tcW w:type="dxa" w:w="4968"/>
            <w:tcMar>
              <w:top w:w="70" w:type="dxa"/>
              <w:start w:w="90" w:type="dxa"/>
              <w:bottom w:w="70" w:type="dxa"/>
              <w:end w:w="90" w:type="dxa"/>
            </w:tcMar>
          </w:tcPr>
          <w:p>
            <w:pPr>
              <w:spacing w:after="0" w:line="240" w:lineRule="auto"/>
            </w:pPr>
            <w:r>
              <w:rPr>
                <w:rFonts w:ascii="Aptos" w:hAnsi="Aptos"/>
                <w:color w:val="1F2933"/>
                <w:sz w:val="15"/>
              </w:rPr>
              <w:t>taxonomy, severity, confidence, explanation status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finding_evidence</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Source and user-fact links</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field, page, bounding box, raw text, evidence class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legal_authorities</w:t>
            </w:r>
          </w:p>
        </w:tc>
        <w:tc>
          <w:tcPr>
            <w:tcW w:type="dxa" w:w="3240"/>
            <w:tcMar>
              <w:top w:w="70" w:type="dxa"/>
              <w:start w:w="90" w:type="dxa"/>
              <w:bottom w:w="70" w:type="dxa"/>
              <w:end w:w="90" w:type="dxa"/>
            </w:tcMar>
          </w:tcPr>
          <w:p>
            <w:pPr>
              <w:spacing w:after="0" w:line="240" w:lineRule="auto"/>
            </w:pPr>
            <w:r>
              <w:rPr>
                <w:rFonts w:ascii="Aptos" w:hAnsi="Aptos"/>
                <w:color w:val="1F2933"/>
                <w:sz w:val="15"/>
              </w:rPr>
              <w:t>Approved legal source metadata</w:t>
            </w:r>
          </w:p>
        </w:tc>
        <w:tc>
          <w:tcPr>
            <w:tcW w:type="dxa" w:w="4968"/>
            <w:tcMar>
              <w:top w:w="70" w:type="dxa"/>
              <w:start w:w="90" w:type="dxa"/>
              <w:bottom w:w="70" w:type="dxa"/>
              <w:end w:w="90" w:type="dxa"/>
            </w:tcMar>
          </w:tcPr>
          <w:p>
            <w:pPr>
              <w:spacing w:after="0" w:line="240" w:lineRule="auto"/>
            </w:pPr>
            <w:r>
              <w:rPr>
                <w:rFonts w:ascii="Aptos" w:hAnsi="Aptos"/>
                <w:color w:val="1F2933"/>
                <w:sz w:val="15"/>
              </w:rPr>
              <w:t>citation, jurisdiction, effective dates, reviewer</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educational_modules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Approved consumer education</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topic, reading level, jurisdiction, version</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audit_events</w:t>
            </w:r>
          </w:p>
        </w:tc>
        <w:tc>
          <w:tcPr>
            <w:tcW w:type="dxa" w:w="3240"/>
            <w:tcMar>
              <w:top w:w="70" w:type="dxa"/>
              <w:start w:w="90" w:type="dxa"/>
              <w:bottom w:w="70" w:type="dxa"/>
              <w:end w:w="90" w:type="dxa"/>
            </w:tcMar>
          </w:tcPr>
          <w:p>
            <w:pPr>
              <w:spacing w:after="0" w:line="240" w:lineRule="auto"/>
            </w:pPr>
            <w:r>
              <w:rPr>
                <w:rFonts w:ascii="Aptos" w:hAnsi="Aptos"/>
                <w:color w:val="1F2933"/>
                <w:sz w:val="15"/>
              </w:rPr>
              <w:t>Security and business audit trail</w:t>
            </w:r>
          </w:p>
        </w:tc>
        <w:tc>
          <w:tcPr>
            <w:tcW w:type="dxa" w:w="4968"/>
            <w:tcMar>
              <w:top w:w="70" w:type="dxa"/>
              <w:start w:w="90" w:type="dxa"/>
              <w:bottom w:w="70" w:type="dxa"/>
              <w:end w:w="90" w:type="dxa"/>
            </w:tcMar>
          </w:tcPr>
          <w:p>
            <w:pPr>
              <w:spacing w:after="0" w:line="240" w:lineRule="auto"/>
            </w:pPr>
            <w:r>
              <w:rPr>
                <w:rFonts w:ascii="Aptos" w:hAnsi="Aptos"/>
                <w:color w:val="1F2933"/>
                <w:sz w:val="15"/>
              </w:rPr>
              <w:t>actor, purpose, event, target, time, outcome</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deletion_requests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Lifecycle and erasure orchestration</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5"/>
              </w:rPr>
              <w:t>scope, status, systems, completion evidence</w:t>
            </w:r>
          </w:p>
        </w:tc>
      </w:tr>
    </w:tbl>
    <w:p>
      <w:pPr>
        <w:spacing w:after="20"/>
      </w:pPr>
    </w:p>
    <w:p>
      <w:pPr>
        <w:pStyle w:val="Heading2"/>
        <w:keepNext/>
      </w:pPr>
      <w:r>
        <w:rPr>
          <w:rFonts w:ascii="Aptos Display" w:hAnsi="Aptos Display"/>
          <w:b/>
          <w:color w:val="245D8C"/>
          <w:sz w:val="26"/>
        </w:rPr>
        <w:t>8.3 Source provenance object</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interface SourceReference {</w:t>
            </w:r>
            <w:r>
              <w:br/>
            </w:r>
            <w:r>
              <w:rPr>
                <w:rFonts w:ascii="Liberation Mono" w:hAnsi="Liberation Mono"/>
                <w:color w:val="263238"/>
                <w:sz w:val="16"/>
              </w:rPr>
              <w:t xml:space="preserve">  documentId: string;</w:t>
            </w:r>
            <w:r>
              <w:br/>
            </w:r>
            <w:r>
              <w:rPr>
                <w:rFonts w:ascii="Liberation Mono" w:hAnsi="Liberation Mono"/>
                <w:color w:val="263238"/>
                <w:sz w:val="16"/>
              </w:rPr>
              <w:t xml:space="preserve">  pageNumber?: number;</w:t>
            </w:r>
            <w:r>
              <w:br/>
            </w:r>
            <w:r>
              <w:rPr>
                <w:rFonts w:ascii="Liberation Mono" w:hAnsi="Liberation Mono"/>
                <w:color w:val="263238"/>
                <w:sz w:val="16"/>
              </w:rPr>
              <w:t xml:space="preserve">  elementPath?: string;          // sanitized HTML selector or block id</w:t>
            </w:r>
            <w:r>
              <w:br/>
            </w:r>
            <w:r>
              <w:rPr>
                <w:rFonts w:ascii="Liberation Mono" w:hAnsi="Liberation Mono"/>
                <w:color w:val="263238"/>
                <w:sz w:val="16"/>
              </w:rPr>
              <w:t xml:space="preserve">  boundingBox?: { x: number; y: number; width: number; height: number };</w:t>
            </w:r>
            <w:r>
              <w:br/>
            </w:r>
            <w:r>
              <w:rPr>
                <w:rFonts w:ascii="Liberation Mono" w:hAnsi="Liberation Mono"/>
                <w:color w:val="263238"/>
                <w:sz w:val="16"/>
              </w:rPr>
              <w:t xml:space="preserve">  rawText: string;</w:t>
            </w:r>
            <w:r>
              <w:br/>
            </w:r>
            <w:r>
              <w:rPr>
                <w:rFonts w:ascii="Liberation Mono" w:hAnsi="Liberation Mono"/>
                <w:color w:val="263238"/>
                <w:sz w:val="16"/>
              </w:rPr>
              <w:t xml:space="preserve">  extractionMethod: "pdf-text" | "html-dom" | "ocr" | "user-confirmed";</w:t>
            </w:r>
            <w:r>
              <w:br/>
            </w:r>
            <w:r>
              <w:rPr>
                <w:rFonts w:ascii="Liberation Mono" w:hAnsi="Liberation Mono"/>
                <w:color w:val="263238"/>
                <w:sz w:val="16"/>
              </w:rPr>
              <w:t xml:space="preserve">  parserVersion: string;</w:t>
            </w:r>
            <w:r>
              <w:br/>
            </w:r>
            <w:r>
              <w:rPr>
                <w:rFonts w:ascii="Liberation Mono" w:hAnsi="Liberation Mono"/>
                <w:color w:val="263238"/>
                <w:sz w:val="16"/>
              </w:rPr>
              <w:t xml:space="preserve">  confidence: number;            // calibrated 0.00-1.00</w:t>
            </w:r>
            <w:r>
              <w:br/>
            </w:r>
            <w:r>
              <w:rPr>
                <w:rFonts w:ascii="Liberation Mono" w:hAnsi="Liberation Mono"/>
                <w:color w:val="263238"/>
                <w:sz w:val="16"/>
              </w:rPr>
              <w:t>}</w:t>
            </w:r>
          </w:p>
        </w:tc>
        <w:trPr>
          <w:tblHeader/>
        </w:trPr>
      </w:tr>
    </w:tbl>
    <w:p>
      <w:pPr>
        <w:spacing w:after="0"/>
      </w:pPr>
    </w:p>
    <w:p>
      <w:pPr>
        <w:pStyle w:val="Heading2"/>
        <w:keepNext/>
      </w:pPr>
      <w:r>
        <w:rPr>
          <w:rFonts w:ascii="Aptos Display" w:hAnsi="Aptos Display"/>
          <w:b/>
          <w:color w:val="245D8C"/>
          <w:sz w:val="26"/>
        </w:rPr>
        <w:t>8.4 Date and money semantics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7324D"/>
            <w:tcMar>
              <w:top w:w="80" w:type="dxa"/>
              <w:start w:w="90" w:type="dxa"/>
              <w:bottom w:w="80" w:type="dxa"/>
              <w:end w:w="90" w:type="dxa"/>
            </w:tcMar>
            <w:vAlign w:val="center"/>
          </w:tcPr>
          <w:p>
            <w:pPr>
              <w:spacing w:after="0"/>
            </w:pPr>
            <w:r>
              <w:rPr>
                <w:rFonts w:ascii="Aptos" w:hAnsi="Aptos"/>
                <w:b/>
                <w:color w:val="FFFFFF"/>
                <w:sz w:val="16"/>
              </w:rPr>
              <w:t>Concern</w:t>
            </w:r>
          </w:p>
        </w:tc>
        <w:tc>
          <w:tcPr>
            <w:tcW w:type="dxa" w:w="4320"/>
            <w:shd w:fill="17324D"/>
            <w:tcMar>
              <w:top w:w="80" w:type="dxa"/>
              <w:start w:w="90" w:type="dxa"/>
              <w:bottom w:w="80" w:type="dxa"/>
              <w:end w:w="90" w:type="dxa"/>
            </w:tcMar>
            <w:vAlign w:val="center"/>
          </w:tcPr>
          <w:p>
            <w:pPr>
              <w:spacing w:after="0"/>
            </w:pPr>
            <w:r>
              <w:rPr>
                <w:rFonts w:ascii="Aptos" w:hAnsi="Aptos"/>
                <w:b/>
                <w:color w:val="FFFFFF"/>
                <w:sz w:val="16"/>
              </w:rPr>
              <w:t>Required representation</w:t>
            </w:r>
          </w:p>
        </w:tc>
        <w:tc>
          <w:tcPr>
            <w:tcW w:type="dxa" w:w="4248"/>
            <w:shd w:fill="17324D"/>
            <w:tcMar>
              <w:top w:w="80" w:type="dxa"/>
              <w:start w:w="90" w:type="dxa"/>
              <w:bottom w:w="80" w:type="dxa"/>
              <w:end w:w="90" w:type="dxa"/>
            </w:tcMar>
            <w:vAlign w:val="center"/>
          </w:tcPr>
          <w:p>
            <w:pPr>
              <w:spacing w:after="0"/>
            </w:pPr>
            <w:r>
              <w:rPr>
                <w:rFonts w:ascii="Aptos" w:hAnsi="Aptos"/>
                <w:b/>
                <w:color w:val="FFFFFF"/>
                <w:sz w:val="16"/>
              </w:rPr>
              <w:t>Prohibited shortcut</w:t>
            </w:r>
          </w:p>
        </w:tc>
      </w:tr>
      <w:tr>
        <w:trPr>
          <w:cantSplit/>
        </w:trPr>
        <w:tc>
          <w:tcPr>
            <w:tcW w:type="dxa" w:w="1872"/>
            <w:tcMar>
              <w:top w:w="70" w:type="dxa"/>
              <w:start w:w="90" w:type="dxa"/>
              <w:bottom w:w="70" w:type="dxa"/>
              <w:end w:w="90" w:type="dxa"/>
            </w:tcMar>
          </w:tcPr>
          <w:p>
            <w:pPr>
              <w:spacing w:after="0" w:line="240" w:lineRule="auto"/>
            </w:pPr>
            <w:r>
              <w:rPr>
                <w:rFonts w:ascii="Aptos" w:hAnsi="Aptos"/>
                <w:color w:val="1F2933"/>
                <w:sz w:val="16"/>
              </w:rPr>
              <w:t>Date precision</w:t>
            </w:r>
          </w:p>
        </w:tc>
        <w:tc>
          <w:tcPr>
            <w:tcW w:type="dxa" w:w="4320"/>
            <w:tcMar>
              <w:top w:w="70" w:type="dxa"/>
              <w:start w:w="90" w:type="dxa"/>
              <w:bottom w:w="70" w:type="dxa"/>
              <w:end w:w="90" w:type="dxa"/>
            </w:tcMar>
          </w:tcPr>
          <w:p>
            <w:pPr>
              <w:spacing w:after="0" w:line="240" w:lineRule="auto"/>
            </w:pPr>
            <w:r>
              <w:rPr>
                <w:rFonts w:ascii="Aptos" w:hAnsi="Aptos"/>
                <w:color w:val="1F2933"/>
                <w:sz w:val="16"/>
              </w:rPr>
              <w:t>Store value plus precision: day, month, year, or unknown</w:t>
            </w:r>
          </w:p>
        </w:tc>
        <w:tc>
          <w:tcPr>
            <w:tcW w:type="dxa" w:w="4248"/>
            <w:tcMar>
              <w:top w:w="70" w:type="dxa"/>
              <w:start w:w="90" w:type="dxa"/>
              <w:bottom w:w="70" w:type="dxa"/>
              <w:end w:w="90" w:type="dxa"/>
            </w:tcMar>
          </w:tcPr>
          <w:p>
            <w:pPr>
              <w:spacing w:after="0" w:line="240" w:lineRule="auto"/>
            </w:pPr>
            <w:r>
              <w:rPr>
                <w:rFonts w:ascii="Aptos" w:hAnsi="Aptos"/>
                <w:color w:val="1F2933"/>
                <w:sz w:val="16"/>
              </w:rPr>
              <w:t>Converting “05/2022” to an invented May 1 date without precision metadata</w:t>
            </w:r>
          </w:p>
        </w:tc>
      </w:tr>
      <w:tr>
        <w:trPr>
          <w:cantSplit/>
        </w:trPr>
        <w:tc>
          <w:tcPr>
            <w:tcW w:type="dxa" w:w="1872"/>
            <w:tcMar>
              <w:top w:w="70" w:type="dxa"/>
              <w:start w:w="90" w:type="dxa"/>
              <w:bottom w:w="70" w:type="dxa"/>
              <w:end w:w="90" w:type="dxa"/>
            </w:tcMar>
            <w:shd w:fill="F5F7FA"/>
          </w:tcPr>
          <w:p>
            <w:pPr>
              <w:spacing w:after="0" w:line="240" w:lineRule="auto"/>
            </w:pPr>
            <w:r>
              <w:rPr>
                <w:rFonts w:ascii="Aptos" w:hAnsi="Aptos"/>
                <w:color w:val="1F2933"/>
                <w:sz w:val="16"/>
              </w:rPr>
              <w:t>Displayed date label</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6"/>
              </w:rPr>
              <w:t>Store original label and normalized semantic mapping</w:t>
            </w:r>
          </w:p>
        </w:tc>
        <w:tc>
          <w:tcPr>
            <w:tcW w:type="dxa" w:w="4248"/>
            <w:tcMar>
              <w:top w:w="70" w:type="dxa"/>
              <w:start w:w="90" w:type="dxa"/>
              <w:bottom w:w="70" w:type="dxa"/>
              <w:end w:w="90" w:type="dxa"/>
            </w:tcMar>
            <w:shd w:fill="F5F7FA"/>
          </w:tcPr>
          <w:p>
            <w:pPr>
              <w:spacing w:after="0" w:line="240" w:lineRule="auto"/>
            </w:pPr>
            <w:r>
              <w:rPr>
                <w:rFonts w:ascii="Aptos" w:hAnsi="Aptos"/>
                <w:color w:val="1F2933"/>
                <w:sz w:val="16"/>
              </w:rPr>
              <w:t>Assuming “date reported” means “date of first delinquency”</w:t>
            </w:r>
          </w:p>
        </w:tc>
      </w:tr>
      <w:tr>
        <w:trPr>
          <w:cantSplit/>
        </w:trPr>
        <w:tc>
          <w:tcPr>
            <w:tcW w:type="dxa" w:w="1872"/>
            <w:tcMar>
              <w:top w:w="70" w:type="dxa"/>
              <w:start w:w="90" w:type="dxa"/>
              <w:bottom w:w="70" w:type="dxa"/>
              <w:end w:w="90" w:type="dxa"/>
            </w:tcMar>
          </w:tcPr>
          <w:p>
            <w:pPr>
              <w:spacing w:after="0" w:line="240" w:lineRule="auto"/>
            </w:pPr>
            <w:r>
              <w:rPr>
                <w:rFonts w:ascii="Aptos" w:hAnsi="Aptos"/>
                <w:color w:val="1F2933"/>
                <w:sz w:val="16"/>
              </w:rPr>
              <w:t>Money</w:t>
            </w:r>
          </w:p>
        </w:tc>
        <w:tc>
          <w:tcPr>
            <w:tcW w:type="dxa" w:w="4320"/>
            <w:tcMar>
              <w:top w:w="70" w:type="dxa"/>
              <w:start w:w="90" w:type="dxa"/>
              <w:bottom w:w="70" w:type="dxa"/>
              <w:end w:w="90" w:type="dxa"/>
            </w:tcMar>
          </w:tcPr>
          <w:p>
            <w:pPr>
              <w:spacing w:after="0" w:line="240" w:lineRule="auto"/>
            </w:pPr>
            <w:r>
              <w:rPr>
                <w:rFonts w:ascii="Aptos" w:hAnsi="Aptos"/>
                <w:color w:val="1F2933"/>
                <w:sz w:val="16"/>
              </w:rPr>
              <w:t>Integer cents, currency, original text, and blank/unknown state</w:t>
            </w:r>
          </w:p>
        </w:tc>
        <w:tc>
          <w:tcPr>
            <w:tcW w:type="dxa" w:w="4248"/>
            <w:tcMar>
              <w:top w:w="70" w:type="dxa"/>
              <w:start w:w="90" w:type="dxa"/>
              <w:bottom w:w="70" w:type="dxa"/>
              <w:end w:w="90" w:type="dxa"/>
            </w:tcMar>
          </w:tcPr>
          <w:p>
            <w:pPr>
              <w:spacing w:after="0" w:line="240" w:lineRule="auto"/>
            </w:pPr>
            <w:r>
              <w:rPr>
                <w:rFonts w:ascii="Aptos" w:hAnsi="Aptos"/>
                <w:color w:val="1F2933"/>
                <w:sz w:val="16"/>
              </w:rPr>
              <w:t>Floating-point balances or treating blank as zero</w:t>
            </w:r>
          </w:p>
        </w:tc>
      </w:tr>
      <w:tr>
        <w:trPr>
          <w:cantSplit/>
        </w:trPr>
        <w:tc>
          <w:tcPr>
            <w:tcW w:type="dxa" w:w="1872"/>
            <w:tcMar>
              <w:top w:w="70" w:type="dxa"/>
              <w:start w:w="90" w:type="dxa"/>
              <w:bottom w:w="70" w:type="dxa"/>
              <w:end w:w="90" w:type="dxa"/>
            </w:tcMar>
            <w:shd w:fill="F5F7FA"/>
          </w:tcPr>
          <w:p>
            <w:pPr>
              <w:spacing w:after="0" w:line="240" w:lineRule="auto"/>
            </w:pPr>
            <w:r>
              <w:rPr>
                <w:rFonts w:ascii="Aptos" w:hAnsi="Aptos"/>
                <w:color w:val="1F2933"/>
                <w:sz w:val="16"/>
              </w:rPr>
              <w:t>Status</w:t>
            </w:r>
          </w:p>
        </w:tc>
        <w:tc>
          <w:tcPr>
            <w:tcW w:type="dxa" w:w="4320"/>
            <w:tcMar>
              <w:top w:w="70" w:type="dxa"/>
              <w:start w:w="90" w:type="dxa"/>
              <w:bottom w:w="70" w:type="dxa"/>
              <w:end w:w="90" w:type="dxa"/>
            </w:tcMar>
            <w:shd w:fill="F5F7FA"/>
          </w:tcPr>
          <w:p>
            <w:pPr>
              <w:spacing w:after="0" w:line="240" w:lineRule="auto"/>
            </w:pPr>
            <w:r>
              <w:rPr>
                <w:rFonts w:ascii="Aptos" w:hAnsi="Aptos"/>
                <w:color w:val="1F2933"/>
                <w:sz w:val="16"/>
              </w:rPr>
              <w:t>Canonical value plus original bureau display</w:t>
            </w:r>
          </w:p>
        </w:tc>
        <w:tc>
          <w:tcPr>
            <w:tcW w:type="dxa" w:w="4248"/>
            <w:tcMar>
              <w:top w:w="70" w:type="dxa"/>
              <w:start w:w="90" w:type="dxa"/>
              <w:bottom w:w="70" w:type="dxa"/>
              <w:end w:w="90" w:type="dxa"/>
            </w:tcMar>
            <w:shd w:fill="F5F7FA"/>
          </w:tcPr>
          <w:p>
            <w:pPr>
              <w:spacing w:after="0" w:line="240" w:lineRule="auto"/>
            </w:pPr>
            <w:r>
              <w:rPr>
                <w:rFonts w:ascii="Aptos" w:hAnsi="Aptos"/>
                <w:color w:val="1F2933"/>
                <w:sz w:val="16"/>
              </w:rPr>
              <w:t>Overwriting bureau wording or collapsing disputed/unknown states</w:t>
            </w:r>
          </w:p>
        </w:tc>
      </w:tr>
      <w:tr>
        <w:trPr>
          <w:cantSplit/>
        </w:trPr>
        <w:tc>
          <w:tcPr>
            <w:tcW w:type="dxa" w:w="1872"/>
            <w:tcMar>
              <w:top w:w="70" w:type="dxa"/>
              <w:start w:w="90" w:type="dxa"/>
              <w:bottom w:w="70" w:type="dxa"/>
              <w:end w:w="90" w:type="dxa"/>
            </w:tcMar>
          </w:tcPr>
          <w:p>
            <w:pPr>
              <w:spacing w:after="0" w:line="240" w:lineRule="auto"/>
            </w:pPr>
            <w:r>
              <w:rPr>
                <w:rFonts w:ascii="Aptos" w:hAnsi="Aptos"/>
                <w:color w:val="1F2933"/>
                <w:sz w:val="16"/>
              </w:rPr>
              <w:t>Payment history</w:t>
            </w:r>
          </w:p>
        </w:tc>
        <w:tc>
          <w:tcPr>
            <w:tcW w:type="dxa" w:w="4320"/>
            <w:tcMar>
              <w:top w:w="70" w:type="dxa"/>
              <w:start w:w="90" w:type="dxa"/>
              <w:bottom w:w="70" w:type="dxa"/>
              <w:end w:w="90" w:type="dxa"/>
            </w:tcMar>
          </w:tcPr>
          <w:p>
            <w:pPr>
              <w:spacing w:after="0" w:line="240" w:lineRule="auto"/>
            </w:pPr>
            <w:r>
              <w:rPr>
                <w:rFonts w:ascii="Aptos" w:hAnsi="Aptos"/>
                <w:color w:val="1F2933"/>
                <w:sz w:val="16"/>
              </w:rPr>
              <w:t>Month-indexed entries with source page and legend</w:t>
            </w:r>
          </w:p>
        </w:tc>
        <w:tc>
          <w:tcPr>
            <w:tcW w:type="dxa" w:w="4248"/>
            <w:tcMar>
              <w:top w:w="70" w:type="dxa"/>
              <w:start w:w="90" w:type="dxa"/>
              <w:bottom w:w="70" w:type="dxa"/>
              <w:end w:w="90" w:type="dxa"/>
            </w:tcMar>
          </w:tcPr>
          <w:p>
            <w:pPr>
              <w:spacing w:after="0" w:line="240" w:lineRule="auto"/>
            </w:pPr>
            <w:r>
              <w:rPr>
                <w:rFonts w:ascii="Aptos" w:hAnsi="Aptos"/>
                <w:color w:val="1F2933"/>
                <w:sz w:val="16"/>
              </w:rPr>
              <w:t>Inferring missing months as current or late</w:t>
            </w:r>
          </w:p>
        </w:tc>
      </w:tr>
    </w:tbl>
    <w:p>
      <w:pPr>
        <w:spacing w:after="20"/>
      </w:pPr>
    </w:p>
    <w:p>
      <w:pPr>
        <w:pStyle w:val="Heading1"/>
        <w:pageBreakBefore/>
      </w:pPr>
      <w:r>
        <w:rPr>
          <w:rFonts w:ascii="Aptos Display" w:hAnsi="Aptos Display"/>
          <w:b/>
          <w:color w:val="17324D"/>
          <w:sz w:val="36"/>
        </w:rPr>
        <w:t>9. Analysis Methodology</w:t>
      </w:r>
    </w:p>
    <w:p>
      <w:pPr>
        <w:jc w:val="center"/>
      </w:pPr>
      <w:r>
        <w:drawing>
          <wp:inline xmlns:a="http://schemas.openxmlformats.org/drawingml/2006/main" xmlns:pic="http://schemas.openxmlformats.org/drawingml/2006/picture">
            <wp:extent cx="6400800" cy="2311400"/>
            <wp:docPr id="1" name="Picture 1" descr="Image: image1.png"/>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400800" cy="2311400"/>
                    </a:xfrm>
                    <a:prstGeom prst="rect"/>
                  </pic:spPr>
                </pic:pic>
              </a:graphicData>
            </a:graphic>
          </wp:inline>
        </w:drawing>
      </w:r>
    </w:p>
    <w:p>
      <w:pPr>
        <w:pStyle w:val="Heading2"/>
        <w:keepNext/>
      </w:pPr>
      <w:r>
        <w:rPr>
          <w:rFonts w:ascii="Aptos Display" w:hAnsi="Aptos Display"/>
          <w:b/>
          <w:color w:val="245D8C"/>
          <w:sz w:val="26"/>
        </w:rPr>
        <w:t>9.1 Finding taxonomy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24D"/>
            <w:tcMar>
              <w:top w:w="80" w:type="dxa"/>
              <w:start w:w="90" w:type="dxa"/>
              <w:bottom w:w="80" w:type="dxa"/>
              <w:end w:w="90" w:type="dxa"/>
            </w:tcMar>
            <w:vAlign w:val="center"/>
          </w:tcPr>
          <w:p>
            <w:pPr>
              <w:spacing w:after="0"/>
            </w:pPr>
            <w:r>
              <w:rPr>
                <w:rFonts w:ascii="Aptos" w:hAnsi="Aptos"/>
                <w:b/>
                <w:color w:val="FFFFFF"/>
                <w:sz w:val="15"/>
              </w:rPr>
              <w:t>Classification</w:t>
            </w:r>
          </w:p>
        </w:tc>
        <w:tc>
          <w:tcPr>
            <w:tcW w:type="dxa" w:w="2520"/>
            <w:shd w:fill="17324D"/>
            <w:tcMar>
              <w:top w:w="80" w:type="dxa"/>
              <w:start w:w="90" w:type="dxa"/>
              <w:bottom w:w="80" w:type="dxa"/>
              <w:end w:w="90" w:type="dxa"/>
            </w:tcMar>
            <w:vAlign w:val="center"/>
          </w:tcPr>
          <w:p>
            <w:pPr>
              <w:spacing w:after="0"/>
            </w:pPr>
            <w:r>
              <w:rPr>
                <w:rFonts w:ascii="Aptos" w:hAnsi="Aptos"/>
                <w:b/>
                <w:color w:val="FFFFFF"/>
                <w:sz w:val="15"/>
              </w:rPr>
              <w:t>Meaning</w:t>
            </w:r>
          </w:p>
        </w:tc>
        <w:tc>
          <w:tcPr>
            <w:tcW w:type="dxa" w:w="3312"/>
            <w:shd w:fill="17324D"/>
            <w:tcMar>
              <w:top w:w="80" w:type="dxa"/>
              <w:start w:w="90" w:type="dxa"/>
              <w:bottom w:w="80" w:type="dxa"/>
              <w:end w:w="90" w:type="dxa"/>
            </w:tcMar>
            <w:vAlign w:val="center"/>
          </w:tcPr>
          <w:p>
            <w:pPr>
              <w:spacing w:after="0"/>
            </w:pPr>
            <w:r>
              <w:rPr>
                <w:rFonts w:ascii="Aptos" w:hAnsi="Aptos"/>
                <w:b/>
                <w:color w:val="FFFFFF"/>
                <w:sz w:val="15"/>
              </w:rPr>
              <w:t>Permitted language</w:t>
            </w:r>
          </w:p>
        </w:tc>
        <w:tc>
          <w:tcPr>
            <w:tcW w:type="dxa" w:w="2664"/>
            <w:shd w:fill="17324D"/>
            <w:tcMar>
              <w:top w:w="80" w:type="dxa"/>
              <w:start w:w="90" w:type="dxa"/>
              <w:bottom w:w="80" w:type="dxa"/>
              <w:end w:w="90" w:type="dxa"/>
            </w:tcMar>
            <w:vAlign w:val="center"/>
          </w:tcPr>
          <w:p>
            <w:pPr>
              <w:spacing w:after="0"/>
            </w:pPr>
            <w:r>
              <w:rPr>
                <w:rFonts w:ascii="Aptos" w:hAnsi="Aptos"/>
                <w:b/>
                <w:color w:val="FFFFFF"/>
                <w:sz w:val="15"/>
              </w:rPr>
              <w:t>Required caution</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Observed fact</w:t>
            </w:r>
          </w:p>
        </w:tc>
        <w:tc>
          <w:tcPr>
            <w:tcW w:type="dxa" w:w="2520"/>
            <w:tcMar>
              <w:top w:w="70" w:type="dxa"/>
              <w:start w:w="90" w:type="dxa"/>
              <w:bottom w:w="70" w:type="dxa"/>
              <w:end w:w="90" w:type="dxa"/>
            </w:tcMar>
          </w:tcPr>
          <w:p>
            <w:pPr>
              <w:spacing w:after="0" w:line="240" w:lineRule="auto"/>
            </w:pPr>
            <w:r>
              <w:rPr>
                <w:rFonts w:ascii="Aptos" w:hAnsi="Aptos"/>
                <w:color w:val="1F2933"/>
                <w:sz w:val="15"/>
              </w:rPr>
              <w:t>Directly displayed or user-confirmed value</w:t>
            </w:r>
          </w:p>
        </w:tc>
        <w:tc>
          <w:tcPr>
            <w:tcW w:type="dxa" w:w="3312"/>
            <w:tcMar>
              <w:top w:w="70" w:type="dxa"/>
              <w:start w:w="90" w:type="dxa"/>
              <w:bottom w:w="70" w:type="dxa"/>
              <w:end w:w="90" w:type="dxa"/>
            </w:tcMar>
          </w:tcPr>
          <w:p>
            <w:pPr>
              <w:spacing w:after="0" w:line="240" w:lineRule="auto"/>
            </w:pPr>
            <w:r>
              <w:rPr>
                <w:rFonts w:ascii="Aptos" w:hAnsi="Aptos"/>
                <w:color w:val="1F2933"/>
                <w:sz w:val="15"/>
              </w:rPr>
              <w:t>“The report displays…”</w:t>
            </w:r>
          </w:p>
        </w:tc>
        <w:tc>
          <w:tcPr>
            <w:tcW w:type="dxa" w:w="2664"/>
            <w:tcMar>
              <w:top w:w="70" w:type="dxa"/>
              <w:start w:w="90" w:type="dxa"/>
              <w:bottom w:w="70" w:type="dxa"/>
              <w:end w:w="90" w:type="dxa"/>
            </w:tcMar>
          </w:tcPr>
          <w:p>
            <w:pPr>
              <w:spacing w:after="0" w:line="240" w:lineRule="auto"/>
            </w:pPr>
            <w:r>
              <w:rPr>
                <w:rFonts w:ascii="Aptos" w:hAnsi="Aptos"/>
                <w:color w:val="1F2933"/>
                <w:sz w:val="15"/>
              </w:rPr>
              <w:t>Do not imply accuracy merely because it is displayed</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Inconsistency</w:t>
            </w:r>
          </w:p>
        </w:tc>
        <w:tc>
          <w:tcPr>
            <w:tcW w:type="dxa" w:w="2520"/>
            <w:tcMar>
              <w:top w:w="70" w:type="dxa"/>
              <w:start w:w="90" w:type="dxa"/>
              <w:bottom w:w="70" w:type="dxa"/>
              <w:end w:w="90" w:type="dxa"/>
            </w:tcMar>
            <w:shd w:fill="F5F7FA"/>
          </w:tcPr>
          <w:p>
            <w:pPr>
              <w:spacing w:after="0" w:line="240" w:lineRule="auto"/>
            </w:pPr>
            <w:r>
              <w:rPr>
                <w:rFonts w:ascii="Aptos" w:hAnsi="Aptos"/>
                <w:color w:val="1F2933"/>
                <w:sz w:val="15"/>
              </w:rPr>
              <w:t>Two comparable displayed values conflict</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“These comparable values differ…”</w:t>
            </w:r>
          </w:p>
        </w:tc>
        <w:tc>
          <w:tcPr>
            <w:tcW w:type="dxa" w:w="2664"/>
            <w:tcMar>
              <w:top w:w="70" w:type="dxa"/>
              <w:start w:w="90" w:type="dxa"/>
              <w:bottom w:w="70" w:type="dxa"/>
              <w:end w:w="90" w:type="dxa"/>
            </w:tcMar>
            <w:shd w:fill="F5F7FA"/>
          </w:tcPr>
          <w:p>
            <w:pPr>
              <w:spacing w:after="0" w:line="240" w:lineRule="auto"/>
            </w:pPr>
            <w:r>
              <w:rPr>
                <w:rFonts w:ascii="Aptos" w:hAnsi="Aptos"/>
                <w:color w:val="1F2933"/>
                <w:sz w:val="15"/>
              </w:rPr>
              <w:t>Explain update-date and bureau-format alternatives</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Potential error</w:t>
            </w:r>
          </w:p>
        </w:tc>
        <w:tc>
          <w:tcPr>
            <w:tcW w:type="dxa" w:w="2520"/>
            <w:tcMar>
              <w:top w:w="70" w:type="dxa"/>
              <w:start w:w="90" w:type="dxa"/>
              <w:bottom w:w="70" w:type="dxa"/>
              <w:end w:w="90" w:type="dxa"/>
            </w:tcMar>
          </w:tcPr>
          <w:p>
            <w:pPr>
              <w:spacing w:after="0" w:line="240" w:lineRule="auto"/>
            </w:pPr>
            <w:r>
              <w:rPr>
                <w:rFonts w:ascii="Aptos" w:hAnsi="Aptos"/>
                <w:color w:val="1F2933"/>
                <w:sz w:val="15"/>
              </w:rPr>
              <w:t>Evidence supports a plausible inaccurate/incomplete item</w:t>
            </w:r>
          </w:p>
        </w:tc>
        <w:tc>
          <w:tcPr>
            <w:tcW w:type="dxa" w:w="3312"/>
            <w:tcMar>
              <w:top w:w="70" w:type="dxa"/>
              <w:start w:w="90" w:type="dxa"/>
              <w:bottom w:w="70" w:type="dxa"/>
              <w:end w:w="90" w:type="dxa"/>
            </w:tcMar>
          </w:tcPr>
          <w:p>
            <w:pPr>
              <w:spacing w:after="0" w:line="240" w:lineRule="auto"/>
            </w:pPr>
            <w:r>
              <w:rPr>
                <w:rFonts w:ascii="Aptos" w:hAnsi="Aptos"/>
                <w:color w:val="1F2933"/>
                <w:sz w:val="15"/>
              </w:rPr>
              <w:t>“This may be inaccurate and warrants verification…”</w:t>
            </w:r>
          </w:p>
        </w:tc>
        <w:tc>
          <w:tcPr>
            <w:tcW w:type="dxa" w:w="2664"/>
            <w:tcMar>
              <w:top w:w="70" w:type="dxa"/>
              <w:start w:w="90" w:type="dxa"/>
              <w:bottom w:w="70" w:type="dxa"/>
              <w:end w:w="90" w:type="dxa"/>
            </w:tcMar>
          </w:tcPr>
          <w:p>
            <w:pPr>
              <w:spacing w:after="0" w:line="240" w:lineRule="auto"/>
            </w:pPr>
            <w:r>
              <w:rPr>
                <w:rFonts w:ascii="Aptos" w:hAnsi="Aptos"/>
                <w:color w:val="1F2933"/>
                <w:sz w:val="15"/>
              </w:rPr>
              <w:t>Not a legal determination; ask for supporting records</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Verification recommended</w:t>
            </w:r>
          </w:p>
        </w:tc>
        <w:tc>
          <w:tcPr>
            <w:tcW w:type="dxa" w:w="2520"/>
            <w:tcMar>
              <w:top w:w="70" w:type="dxa"/>
              <w:start w:w="90" w:type="dxa"/>
              <w:bottom w:w="70" w:type="dxa"/>
              <w:end w:w="90" w:type="dxa"/>
            </w:tcMar>
            <w:shd w:fill="F5F7FA"/>
          </w:tcPr>
          <w:p>
            <w:pPr>
              <w:spacing w:after="0" w:line="240" w:lineRule="auto"/>
            </w:pPr>
            <w:r>
              <w:rPr>
                <w:rFonts w:ascii="Aptos" w:hAnsi="Aptos"/>
                <w:color w:val="1F2933"/>
                <w:sz w:val="15"/>
              </w:rPr>
              <w:t>Pattern cannot be resolved from the report</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“Confirm this with…”</w:t>
            </w:r>
          </w:p>
        </w:tc>
        <w:tc>
          <w:tcPr>
            <w:tcW w:type="dxa" w:w="2664"/>
            <w:tcMar>
              <w:top w:w="70" w:type="dxa"/>
              <w:start w:w="90" w:type="dxa"/>
              <w:bottom w:w="70" w:type="dxa"/>
              <w:end w:w="90" w:type="dxa"/>
            </w:tcMar>
            <w:shd w:fill="F5F7FA"/>
          </w:tcPr>
          <w:p>
            <w:pPr>
              <w:spacing w:after="0" w:line="240" w:lineRule="auto"/>
            </w:pPr>
            <w:r>
              <w:rPr>
                <w:rFonts w:ascii="Aptos" w:hAnsi="Aptos"/>
                <w:color w:val="1F2933"/>
                <w:sz w:val="15"/>
              </w:rPr>
              <w:t>Identify the missing information</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Potential compliance concern</w:t>
            </w:r>
          </w:p>
        </w:tc>
        <w:tc>
          <w:tcPr>
            <w:tcW w:type="dxa" w:w="2520"/>
            <w:tcMar>
              <w:top w:w="70" w:type="dxa"/>
              <w:start w:w="90" w:type="dxa"/>
              <w:bottom w:w="70" w:type="dxa"/>
              <w:end w:w="90" w:type="dxa"/>
            </w:tcMar>
          </w:tcPr>
          <w:p>
            <w:pPr>
              <w:spacing w:after="0" w:line="240" w:lineRule="auto"/>
            </w:pPr>
            <w:r>
              <w:rPr>
                <w:rFonts w:ascii="Aptos" w:hAnsi="Aptos"/>
                <w:color w:val="1F2933"/>
                <w:sz w:val="15"/>
              </w:rPr>
              <w:t>Approved legal rule identifies facts that may warrant specialist review</w:t>
            </w:r>
          </w:p>
        </w:tc>
        <w:tc>
          <w:tcPr>
            <w:tcW w:type="dxa" w:w="3312"/>
            <w:tcMar>
              <w:top w:w="70" w:type="dxa"/>
              <w:start w:w="90" w:type="dxa"/>
              <w:bottom w:w="70" w:type="dxa"/>
              <w:end w:w="90" w:type="dxa"/>
            </w:tcMar>
          </w:tcPr>
          <w:p>
            <w:pPr>
              <w:spacing w:after="0" w:line="240" w:lineRule="auto"/>
            </w:pPr>
            <w:r>
              <w:rPr>
                <w:rFonts w:ascii="Aptos" w:hAnsi="Aptos"/>
                <w:color w:val="1F2933"/>
                <w:sz w:val="15"/>
              </w:rPr>
              <w:t>“This may raise a reporting concern…”</w:t>
            </w:r>
          </w:p>
        </w:tc>
        <w:tc>
          <w:tcPr>
            <w:tcW w:type="dxa" w:w="2664"/>
            <w:tcMar>
              <w:top w:w="70" w:type="dxa"/>
              <w:start w:w="90" w:type="dxa"/>
              <w:bottom w:w="70" w:type="dxa"/>
              <w:end w:w="90" w:type="dxa"/>
            </w:tcMar>
          </w:tcPr>
          <w:p>
            <w:pPr>
              <w:spacing w:after="0" w:line="240" w:lineRule="auto"/>
            </w:pPr>
            <w:r>
              <w:rPr>
                <w:rFonts w:ascii="Aptos" w:hAnsi="Aptos"/>
                <w:color w:val="1F2933"/>
                <w:sz w:val="15"/>
              </w:rPr>
              <w:t>Cite authority, assumptions, and legal-review limitation</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Insufficient information</w:t>
            </w:r>
          </w:p>
        </w:tc>
        <w:tc>
          <w:tcPr>
            <w:tcW w:type="dxa" w:w="2520"/>
            <w:tcMar>
              <w:top w:w="70" w:type="dxa"/>
              <w:start w:w="90" w:type="dxa"/>
              <w:bottom w:w="70" w:type="dxa"/>
              <w:end w:w="90" w:type="dxa"/>
            </w:tcMar>
            <w:shd w:fill="F5F7FA"/>
          </w:tcPr>
          <w:p>
            <w:pPr>
              <w:spacing w:after="0" w:line="240" w:lineRule="auto"/>
            </w:pPr>
            <w:r>
              <w:rPr>
                <w:rFonts w:ascii="Aptos" w:hAnsi="Aptos"/>
                <w:color w:val="1F2933"/>
                <w:sz w:val="15"/>
              </w:rPr>
              <w:t>Report lacks required facts</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“The report alone cannot establish…”</w:t>
            </w:r>
          </w:p>
        </w:tc>
        <w:tc>
          <w:tcPr>
            <w:tcW w:type="dxa" w:w="2664"/>
            <w:tcMar>
              <w:top w:w="70" w:type="dxa"/>
              <w:start w:w="90" w:type="dxa"/>
              <w:bottom w:w="70" w:type="dxa"/>
              <w:end w:w="90" w:type="dxa"/>
            </w:tcMar>
            <w:shd w:fill="F5F7FA"/>
          </w:tcPr>
          <w:p>
            <w:pPr>
              <w:spacing w:after="0" w:line="240" w:lineRule="auto"/>
            </w:pPr>
            <w:r>
              <w:rPr>
                <w:rFonts w:ascii="Aptos" w:hAnsi="Aptos"/>
                <w:color w:val="1F2933"/>
                <w:sz w:val="15"/>
              </w:rPr>
              <w:t>Do not convert uncertainty to a finding</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Educational opportunity</w:t>
            </w:r>
          </w:p>
        </w:tc>
        <w:tc>
          <w:tcPr>
            <w:tcW w:type="dxa" w:w="2520"/>
            <w:tcMar>
              <w:top w:w="70" w:type="dxa"/>
              <w:start w:w="90" w:type="dxa"/>
              <w:bottom w:w="70" w:type="dxa"/>
              <w:end w:w="90" w:type="dxa"/>
            </w:tcMar>
          </w:tcPr>
          <w:p>
            <w:pPr>
              <w:spacing w:after="0" w:line="240" w:lineRule="auto"/>
            </w:pPr>
            <w:r>
              <w:rPr>
                <w:rFonts w:ascii="Aptos" w:hAnsi="Aptos"/>
                <w:color w:val="1F2933"/>
                <w:sz w:val="15"/>
              </w:rPr>
              <w:t>Accurate or neutral data suggests useful education</w:t>
            </w:r>
          </w:p>
        </w:tc>
        <w:tc>
          <w:tcPr>
            <w:tcW w:type="dxa" w:w="3312"/>
            <w:tcMar>
              <w:top w:w="70" w:type="dxa"/>
              <w:start w:w="90" w:type="dxa"/>
              <w:bottom w:w="70" w:type="dxa"/>
              <w:end w:w="90" w:type="dxa"/>
            </w:tcMar>
          </w:tcPr>
          <w:p>
            <w:pPr>
              <w:spacing w:after="0" w:line="240" w:lineRule="auto"/>
            </w:pPr>
            <w:r>
              <w:rPr>
                <w:rFonts w:ascii="Aptos" w:hAnsi="Aptos"/>
                <w:color w:val="1F2933"/>
                <w:sz w:val="15"/>
              </w:rPr>
              <w:t>“This concept may help you…”</w:t>
            </w:r>
          </w:p>
        </w:tc>
        <w:tc>
          <w:tcPr>
            <w:tcW w:type="dxa" w:w="2664"/>
            <w:tcMar>
              <w:top w:w="70" w:type="dxa"/>
              <w:start w:w="90" w:type="dxa"/>
              <w:bottom w:w="70" w:type="dxa"/>
              <w:end w:w="90" w:type="dxa"/>
            </w:tcMar>
          </w:tcPr>
          <w:p>
            <w:pPr>
              <w:spacing w:after="0" w:line="240" w:lineRule="auto"/>
            </w:pPr>
            <w:r>
              <w:rPr>
                <w:rFonts w:ascii="Aptos" w:hAnsi="Aptos"/>
                <w:color w:val="1F2933"/>
                <w:sz w:val="15"/>
              </w:rPr>
              <w:t>Do not frame as an error or guarantee</w:t>
            </w:r>
          </w:p>
        </w:tc>
      </w:tr>
    </w:tbl>
    <w:p>
      <w:pPr>
        <w:spacing w:after="20"/>
      </w:pPr>
    </w:p>
    <w:p>
      <w:pPr>
        <w:pStyle w:val="Heading2"/>
        <w:keepNext/>
        <w:pageBreakBefore/>
      </w:pPr>
      <w:r>
        <w:rPr>
          <w:rFonts w:ascii="Aptos Display" w:hAnsi="Aptos Display"/>
          <w:b/>
          <w:color w:val="245D8C"/>
          <w:sz w:val="26"/>
        </w:rPr>
        <w:t>9.2 Severity and confidence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80" w:type="dxa"/>
              <w:start w:w="90" w:type="dxa"/>
              <w:bottom w:w="80" w:type="dxa"/>
              <w:end w:w="90" w:type="dxa"/>
            </w:tcMar>
            <w:vAlign w:val="center"/>
          </w:tcPr>
          <w:p>
            <w:pPr>
              <w:spacing w:after="0"/>
            </w:pPr>
            <w:r>
              <w:rPr>
                <w:rFonts w:ascii="Aptos" w:hAnsi="Aptos"/>
                <w:b/>
                <w:color w:val="FFFFFF"/>
                <w:sz w:val="16"/>
              </w:rPr>
              <w:t>Dimension</w:t>
            </w:r>
          </w:p>
        </w:tc>
        <w:tc>
          <w:tcPr>
            <w:tcW w:type="dxa" w:w="2592"/>
            <w:shd w:fill="17324D"/>
            <w:tcMar>
              <w:top w:w="80" w:type="dxa"/>
              <w:start w:w="90" w:type="dxa"/>
              <w:bottom w:w="80" w:type="dxa"/>
              <w:end w:w="90" w:type="dxa"/>
            </w:tcMar>
            <w:vAlign w:val="center"/>
          </w:tcPr>
          <w:p>
            <w:pPr>
              <w:spacing w:after="0"/>
            </w:pPr>
            <w:r>
              <w:rPr>
                <w:rFonts w:ascii="Aptos" w:hAnsi="Aptos"/>
                <w:b/>
                <w:color w:val="FFFFFF"/>
                <w:sz w:val="16"/>
              </w:rPr>
              <w:t>Scale</w:t>
            </w:r>
          </w:p>
        </w:tc>
        <w:tc>
          <w:tcPr>
            <w:tcW w:type="dxa" w:w="5904"/>
            <w:shd w:fill="17324D"/>
            <w:tcMar>
              <w:top w:w="80" w:type="dxa"/>
              <w:start w:w="90" w:type="dxa"/>
              <w:bottom w:w="80" w:type="dxa"/>
              <w:end w:w="90" w:type="dxa"/>
            </w:tcMar>
            <w:vAlign w:val="center"/>
          </w:tcPr>
          <w:p>
            <w:pPr>
              <w:spacing w:after="0"/>
            </w:pPr>
            <w:r>
              <w:rPr>
                <w:rFonts w:ascii="Aptos" w:hAnsi="Aptos"/>
                <w:b/>
                <w:color w:val="FFFFFF"/>
                <w:sz w:val="16"/>
              </w:rPr>
              <w:t>Definition</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Severity</w:t>
            </w:r>
          </w:p>
        </w:tc>
        <w:tc>
          <w:tcPr>
            <w:tcW w:type="dxa" w:w="2592"/>
            <w:tcMar>
              <w:top w:w="70" w:type="dxa"/>
              <w:start w:w="90" w:type="dxa"/>
              <w:bottom w:w="70" w:type="dxa"/>
              <w:end w:w="90" w:type="dxa"/>
            </w:tcMar>
          </w:tcPr>
          <w:p>
            <w:pPr>
              <w:spacing w:after="0" w:line="240" w:lineRule="auto"/>
            </w:pPr>
            <w:r>
              <w:rPr>
                <w:rFonts w:ascii="Aptos" w:hAnsi="Aptos"/>
                <w:color w:val="1F2933"/>
                <w:sz w:val="16"/>
              </w:rPr>
              <w:t>Info / Low / Medium / High</w:t>
            </w:r>
          </w:p>
        </w:tc>
        <w:tc>
          <w:tcPr>
            <w:tcW w:type="dxa" w:w="5904"/>
            <w:tcMar>
              <w:top w:w="70" w:type="dxa"/>
              <w:start w:w="90" w:type="dxa"/>
              <w:bottom w:w="70" w:type="dxa"/>
              <w:end w:w="90" w:type="dxa"/>
            </w:tcMar>
          </w:tcPr>
          <w:p>
            <w:pPr>
              <w:spacing w:after="0" w:line="240" w:lineRule="auto"/>
            </w:pPr>
            <w:r>
              <w:rPr>
                <w:rFonts w:ascii="Aptos" w:hAnsi="Aptos"/>
                <w:color w:val="1F2933"/>
                <w:sz w:val="16"/>
              </w:rPr>
              <w:t>Potential consumer impact and urgency, not certainty or legal damages.</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Parser confidence</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0.00-1.00 calibrated</w:t>
            </w:r>
          </w:p>
        </w:tc>
        <w:tc>
          <w:tcPr>
            <w:tcW w:type="dxa" w:w="5904"/>
            <w:tcMar>
              <w:top w:w="70" w:type="dxa"/>
              <w:start w:w="90" w:type="dxa"/>
              <w:bottom w:w="70" w:type="dxa"/>
              <w:end w:w="90" w:type="dxa"/>
            </w:tcMar>
            <w:shd w:fill="F5F7FA"/>
          </w:tcPr>
          <w:p>
            <w:pPr>
              <w:spacing w:after="0" w:line="240" w:lineRule="auto"/>
            </w:pPr>
            <w:r>
              <w:rPr>
                <w:rFonts w:ascii="Aptos" w:hAnsi="Aptos"/>
                <w:color w:val="1F2933"/>
                <w:sz w:val="16"/>
              </w:rPr>
              <w:t>Likelihood that a value was correctly extracted from the displayed source.</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Match confidence</w:t>
            </w:r>
          </w:p>
        </w:tc>
        <w:tc>
          <w:tcPr>
            <w:tcW w:type="dxa" w:w="2592"/>
            <w:tcMar>
              <w:top w:w="70" w:type="dxa"/>
              <w:start w:w="90" w:type="dxa"/>
              <w:bottom w:w="70" w:type="dxa"/>
              <w:end w:w="90" w:type="dxa"/>
            </w:tcMar>
          </w:tcPr>
          <w:p>
            <w:pPr>
              <w:spacing w:after="0" w:line="240" w:lineRule="auto"/>
            </w:pPr>
            <w:r>
              <w:rPr>
                <w:rFonts w:ascii="Aptos" w:hAnsi="Aptos"/>
                <w:color w:val="1F2933"/>
                <w:sz w:val="16"/>
              </w:rPr>
              <w:t>0.00-1.00 calibrated</w:t>
            </w:r>
          </w:p>
        </w:tc>
        <w:tc>
          <w:tcPr>
            <w:tcW w:type="dxa" w:w="5904"/>
            <w:tcMar>
              <w:top w:w="70" w:type="dxa"/>
              <w:start w:w="90" w:type="dxa"/>
              <w:bottom w:w="70" w:type="dxa"/>
              <w:end w:w="90" w:type="dxa"/>
            </w:tcMar>
          </w:tcPr>
          <w:p>
            <w:pPr>
              <w:spacing w:after="0" w:line="240" w:lineRule="auto"/>
            </w:pPr>
            <w:r>
              <w:rPr>
                <w:rFonts w:ascii="Aptos" w:hAnsi="Aptos"/>
                <w:color w:val="1F2933"/>
                <w:sz w:val="16"/>
              </w:rPr>
              <w:t>Likelihood that multiple bureau records represent the same account.</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Rule confidence</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Low / Medium / High</w:t>
            </w:r>
          </w:p>
        </w:tc>
        <w:tc>
          <w:tcPr>
            <w:tcW w:type="dxa" w:w="5904"/>
            <w:tcMar>
              <w:top w:w="70" w:type="dxa"/>
              <w:start w:w="90" w:type="dxa"/>
              <w:bottom w:w="70" w:type="dxa"/>
              <w:end w:w="90" w:type="dxa"/>
            </w:tcMar>
            <w:shd w:fill="F5F7FA"/>
          </w:tcPr>
          <w:p>
            <w:pPr>
              <w:spacing w:after="0" w:line="240" w:lineRule="auto"/>
            </w:pPr>
            <w:r>
              <w:rPr>
                <w:rFonts w:ascii="Aptos" w:hAnsi="Aptos"/>
                <w:color w:val="1F2933"/>
                <w:sz w:val="16"/>
              </w:rPr>
              <w:t>Strength of the rule inference given required facts and alternatives.</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Legal status</w:t>
            </w:r>
          </w:p>
        </w:tc>
        <w:tc>
          <w:tcPr>
            <w:tcW w:type="dxa" w:w="2592"/>
            <w:tcMar>
              <w:top w:w="70" w:type="dxa"/>
              <w:start w:w="90" w:type="dxa"/>
              <w:bottom w:w="70" w:type="dxa"/>
              <w:end w:w="90" w:type="dxa"/>
            </w:tcMar>
          </w:tcPr>
          <w:p>
            <w:pPr>
              <w:spacing w:after="0" w:line="240" w:lineRule="auto"/>
            </w:pPr>
            <w:r>
              <w:rPr>
                <w:rFonts w:ascii="Aptos" w:hAnsi="Aptos"/>
                <w:color w:val="1F2933"/>
                <w:sz w:val="16"/>
              </w:rPr>
              <w:t>None / Education / Potential concern / Counsel review</w:t>
            </w:r>
          </w:p>
        </w:tc>
        <w:tc>
          <w:tcPr>
            <w:tcW w:type="dxa" w:w="5904"/>
            <w:tcMar>
              <w:top w:w="70" w:type="dxa"/>
              <w:start w:w="90" w:type="dxa"/>
              <w:bottom w:w="70" w:type="dxa"/>
              <w:end w:w="90" w:type="dxa"/>
            </w:tcMar>
          </w:tcPr>
          <w:p>
            <w:pPr>
              <w:spacing w:after="0" w:line="240" w:lineRule="auto"/>
            </w:pPr>
            <w:r>
              <w:rPr>
                <w:rFonts w:ascii="Aptos" w:hAnsi="Aptos"/>
                <w:color w:val="1F2933"/>
                <w:sz w:val="16"/>
              </w:rPr>
              <w:t>How legal authority may be referenced; never “confirmed violation” automatically.</w:t>
            </w:r>
          </w:p>
        </w:tc>
      </w:tr>
    </w:tbl>
    <w:p>
      <w:pPr>
        <w:spacing w:after="20"/>
      </w:pPr>
    </w:p>
    <w:p>
      <w:pPr>
        <w:pStyle w:val="Heading2"/>
        <w:keepNext/>
      </w:pPr>
      <w:r>
        <w:rPr>
          <w:rFonts w:ascii="Aptos Display" w:hAnsi="Aptos Display"/>
          <w:b/>
          <w:color w:val="245D8C"/>
          <w:sz w:val="26"/>
        </w:rPr>
        <w:t>9.3 Rule contract</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interface CreditRule {</w:t>
            </w:r>
            <w:r>
              <w:br/>
            </w:r>
            <w:r>
              <w:rPr>
                <w:rFonts w:ascii="Liberation Mono" w:hAnsi="Liberation Mono"/>
                <w:color w:val="263238"/>
                <w:sz w:val="16"/>
              </w:rPr>
              <w:t xml:space="preserve">  id: string;</w:t>
            </w:r>
            <w:r>
              <w:br/>
            </w:r>
            <w:r>
              <w:rPr>
                <w:rFonts w:ascii="Liberation Mono" w:hAnsi="Liberation Mono"/>
                <w:color w:val="263238"/>
                <w:sz w:val="16"/>
              </w:rPr>
              <w:t xml:space="preserve">  version: string;</w:t>
            </w:r>
            <w:r>
              <w:br/>
            </w:r>
            <w:r>
              <w:rPr>
                <w:rFonts w:ascii="Liberation Mono" w:hAnsi="Liberation Mono"/>
                <w:color w:val="263238"/>
                <w:sz w:val="16"/>
              </w:rPr>
              <w:t xml:space="preserve">  jurisdiction: string[];</w:t>
            </w:r>
            <w:r>
              <w:br/>
            </w:r>
            <w:r>
              <w:rPr>
                <w:rFonts w:ascii="Liberation Mono" w:hAnsi="Liberation Mono"/>
                <w:color w:val="263238"/>
                <w:sz w:val="16"/>
              </w:rPr>
              <w:t xml:space="preserve">  effectiveFrom: string;</w:t>
            </w:r>
            <w:r>
              <w:br/>
            </w:r>
            <w:r>
              <w:rPr>
                <w:rFonts w:ascii="Liberation Mono" w:hAnsi="Liberation Mono"/>
                <w:color w:val="263238"/>
                <w:sz w:val="16"/>
              </w:rPr>
              <w:t xml:space="preserve">  effectiveTo?: string;</w:t>
            </w:r>
            <w:r>
              <w:br/>
            </w:r>
            <w:r>
              <w:rPr>
                <w:rFonts w:ascii="Liberation Mono" w:hAnsi="Liberation Mono"/>
                <w:color w:val="263238"/>
                <w:sz w:val="16"/>
              </w:rPr>
              <w:t xml:space="preserve">  classification: FindingClassification;</w:t>
            </w:r>
            <w:r>
              <w:br/>
            </w:r>
            <w:r>
              <w:rPr>
                <w:rFonts w:ascii="Liberation Mono" w:hAnsi="Liberation Mono"/>
                <w:color w:val="263238"/>
                <w:sz w:val="16"/>
              </w:rPr>
              <w:t xml:space="preserve">  requiredFields: string[];</w:t>
            </w:r>
            <w:r>
              <w:br/>
            </w:r>
            <w:r>
              <w:rPr>
                <w:rFonts w:ascii="Liberation Mono" w:hAnsi="Liberation Mono"/>
                <w:color w:val="263238"/>
                <w:sz w:val="16"/>
              </w:rPr>
              <w:t xml:space="preserve">  minimumParserConfidence: number;</w:t>
            </w:r>
            <w:r>
              <w:br/>
            </w:r>
            <w:r>
              <w:rPr>
                <w:rFonts w:ascii="Liberation Mono" w:hAnsi="Liberation Mono"/>
                <w:color w:val="263238"/>
                <w:sz w:val="16"/>
              </w:rPr>
              <w:t xml:space="preserve">  evaluate(context: Readonly&lt;RuleContext&gt;): RuleOutcome[];</w:t>
            </w:r>
            <w:r>
              <w:br/>
            </w:r>
            <w:r>
              <w:rPr>
                <w:rFonts w:ascii="Liberation Mono" w:hAnsi="Liberation Mono"/>
                <w:color w:val="263238"/>
                <w:sz w:val="16"/>
              </w:rPr>
              <w:t xml:space="preserve">  limitations: string[];</w:t>
            </w:r>
            <w:r>
              <w:br/>
            </w:r>
            <w:r>
              <w:rPr>
                <w:rFonts w:ascii="Liberation Mono" w:hAnsi="Liberation Mono"/>
                <w:color w:val="263238"/>
                <w:sz w:val="16"/>
              </w:rPr>
              <w:t xml:space="preserve">  authorityIds: string[];</w:t>
            </w:r>
            <w:r>
              <w:br/>
            </w:r>
            <w:r>
              <w:rPr>
                <w:rFonts w:ascii="Liberation Mono" w:hAnsi="Liberation Mono"/>
                <w:color w:val="263238"/>
                <w:sz w:val="16"/>
              </w:rPr>
              <w:t xml:space="preserve">  educationalModuleIds: string[];</w:t>
            </w:r>
            <w:r>
              <w:br/>
            </w:r>
            <w:r>
              <w:rPr>
                <w:rFonts w:ascii="Liberation Mono" w:hAnsi="Liberation Mono"/>
                <w:color w:val="263238"/>
                <w:sz w:val="16"/>
              </w:rPr>
              <w:t xml:space="preserve">  testCaseIds: string[];</w:t>
            </w:r>
            <w:r>
              <w:br/>
            </w:r>
            <w:r>
              <w:rPr>
                <w:rFonts w:ascii="Liberation Mono" w:hAnsi="Liberation Mono"/>
                <w:color w:val="263238"/>
                <w:sz w:val="16"/>
              </w:rPr>
              <w:t xml:space="preserve">  approval: { reviewerId: string; approvedAt: string };</w:t>
            </w:r>
            <w:r>
              <w:br/>
            </w:r>
            <w:r>
              <w:rPr>
                <w:rFonts w:ascii="Liberation Mono" w:hAnsi="Liberation Mono"/>
                <w:color w:val="263238"/>
                <w:sz w:val="16"/>
              </w:rPr>
              <w:t>}</w:t>
            </w:r>
          </w:p>
        </w:tc>
        <w:trPr>
          <w:tblHeader/>
        </w:trPr>
      </w:tr>
    </w:tbl>
    <w:p>
      <w:pPr>
        <w:spacing w:after="0"/>
      </w:pPr>
    </w:p>
    <w:p>
      <w:pPr>
        <w:pStyle w:val="Heading2"/>
        <w:keepNext/>
      </w:pPr>
      <w:r>
        <w:rPr>
          <w:rFonts w:ascii="Aptos Display" w:hAnsi="Aptos Display"/>
          <w:b/>
          <w:color w:val="245D8C"/>
          <w:sz w:val="26"/>
        </w:rPr>
        <w:t>9.4 Initial P0 rule families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324D"/>
            <w:tcMar>
              <w:top w:w="80" w:type="dxa"/>
              <w:start w:w="90" w:type="dxa"/>
              <w:bottom w:w="80" w:type="dxa"/>
              <w:end w:w="90" w:type="dxa"/>
            </w:tcMar>
            <w:vAlign w:val="center"/>
          </w:tcPr>
          <w:p>
            <w:pPr>
              <w:spacing w:after="0"/>
            </w:pPr>
            <w:r>
              <w:rPr>
                <w:rFonts w:ascii="Aptos" w:hAnsi="Aptos"/>
                <w:b/>
                <w:color w:val="FFFFFF"/>
                <w:sz w:val="16"/>
              </w:rPr>
              <w:t>Family</w:t>
            </w:r>
          </w:p>
        </w:tc>
        <w:tc>
          <w:tcPr>
            <w:tcW w:type="dxa" w:w="4896"/>
            <w:shd w:fill="17324D"/>
            <w:tcMar>
              <w:top w:w="80" w:type="dxa"/>
              <w:start w:w="90" w:type="dxa"/>
              <w:bottom w:w="80" w:type="dxa"/>
              <w:end w:w="90" w:type="dxa"/>
            </w:tcMar>
            <w:vAlign w:val="center"/>
          </w:tcPr>
          <w:p>
            <w:pPr>
              <w:spacing w:after="0"/>
            </w:pPr>
            <w:r>
              <w:rPr>
                <w:rFonts w:ascii="Aptos" w:hAnsi="Aptos"/>
                <w:b/>
                <w:color w:val="FFFFFF"/>
                <w:sz w:val="16"/>
              </w:rPr>
              <w:t>Examples</w:t>
            </w:r>
          </w:p>
        </w:tc>
        <w:tc>
          <w:tcPr>
            <w:tcW w:type="dxa" w:w="3888"/>
            <w:shd w:fill="17324D"/>
            <w:tcMar>
              <w:top w:w="80" w:type="dxa"/>
              <w:start w:w="90" w:type="dxa"/>
              <w:bottom w:w="80" w:type="dxa"/>
              <w:end w:w="90" w:type="dxa"/>
            </w:tcMar>
            <w:vAlign w:val="center"/>
          </w:tcPr>
          <w:p>
            <w:pPr>
              <w:spacing w:after="0"/>
            </w:pPr>
            <w:r>
              <w:rPr>
                <w:rFonts w:ascii="Aptos" w:hAnsi="Aptos"/>
                <w:b/>
                <w:color w:val="FFFFFF"/>
                <w:sz w:val="16"/>
              </w:rPr>
              <w:t>Guardrail</w:t>
            </w:r>
          </w:p>
        </w:tc>
      </w:tr>
      <w:tr>
        <w:trPr>
          <w:cantSplit/>
        </w:trPr>
        <w:tc>
          <w:tcPr>
            <w:tcW w:type="dxa" w:w="1656"/>
            <w:tcMar>
              <w:top w:w="70" w:type="dxa"/>
              <w:start w:w="90" w:type="dxa"/>
              <w:bottom w:w="70" w:type="dxa"/>
              <w:end w:w="90" w:type="dxa"/>
            </w:tcMar>
          </w:tcPr>
          <w:p>
            <w:pPr>
              <w:spacing w:after="0" w:line="240" w:lineRule="auto"/>
            </w:pPr>
            <w:r>
              <w:rPr>
                <w:rFonts w:ascii="Aptos" w:hAnsi="Aptos"/>
                <w:color w:val="1F2933"/>
                <w:sz w:val="16"/>
              </w:rPr>
              <w:t>Identity</w:t>
            </w:r>
          </w:p>
        </w:tc>
        <w:tc>
          <w:tcPr>
            <w:tcW w:type="dxa" w:w="4896"/>
            <w:tcMar>
              <w:top w:w="70" w:type="dxa"/>
              <w:start w:w="90" w:type="dxa"/>
              <w:bottom w:w="70" w:type="dxa"/>
              <w:end w:w="90" w:type="dxa"/>
            </w:tcMar>
          </w:tcPr>
          <w:p>
            <w:pPr>
              <w:spacing w:after="0" w:line="240" w:lineRule="auto"/>
            </w:pPr>
            <w:r>
              <w:rPr>
                <w:rFonts w:ascii="Aptos" w:hAnsi="Aptos"/>
                <w:color w:val="1F2933"/>
                <w:sz w:val="16"/>
              </w:rPr>
              <w:t>Unrecognized name/address; account linked to unfamiliar identity data; mixed-file indicators</w:t>
            </w:r>
          </w:p>
        </w:tc>
        <w:tc>
          <w:tcPr>
            <w:tcW w:type="dxa" w:w="3888"/>
            <w:tcMar>
              <w:top w:w="70" w:type="dxa"/>
              <w:start w:w="90" w:type="dxa"/>
              <w:bottom w:w="70" w:type="dxa"/>
              <w:end w:w="90" w:type="dxa"/>
            </w:tcMar>
          </w:tcPr>
          <w:p>
            <w:pPr>
              <w:spacing w:after="0" w:line="240" w:lineRule="auto"/>
            </w:pPr>
            <w:r>
              <w:rPr>
                <w:rFonts w:ascii="Aptos" w:hAnsi="Aptos"/>
                <w:color w:val="1F2933"/>
                <w:sz w:val="16"/>
              </w:rPr>
              <w:t>Requires user recognition input; unfamiliar does not equal identity theft</w:t>
            </w:r>
          </w:p>
        </w:tc>
      </w:tr>
      <w:tr>
        <w:trPr>
          <w:cantSplit/>
        </w:trPr>
        <w:tc>
          <w:tcPr>
            <w:tcW w:type="dxa" w:w="1656"/>
            <w:tcMar>
              <w:top w:w="70" w:type="dxa"/>
              <w:start w:w="90" w:type="dxa"/>
              <w:bottom w:w="70" w:type="dxa"/>
              <w:end w:w="90" w:type="dxa"/>
            </w:tcMar>
            <w:shd w:fill="F5F7FA"/>
          </w:tcPr>
          <w:p>
            <w:pPr>
              <w:spacing w:after="0" w:line="240" w:lineRule="auto"/>
            </w:pPr>
            <w:r>
              <w:rPr>
                <w:rFonts w:ascii="Aptos" w:hAnsi="Aptos"/>
                <w:color w:val="1F2933"/>
                <w:sz w:val="16"/>
              </w:rPr>
              <w:t>Internal dates</w:t>
            </w:r>
          </w:p>
        </w:tc>
        <w:tc>
          <w:tcPr>
            <w:tcW w:type="dxa" w:w="4896"/>
            <w:tcMar>
              <w:top w:w="70" w:type="dxa"/>
              <w:start w:w="90" w:type="dxa"/>
              <w:bottom w:w="70" w:type="dxa"/>
              <w:end w:w="90" w:type="dxa"/>
            </w:tcMar>
            <w:shd w:fill="F5F7FA"/>
          </w:tcPr>
          <w:p>
            <w:pPr>
              <w:spacing w:after="0" w:line="240" w:lineRule="auto"/>
            </w:pPr>
            <w:r>
              <w:rPr>
                <w:rFonts w:ascii="Aptos" w:hAnsi="Aptos"/>
                <w:color w:val="1F2933"/>
                <w:sz w:val="16"/>
              </w:rPr>
              <w:t>Late history before open date; impossible close/update sequence; activity after displayed closure</w:t>
            </w:r>
          </w:p>
        </w:tc>
        <w:tc>
          <w:tcPr>
            <w:tcW w:type="dxa" w:w="3888"/>
            <w:tcMar>
              <w:top w:w="70" w:type="dxa"/>
              <w:start w:w="90" w:type="dxa"/>
              <w:bottom w:w="70" w:type="dxa"/>
              <w:end w:w="90" w:type="dxa"/>
            </w:tcMar>
            <w:shd w:fill="F5F7FA"/>
          </w:tcPr>
          <w:p>
            <w:pPr>
              <w:spacing w:after="0" w:line="240" w:lineRule="auto"/>
            </w:pPr>
            <w:r>
              <w:rPr>
                <w:rFonts w:ascii="Aptos" w:hAnsi="Aptos"/>
                <w:color w:val="1F2933"/>
                <w:sz w:val="16"/>
              </w:rPr>
              <w:t>Respect date precision and bureau labels</w:t>
            </w:r>
          </w:p>
        </w:tc>
      </w:tr>
      <w:tr>
        <w:trPr>
          <w:cantSplit/>
        </w:trPr>
        <w:tc>
          <w:tcPr>
            <w:tcW w:type="dxa" w:w="1656"/>
            <w:tcMar>
              <w:top w:w="70" w:type="dxa"/>
              <w:start w:w="90" w:type="dxa"/>
              <w:bottom w:w="70" w:type="dxa"/>
              <w:end w:w="90" w:type="dxa"/>
            </w:tcMar>
          </w:tcPr>
          <w:p>
            <w:pPr>
              <w:spacing w:after="0" w:line="240" w:lineRule="auto"/>
            </w:pPr>
            <w:r>
              <w:rPr>
                <w:rFonts w:ascii="Aptos" w:hAnsi="Aptos"/>
                <w:color w:val="1F2933"/>
                <w:sz w:val="16"/>
              </w:rPr>
              <w:t>Balances/status</w:t>
            </w:r>
          </w:p>
        </w:tc>
        <w:tc>
          <w:tcPr>
            <w:tcW w:type="dxa" w:w="4896"/>
            <w:tcMar>
              <w:top w:w="70" w:type="dxa"/>
              <w:start w:w="90" w:type="dxa"/>
              <w:bottom w:w="70" w:type="dxa"/>
              <w:end w:w="90" w:type="dxa"/>
            </w:tcMar>
          </w:tcPr>
          <w:p>
            <w:pPr>
              <w:spacing w:after="0" w:line="240" w:lineRule="auto"/>
            </w:pPr>
            <w:r>
              <w:rPr>
                <w:rFonts w:ascii="Aptos" w:hAnsi="Aptos"/>
                <w:color w:val="1F2933"/>
                <w:sz w:val="16"/>
              </w:rPr>
              <w:t>Zero balance with positive past due; status inconsistent with balance or monthly history</w:t>
            </w:r>
          </w:p>
        </w:tc>
        <w:tc>
          <w:tcPr>
            <w:tcW w:type="dxa" w:w="3888"/>
            <w:tcMar>
              <w:top w:w="70" w:type="dxa"/>
              <w:start w:w="90" w:type="dxa"/>
              <w:bottom w:w="70" w:type="dxa"/>
              <w:end w:w="90" w:type="dxa"/>
            </w:tcMar>
          </w:tcPr>
          <w:p>
            <w:pPr>
              <w:spacing w:after="0" w:line="240" w:lineRule="auto"/>
            </w:pPr>
            <w:r>
              <w:rPr>
                <w:rFonts w:ascii="Aptos" w:hAnsi="Aptos"/>
                <w:color w:val="1F2933"/>
                <w:sz w:val="16"/>
              </w:rPr>
              <w:t>Account type and reporting date may explain apparent conflict</w:t>
            </w:r>
          </w:p>
        </w:tc>
      </w:tr>
      <w:tr>
        <w:trPr>
          <w:cantSplit/>
        </w:trPr>
        <w:tc>
          <w:tcPr>
            <w:tcW w:type="dxa" w:w="1656"/>
            <w:tcMar>
              <w:top w:w="70" w:type="dxa"/>
              <w:start w:w="90" w:type="dxa"/>
              <w:bottom w:w="70" w:type="dxa"/>
              <w:end w:w="90" w:type="dxa"/>
            </w:tcMar>
            <w:shd w:fill="F5F7FA"/>
          </w:tcPr>
          <w:p>
            <w:pPr>
              <w:spacing w:after="0" w:line="240" w:lineRule="auto"/>
            </w:pPr>
            <w:r>
              <w:rPr>
                <w:rFonts w:ascii="Aptos" w:hAnsi="Aptos"/>
                <w:color w:val="1F2933"/>
                <w:sz w:val="16"/>
              </w:rPr>
              <w:t>Cross-bureau</w:t>
            </w:r>
          </w:p>
        </w:tc>
        <w:tc>
          <w:tcPr>
            <w:tcW w:type="dxa" w:w="4896"/>
            <w:tcMar>
              <w:top w:w="70" w:type="dxa"/>
              <w:start w:w="90" w:type="dxa"/>
              <w:bottom w:w="70" w:type="dxa"/>
              <w:end w:w="90" w:type="dxa"/>
            </w:tcMar>
            <w:shd w:fill="F5F7FA"/>
          </w:tcPr>
          <w:p>
            <w:pPr>
              <w:spacing w:after="0" w:line="240" w:lineRule="auto"/>
            </w:pPr>
            <w:r>
              <w:rPr>
                <w:rFonts w:ascii="Aptos" w:hAnsi="Aptos"/>
                <w:color w:val="1F2933"/>
                <w:sz w:val="16"/>
              </w:rPr>
              <w:t>Comparable account has differing balance, status, limit, open date, responsibility, or history</w:t>
            </w:r>
          </w:p>
        </w:tc>
        <w:tc>
          <w:tcPr>
            <w:tcW w:type="dxa" w:w="3888"/>
            <w:tcMar>
              <w:top w:w="70" w:type="dxa"/>
              <w:start w:w="90" w:type="dxa"/>
              <w:bottom w:w="70" w:type="dxa"/>
              <w:end w:w="90" w:type="dxa"/>
            </w:tcMar>
            <w:shd w:fill="F5F7FA"/>
          </w:tcPr>
          <w:p>
            <w:pPr>
              <w:spacing w:after="0" w:line="240" w:lineRule="auto"/>
            </w:pPr>
            <w:r>
              <w:rPr>
                <w:rFonts w:ascii="Aptos" w:hAnsi="Aptos"/>
                <w:color w:val="1F2933"/>
                <w:sz w:val="16"/>
              </w:rPr>
              <w:t>Compare only similar update dates and confirmed matches</w:t>
            </w:r>
          </w:p>
        </w:tc>
      </w:tr>
      <w:tr>
        <w:trPr>
          <w:cantSplit/>
        </w:trPr>
        <w:tc>
          <w:tcPr>
            <w:tcW w:type="dxa" w:w="1656"/>
            <w:tcMar>
              <w:top w:w="70" w:type="dxa"/>
              <w:start w:w="90" w:type="dxa"/>
              <w:bottom w:w="70" w:type="dxa"/>
              <w:end w:w="90" w:type="dxa"/>
            </w:tcMar>
          </w:tcPr>
          <w:p>
            <w:pPr>
              <w:spacing w:after="0" w:line="240" w:lineRule="auto"/>
            </w:pPr>
            <w:r>
              <w:rPr>
                <w:rFonts w:ascii="Aptos" w:hAnsi="Aptos"/>
                <w:color w:val="1F2933"/>
                <w:sz w:val="16"/>
              </w:rPr>
              <w:t>Duplicate debt</w:t>
            </w:r>
          </w:p>
        </w:tc>
        <w:tc>
          <w:tcPr>
            <w:tcW w:type="dxa" w:w="4896"/>
            <w:tcMar>
              <w:top w:w="70" w:type="dxa"/>
              <w:start w:w="90" w:type="dxa"/>
              <w:bottom w:w="70" w:type="dxa"/>
              <w:end w:w="90" w:type="dxa"/>
            </w:tcMar>
          </w:tcPr>
          <w:p>
            <w:pPr>
              <w:spacing w:after="0" w:line="240" w:lineRule="auto"/>
            </w:pPr>
            <w:r>
              <w:rPr>
                <w:rFonts w:ascii="Aptos" w:hAnsi="Aptos"/>
                <w:color w:val="1F2933"/>
                <w:sz w:val="16"/>
              </w:rPr>
              <w:t>Probable duplicate tradelines or collector/original-creditor double-balance pattern</w:t>
            </w:r>
          </w:p>
        </w:tc>
        <w:tc>
          <w:tcPr>
            <w:tcW w:type="dxa" w:w="3888"/>
            <w:tcMar>
              <w:top w:w="70" w:type="dxa"/>
              <w:start w:w="90" w:type="dxa"/>
              <w:bottom w:w="70" w:type="dxa"/>
              <w:end w:w="90" w:type="dxa"/>
            </w:tcMar>
          </w:tcPr>
          <w:p>
            <w:pPr>
              <w:spacing w:after="0" w:line="240" w:lineRule="auto"/>
            </w:pPr>
            <w:r>
              <w:rPr>
                <w:rFonts w:ascii="Aptos" w:hAnsi="Aptos"/>
                <w:color w:val="1F2933"/>
                <w:sz w:val="16"/>
              </w:rPr>
              <w:t>Original creditor and collection can both appear legitimately</w:t>
            </w:r>
          </w:p>
        </w:tc>
      </w:tr>
      <w:tr>
        <w:trPr>
          <w:cantSplit/>
        </w:trPr>
        <w:tc>
          <w:tcPr>
            <w:tcW w:type="dxa" w:w="1656"/>
            <w:tcMar>
              <w:top w:w="70" w:type="dxa"/>
              <w:start w:w="90" w:type="dxa"/>
              <w:bottom w:w="70" w:type="dxa"/>
              <w:end w:w="90" w:type="dxa"/>
            </w:tcMar>
            <w:shd w:fill="F5F7FA"/>
          </w:tcPr>
          <w:p>
            <w:pPr>
              <w:spacing w:after="0" w:line="240" w:lineRule="auto"/>
            </w:pPr>
            <w:r>
              <w:rPr>
                <w:rFonts w:ascii="Aptos" w:hAnsi="Aptos"/>
                <w:color w:val="1F2933"/>
                <w:sz w:val="16"/>
              </w:rPr>
              <w:t>Dispute notation</w:t>
            </w:r>
          </w:p>
        </w:tc>
        <w:tc>
          <w:tcPr>
            <w:tcW w:type="dxa" w:w="4896"/>
            <w:tcMar>
              <w:top w:w="70" w:type="dxa"/>
              <w:start w:w="90" w:type="dxa"/>
              <w:bottom w:w="70" w:type="dxa"/>
              <w:end w:w="90" w:type="dxa"/>
            </w:tcMar>
            <w:shd w:fill="F5F7FA"/>
          </w:tcPr>
          <w:p>
            <w:pPr>
              <w:spacing w:after="0" w:line="240" w:lineRule="auto"/>
            </w:pPr>
            <w:r>
              <w:rPr>
                <w:rFonts w:ascii="Aptos" w:hAnsi="Aptos"/>
                <w:color w:val="1F2933"/>
                <w:sz w:val="16"/>
              </w:rPr>
              <w:t>User reports prior dispute; notation differs across comparable reports</w:t>
            </w:r>
          </w:p>
        </w:tc>
        <w:tc>
          <w:tcPr>
            <w:tcW w:type="dxa" w:w="3888"/>
            <w:tcMar>
              <w:top w:w="70" w:type="dxa"/>
              <w:start w:w="90" w:type="dxa"/>
              <w:bottom w:w="70" w:type="dxa"/>
              <w:end w:w="90" w:type="dxa"/>
            </w:tcMar>
            <w:shd w:fill="F5F7FA"/>
          </w:tcPr>
          <w:p>
            <w:pPr>
              <w:spacing w:after="0" w:line="240" w:lineRule="auto"/>
            </w:pPr>
            <w:r>
              <w:rPr>
                <w:rFonts w:ascii="Aptos" w:hAnsi="Aptos"/>
                <w:color w:val="1F2933"/>
                <w:sz w:val="16"/>
              </w:rPr>
              <w:t>Report date must postdate the alleged dispute and user evidence may be needed</w:t>
            </w:r>
          </w:p>
        </w:tc>
      </w:tr>
      <w:tr>
        <w:trPr>
          <w:cantSplit/>
        </w:trPr>
        <w:tc>
          <w:tcPr>
            <w:tcW w:type="dxa" w:w="1656"/>
            <w:tcMar>
              <w:top w:w="70" w:type="dxa"/>
              <w:start w:w="90" w:type="dxa"/>
              <w:bottom w:w="70" w:type="dxa"/>
              <w:end w:w="90" w:type="dxa"/>
            </w:tcMar>
          </w:tcPr>
          <w:p>
            <w:pPr>
              <w:spacing w:after="0" w:line="240" w:lineRule="auto"/>
            </w:pPr>
            <w:r>
              <w:rPr>
                <w:rFonts w:ascii="Aptos" w:hAnsi="Aptos"/>
                <w:color w:val="1F2933"/>
                <w:sz w:val="16"/>
              </w:rPr>
              <w:t>Obsolescence</w:t>
            </w:r>
          </w:p>
        </w:tc>
        <w:tc>
          <w:tcPr>
            <w:tcW w:type="dxa" w:w="4896"/>
            <w:tcMar>
              <w:top w:w="70" w:type="dxa"/>
              <w:start w:w="90" w:type="dxa"/>
              <w:bottom w:w="70" w:type="dxa"/>
              <w:end w:w="90" w:type="dxa"/>
            </w:tcMar>
          </w:tcPr>
          <w:p>
            <w:pPr>
              <w:spacing w:after="0" w:line="240" w:lineRule="auto"/>
            </w:pPr>
            <w:r>
              <w:rPr>
                <w:rFonts w:ascii="Aptos" w:hAnsi="Aptos"/>
                <w:color w:val="1F2933"/>
                <w:sz w:val="16"/>
              </w:rPr>
              <w:t>Displayed age may exceed approved reporting window</w:t>
            </w:r>
          </w:p>
        </w:tc>
        <w:tc>
          <w:tcPr>
            <w:tcW w:type="dxa" w:w="3888"/>
            <w:tcMar>
              <w:top w:w="70" w:type="dxa"/>
              <w:start w:w="90" w:type="dxa"/>
              <w:bottom w:w="70" w:type="dxa"/>
              <w:end w:w="90" w:type="dxa"/>
            </w:tcMar>
          </w:tcPr>
          <w:p>
            <w:pPr>
              <w:spacing w:after="0" w:line="240" w:lineRule="auto"/>
            </w:pPr>
            <w:r>
              <w:rPr>
                <w:rFonts w:ascii="Aptos" w:hAnsi="Aptos"/>
                <w:color w:val="1F2933"/>
                <w:sz w:val="16"/>
              </w:rPr>
              <w:t>Use approved legal rule, correct event date, exceptions, and report date</w:t>
            </w:r>
          </w:p>
        </w:tc>
      </w:tr>
      <w:tr>
        <w:trPr>
          <w:cantSplit/>
        </w:trPr>
        <w:tc>
          <w:tcPr>
            <w:tcW w:type="dxa" w:w="1656"/>
            <w:tcMar>
              <w:top w:w="70" w:type="dxa"/>
              <w:start w:w="90" w:type="dxa"/>
              <w:bottom w:w="70" w:type="dxa"/>
              <w:end w:w="90" w:type="dxa"/>
            </w:tcMar>
            <w:shd w:fill="F5F7FA"/>
          </w:tcPr>
          <w:p>
            <w:pPr>
              <w:spacing w:after="0" w:line="240" w:lineRule="auto"/>
            </w:pPr>
            <w:r>
              <w:rPr>
                <w:rFonts w:ascii="Aptos" w:hAnsi="Aptos"/>
                <w:color w:val="1F2933"/>
                <w:sz w:val="16"/>
              </w:rPr>
              <w:t>Inquiry</w:t>
            </w:r>
          </w:p>
        </w:tc>
        <w:tc>
          <w:tcPr>
            <w:tcW w:type="dxa" w:w="4896"/>
            <w:tcMar>
              <w:top w:w="70" w:type="dxa"/>
              <w:start w:w="90" w:type="dxa"/>
              <w:bottom w:w="70" w:type="dxa"/>
              <w:end w:w="90" w:type="dxa"/>
            </w:tcMar>
            <w:shd w:fill="F5F7FA"/>
          </w:tcPr>
          <w:p>
            <w:pPr>
              <w:spacing w:after="0" w:line="240" w:lineRule="auto"/>
            </w:pPr>
            <w:r>
              <w:rPr>
                <w:rFonts w:ascii="Aptos" w:hAnsi="Aptos"/>
                <w:color w:val="1F2933"/>
                <w:sz w:val="16"/>
              </w:rPr>
              <w:t>User does not recognize hard inquiry or inquiry type is unclear</w:t>
            </w:r>
          </w:p>
        </w:tc>
        <w:tc>
          <w:tcPr>
            <w:tcW w:type="dxa" w:w="3888"/>
            <w:tcMar>
              <w:top w:w="70" w:type="dxa"/>
              <w:start w:w="90" w:type="dxa"/>
              <w:bottom w:w="70" w:type="dxa"/>
              <w:end w:w="90" w:type="dxa"/>
            </w:tcMar>
            <w:shd w:fill="F5F7FA"/>
          </w:tcPr>
          <w:p>
            <w:pPr>
              <w:spacing w:after="0" w:line="240" w:lineRule="auto"/>
            </w:pPr>
            <w:r>
              <w:rPr>
                <w:rFonts w:ascii="Aptos" w:hAnsi="Aptos"/>
                <w:color w:val="1F2933"/>
                <w:sz w:val="16"/>
              </w:rPr>
              <w:t>Report alone usually cannot establish permissible purpose</w:t>
            </w:r>
          </w:p>
        </w:tc>
      </w:tr>
      <w:tr>
        <w:trPr>
          <w:cantSplit/>
        </w:trPr>
        <w:tc>
          <w:tcPr>
            <w:tcW w:type="dxa" w:w="1656"/>
            <w:tcMar>
              <w:top w:w="70" w:type="dxa"/>
              <w:start w:w="90" w:type="dxa"/>
              <w:bottom w:w="70" w:type="dxa"/>
              <w:end w:w="90" w:type="dxa"/>
            </w:tcMar>
          </w:tcPr>
          <w:p>
            <w:pPr>
              <w:spacing w:after="0" w:line="240" w:lineRule="auto"/>
            </w:pPr>
            <w:r>
              <w:rPr>
                <w:rFonts w:ascii="Aptos" w:hAnsi="Aptos"/>
                <w:color w:val="1F2933"/>
                <w:sz w:val="16"/>
              </w:rPr>
              <w:t>Public record</w:t>
            </w:r>
          </w:p>
        </w:tc>
        <w:tc>
          <w:tcPr>
            <w:tcW w:type="dxa" w:w="4896"/>
            <w:tcMar>
              <w:top w:w="70" w:type="dxa"/>
              <w:start w:w="90" w:type="dxa"/>
              <w:bottom w:w="70" w:type="dxa"/>
              <w:end w:w="90" w:type="dxa"/>
            </w:tcMar>
          </w:tcPr>
          <w:p>
            <w:pPr>
              <w:spacing w:after="0" w:line="240" w:lineRule="auto"/>
            </w:pPr>
            <w:r>
              <w:rPr>
                <w:rFonts w:ascii="Aptos" w:hAnsi="Aptos"/>
                <w:color w:val="1F2933"/>
                <w:sz w:val="16"/>
              </w:rPr>
              <w:t>Conflicting bankruptcy chapter/status/date or account treatment</w:t>
            </w:r>
          </w:p>
        </w:tc>
        <w:tc>
          <w:tcPr>
            <w:tcW w:type="dxa" w:w="3888"/>
            <w:tcMar>
              <w:top w:w="70" w:type="dxa"/>
              <w:start w:w="90" w:type="dxa"/>
              <w:bottom w:w="70" w:type="dxa"/>
              <w:end w:w="90" w:type="dxa"/>
            </w:tcMar>
          </w:tcPr>
          <w:p>
            <w:pPr>
              <w:spacing w:after="0" w:line="240" w:lineRule="auto"/>
            </w:pPr>
            <w:r>
              <w:rPr>
                <w:rFonts w:ascii="Aptos" w:hAnsi="Aptos"/>
                <w:color w:val="1F2933"/>
                <w:sz w:val="16"/>
              </w:rPr>
              <w:t>Bankruptcy reporting requires additional documents and specialist review</w:t>
            </w:r>
          </w:p>
        </w:tc>
      </w:tr>
      <w:tr>
        <w:trPr>
          <w:cantSplit/>
        </w:trPr>
        <w:tc>
          <w:tcPr>
            <w:tcW w:type="dxa" w:w="1656"/>
            <w:tcMar>
              <w:top w:w="70" w:type="dxa"/>
              <w:start w:w="90" w:type="dxa"/>
              <w:bottom w:w="70" w:type="dxa"/>
              <w:end w:w="90" w:type="dxa"/>
            </w:tcMar>
            <w:shd w:fill="F5F7FA"/>
          </w:tcPr>
          <w:p>
            <w:pPr>
              <w:spacing w:after="0" w:line="240" w:lineRule="auto"/>
            </w:pPr>
            <w:r>
              <w:rPr>
                <w:rFonts w:ascii="Aptos" w:hAnsi="Aptos"/>
                <w:color w:val="1F2933"/>
                <w:sz w:val="16"/>
              </w:rPr>
              <w:t>Education</w:t>
            </w:r>
          </w:p>
        </w:tc>
        <w:tc>
          <w:tcPr>
            <w:tcW w:type="dxa" w:w="4896"/>
            <w:tcMar>
              <w:top w:w="70" w:type="dxa"/>
              <w:start w:w="90" w:type="dxa"/>
              <w:bottom w:w="70" w:type="dxa"/>
              <w:end w:w="90" w:type="dxa"/>
            </w:tcMar>
            <w:shd w:fill="F5F7FA"/>
          </w:tcPr>
          <w:p>
            <w:pPr>
              <w:spacing w:after="0" w:line="240" w:lineRule="auto"/>
            </w:pPr>
            <w:r>
              <w:rPr>
                <w:rFonts w:ascii="Aptos" w:hAnsi="Aptos"/>
                <w:color w:val="1F2933"/>
                <w:sz w:val="16"/>
              </w:rPr>
              <w:t>High utilization, thin file, closed-account impact, account mix, inquiry concepts</w:t>
            </w:r>
          </w:p>
        </w:tc>
        <w:tc>
          <w:tcPr>
            <w:tcW w:type="dxa" w:w="3888"/>
            <w:tcMar>
              <w:top w:w="70" w:type="dxa"/>
              <w:start w:w="90" w:type="dxa"/>
              <w:bottom w:w="70" w:type="dxa"/>
              <w:end w:w="90" w:type="dxa"/>
            </w:tcMar>
            <w:shd w:fill="F5F7FA"/>
          </w:tcPr>
          <w:p>
            <w:pPr>
              <w:spacing w:after="0" w:line="240" w:lineRule="auto"/>
            </w:pPr>
            <w:r>
              <w:rPr>
                <w:rFonts w:ascii="Aptos" w:hAnsi="Aptos"/>
                <w:color w:val="1F2933"/>
                <w:sz w:val="16"/>
              </w:rPr>
              <w:t>Educational only; no proprietary score simulation</w:t>
            </w:r>
          </w:p>
        </w:tc>
      </w:tr>
    </w:tbl>
    <w:p>
      <w:pPr>
        <w:spacing w:after="20"/>
      </w:pPr>
    </w:p>
    <w:p>
      <w:pPr>
        <w:pStyle w:val="Heading2"/>
        <w:keepNext/>
      </w:pPr>
      <w:r>
        <w:rPr>
          <w:rFonts w:ascii="Aptos Display" w:hAnsi="Aptos Display"/>
          <w:b/>
          <w:color w:val="245D8C"/>
          <w:sz w:val="26"/>
        </w:rPr>
        <w:t>9.5 False-positive controls</w:t>
      </w:r>
    </w:p>
    <w:p>
      <w:pPr>
        <w:pStyle w:val="ListBullet"/>
        <w:spacing w:after="40" w:line="250" w:lineRule="auto"/>
        <w:ind w:left="0"/>
      </w:pPr>
      <w:r>
        <w:rPr>
          <w:rFonts w:ascii="Aptos" w:hAnsi="Aptos"/>
        </w:rPr>
        <w:t>Rules declare required fields and minimum confidence. Missing or ambiguous evidence produces a skip or insufficiency outcome, not a finding.</w:t>
      </w:r>
    </w:p>
    <w:p>
      <w:pPr>
        <w:pStyle w:val="ListBullet"/>
        <w:spacing w:after="40" w:line="250" w:lineRule="auto"/>
        <w:ind w:left="0"/>
      </w:pPr>
      <w:r>
        <w:rPr>
          <w:rFonts w:ascii="Aptos" w:hAnsi="Aptos"/>
        </w:rPr>
        <w:t>Cross-bureau values are normalized by report date, bureau update date, date precision, account match confidence, and unit/format before comparison.</w:t>
      </w:r>
    </w:p>
    <w:p>
      <w:pPr>
        <w:pStyle w:val="ListBullet"/>
        <w:spacing w:after="40" w:line="250" w:lineRule="auto"/>
        <w:ind w:left="0"/>
      </w:pPr>
      <w:r>
        <w:rPr>
          <w:rFonts w:ascii="Aptos" w:hAnsi="Aptos"/>
        </w:rPr>
        <w:t>A finding is suppressed when a known legitimate explanation fully accounts for the pattern, unless the user provides contradictory evidence.</w:t>
      </w:r>
    </w:p>
    <w:p>
      <w:pPr>
        <w:pStyle w:val="ListBullet"/>
        <w:spacing w:after="40" w:line="250" w:lineRule="auto"/>
        <w:ind w:left="0"/>
      </w:pPr>
      <w:r>
        <w:rPr>
          <w:rFonts w:ascii="Aptos" w:hAnsi="Aptos"/>
        </w:rPr>
        <w:t>Duplicate findings are grouped by shared evidence and consumer action. The report must not count one issue multiple times for dramatic effect.</w:t>
      </w:r>
    </w:p>
    <w:p>
      <w:pPr>
        <w:pStyle w:val="ListBullet"/>
        <w:spacing w:after="40" w:line="250" w:lineRule="auto"/>
        <w:ind w:left="0"/>
      </w:pPr>
      <w:r>
        <w:rPr>
          <w:rFonts w:ascii="Aptos" w:hAnsi="Aptos"/>
        </w:rPr>
        <w:t>High-severity findings require higher evidence thresholds and, where configured, human review.</w:t>
      </w:r>
    </w:p>
    <w:p>
      <w:pPr>
        <w:pStyle w:val="ListBullet"/>
        <w:spacing w:after="40" w:line="250" w:lineRule="auto"/>
        <w:ind w:left="0"/>
      </w:pPr>
      <w:r>
        <w:rPr>
          <w:rFonts w:ascii="Aptos" w:hAnsi="Aptos"/>
        </w:rPr>
        <w:t>Launch optimization prioritizes positive predictive value and user trust over maximum recall.</w:t>
      </w:r>
    </w:p>
    <w:p>
      <w:pPr>
        <w:pStyle w:val="Heading2"/>
        <w:keepNext/>
      </w:pPr>
      <w:r>
        <w:rPr>
          <w:rFonts w:ascii="Aptos Display" w:hAnsi="Aptos Display"/>
          <w:b/>
          <w:color w:val="245D8C"/>
          <w:sz w:val="26"/>
        </w:rPr>
        <w:t>9.6 Metro 2 methodology boundary</w:t>
      </w:r>
    </w:p>
    <w:tbl>
      <w:tblPr>
        <w:tblW w:type="auto" w:w="0"/>
        <w:jc w:val="center"/>
        <w:tblLayout w:type="autofit"/>
        <w:tblLook w:firstColumn="1" w:firstRow="1" w:lastColumn="0" w:lastRow="0" w:noHBand="0" w:noVBand="1" w:val="04A0"/>
      </w:tblPr>
      <w:tblGrid>
        <w:gridCol w:w="10166"/>
      </w:tblGrid>
      <w:tr>
        <w:tc>
          <w:tcPr>
            <w:tcW w:type="dxa" w:w="10166"/>
            <w:shd w:fill="FFF7E3"/>
            <w:tcMar>
              <w:top w:w="120" w:type="dxa"/>
              <w:start w:w="160" w:type="dxa"/>
              <w:bottom w:w="120" w:type="dxa"/>
              <w:end w:w="160" w:type="dxa"/>
            </w:tcMar>
            <w:tcBorders>
              <w:top w:val="nil"/>
              <w:start w:val="single" w:sz="18" w:color="986B16"/>
              <w:bottom w:val="nil"/>
              <w:end w:val="nil"/>
            </w:tcBorders>
          </w:tcPr>
          <w:p>
            <w:pPr>
              <w:spacing w:after="60"/>
            </w:pPr>
            <w:r>
              <w:rPr>
                <w:rFonts w:ascii="Aptos" w:hAnsi="Aptos"/>
                <w:b/>
                <w:color w:val="986B16"/>
                <w:sz w:val="21"/>
              </w:rPr>
              <w:t>Important limitation</w:t>
            </w:r>
          </w:p>
          <w:p>
            <w:pPr>
              <w:spacing w:after="0"/>
            </w:pPr>
            <w:r>
              <w:rPr>
                <w:rFonts w:ascii="Aptos" w:hAnsi="Aptos"/>
                <w:color w:val="1F2933"/>
                <w:sz w:val="19"/>
              </w:rPr>
              <w:t>Metro 2 is a standardized furnishing format used by data furnishers and consumer reporting agencies. A consumer-facing report generally does not expose the complete transmitted record. The MVP may identify displayed patterns that warrant verification, but must not claim a field-level Metro 2 violation from the consumer report alone. Access to the authoritative CRRG is restricted by CDIA access policy and must be licensed and governed before incorporating protected material. [8]</w:t>
            </w:r>
          </w:p>
        </w:tc>
        <w:trPr>
          <w:tblHeader/>
        </w:trPr>
      </w:tr>
    </w:tbl>
    <w:p>
      <w:pPr>
        <w:spacing w:after="0"/>
      </w:pPr>
    </w:p>
    <w:p>
      <w:pPr>
        <w:pStyle w:val="Heading2"/>
        <w:keepNext/>
      </w:pPr>
      <w:r>
        <w:rPr>
          <w:rFonts w:ascii="Aptos Display" w:hAnsi="Aptos Display"/>
          <w:b/>
          <w:color w:val="245D8C"/>
          <w:sz w:val="26"/>
        </w:rPr>
        <w:t>9.7 Legal-authority usage</w:t>
      </w:r>
    </w:p>
    <w:p>
      <w:pPr>
        <w:pStyle w:val="ListBullet"/>
        <w:spacing w:after="40" w:line="250" w:lineRule="auto"/>
        <w:ind w:left="0"/>
      </w:pPr>
      <w:r>
        <w:rPr>
          <w:rFonts w:ascii="Aptos" w:hAnsi="Aptos"/>
        </w:rPr>
        <w:t>Authorities are stored as metadata, summaries, approved quotations within license/copyright limits, and rule mappings—not as uncontrolled model memory.</w:t>
      </w:r>
    </w:p>
    <w:p>
      <w:pPr>
        <w:pStyle w:val="ListBullet"/>
        <w:spacing w:after="40" w:line="250" w:lineRule="auto"/>
        <w:ind w:left="0"/>
      </w:pPr>
      <w:r>
        <w:rPr>
          <w:rFonts w:ascii="Aptos" w:hAnsi="Aptos"/>
        </w:rPr>
        <w:t>Federal rules include effective dates and controlling text. State modules are independently approved and cannot be inferred from the user’s mailing address alone.</w:t>
      </w:r>
    </w:p>
    <w:p>
      <w:pPr>
        <w:pStyle w:val="ListBullet"/>
        <w:spacing w:after="40" w:line="250" w:lineRule="auto"/>
        <w:ind w:left="0"/>
      </w:pPr>
      <w:r>
        <w:rPr>
          <w:rFonts w:ascii="Aptos" w:hAnsi="Aptos"/>
        </w:rPr>
        <w:t>Case law is used only when reviewed for jurisdiction, precedential status, factual fit, and subsequent treatment.</w:t>
      </w:r>
    </w:p>
    <w:p>
      <w:pPr>
        <w:pStyle w:val="ListBullet"/>
        <w:spacing w:after="40" w:line="250" w:lineRule="auto"/>
        <w:ind w:left="0"/>
      </w:pPr>
      <w:r>
        <w:rPr>
          <w:rFonts w:ascii="Aptos" w:hAnsi="Aptos"/>
        </w:rPr>
        <w:t>The system may explain dispute processes and consumer rights but does not determine liability, damages, litigation strategy, or limitations periods without qualified human review.</w:t>
      </w:r>
    </w:p>
    <w:p>
      <w:pPr>
        <w:pStyle w:val="Heading1"/>
        <w:pageBreakBefore/>
      </w:pPr>
      <w:r>
        <w:rPr>
          <w:rFonts w:ascii="Aptos Display" w:hAnsi="Aptos Display"/>
          <w:b/>
          <w:color w:val="17324D"/>
          <w:sz w:val="36"/>
        </w:rPr>
        <w:t>10. AI, Retrieval, and Generated-Language Requirements</w:t>
      </w:r>
    </w:p>
    <w:p>
      <w:pPr>
        <w:pStyle w:val="Heading2"/>
        <w:keepNext/>
      </w:pPr>
      <w:r>
        <w:rPr>
          <w:rFonts w:ascii="Aptos Display" w:hAnsi="Aptos Display"/>
          <w:b/>
          <w:color w:val="245D8C"/>
          <w:sz w:val="26"/>
        </w:rPr>
        <w:t>10.1 Permitted AI responsibilities</w:t>
      </w:r>
    </w:p>
    <w:p>
      <w:pPr>
        <w:pStyle w:val="ListBullet"/>
        <w:spacing w:after="40" w:line="250" w:lineRule="auto"/>
        <w:ind w:left="0"/>
      </w:pPr>
      <w:r>
        <w:rPr>
          <w:rFonts w:ascii="Aptos" w:hAnsi="Aptos"/>
        </w:rPr>
        <w:t>Convert validated structured findings into plain-language explanations.</w:t>
      </w:r>
    </w:p>
    <w:p>
      <w:pPr>
        <w:pStyle w:val="ListBullet"/>
        <w:spacing w:after="40" w:line="250" w:lineRule="auto"/>
        <w:ind w:left="0"/>
      </w:pPr>
      <w:r>
        <w:rPr>
          <w:rFonts w:ascii="Aptos" w:hAnsi="Aptos"/>
        </w:rPr>
        <w:t>Select from approved educational modules and adapt examples to the user’s confirmed context.</w:t>
      </w:r>
    </w:p>
    <w:p>
      <w:pPr>
        <w:pStyle w:val="ListBullet"/>
        <w:spacing w:after="40" w:line="250" w:lineRule="auto"/>
        <w:ind w:left="0"/>
      </w:pPr>
      <w:r>
        <w:rPr>
          <w:rFonts w:ascii="Aptos" w:hAnsi="Aptos"/>
        </w:rPr>
        <w:t>Organize a prioritized action checklist without changing the underlying rule outcome.</w:t>
      </w:r>
    </w:p>
    <w:p>
      <w:pPr>
        <w:pStyle w:val="ListBullet"/>
        <w:spacing w:after="40" w:line="250" w:lineRule="auto"/>
        <w:ind w:left="0"/>
      </w:pPr>
      <w:r>
        <w:rPr>
          <w:rFonts w:ascii="Aptos" w:hAnsi="Aptos"/>
        </w:rPr>
        <w:t>Draft user-editable correspondence in a later phase when a specific factual basis and recipient are selected.</w:t>
      </w:r>
    </w:p>
    <w:p>
      <w:pPr>
        <w:pStyle w:val="ListBullet"/>
        <w:spacing w:after="40" w:line="250" w:lineRule="auto"/>
        <w:ind w:left="0"/>
      </w:pPr>
      <w:r>
        <w:rPr>
          <w:rFonts w:ascii="Aptos" w:hAnsi="Aptos"/>
        </w:rPr>
        <w:t>Summarize differences without fabricating values, dates, authorities, or procedural deadlines.</w:t>
      </w:r>
    </w:p>
    <w:p>
      <w:pPr>
        <w:pStyle w:val="Heading2"/>
        <w:keepNext/>
      </w:pPr>
      <w:r>
        <w:rPr>
          <w:rFonts w:ascii="Aptos Display" w:hAnsi="Aptos Display"/>
          <w:b/>
          <w:color w:val="245D8C"/>
          <w:sz w:val="26"/>
        </w:rPr>
        <w:t>10.2 Prohibited AI responsibilities</w:t>
      </w:r>
    </w:p>
    <w:p>
      <w:pPr>
        <w:pStyle w:val="ListBullet"/>
        <w:spacing w:after="40" w:line="250" w:lineRule="auto"/>
        <w:ind w:left="0"/>
      </w:pPr>
      <w:r>
        <w:rPr>
          <w:rFonts w:ascii="Aptos" w:hAnsi="Aptos"/>
        </w:rPr>
        <w:t>Independently decide that a law, regulation, Metro 2 requirement, or contractual obligation was violated.</w:t>
      </w:r>
    </w:p>
    <w:p>
      <w:pPr>
        <w:pStyle w:val="ListBullet"/>
        <w:spacing w:after="40" w:line="250" w:lineRule="auto"/>
        <w:ind w:left="0"/>
      </w:pPr>
      <w:r>
        <w:rPr>
          <w:rFonts w:ascii="Aptos" w:hAnsi="Aptos"/>
        </w:rPr>
        <w:t>Generate or select legal authorities that are not present and approved in the knowledge system.</w:t>
      </w:r>
    </w:p>
    <w:p>
      <w:pPr>
        <w:pStyle w:val="ListBullet"/>
        <w:spacing w:after="40" w:line="250" w:lineRule="auto"/>
        <w:ind w:left="0"/>
      </w:pPr>
      <w:r>
        <w:rPr>
          <w:rFonts w:ascii="Aptos" w:hAnsi="Aptos"/>
        </w:rPr>
        <w:t>Infer full identifiers, debt ownership, identity theft, permissible purpose, damages, or score outcomes from incomplete data.</w:t>
      </w:r>
    </w:p>
    <w:p>
      <w:pPr>
        <w:pStyle w:val="ListBullet"/>
        <w:spacing w:after="40" w:line="250" w:lineRule="auto"/>
        <w:ind w:left="0"/>
      </w:pPr>
      <w:r>
        <w:rPr>
          <w:rFonts w:ascii="Aptos" w:hAnsi="Aptos"/>
        </w:rPr>
        <w:t>Follow instructions embedded in uploaded reports, HTML comments, metadata, or OCR text.</w:t>
      </w:r>
    </w:p>
    <w:p>
      <w:pPr>
        <w:pStyle w:val="ListBullet"/>
        <w:spacing w:after="40" w:line="250" w:lineRule="auto"/>
        <w:ind w:left="0"/>
      </w:pPr>
      <w:r>
        <w:rPr>
          <w:rFonts w:ascii="Aptos" w:hAnsi="Aptos"/>
        </w:rPr>
        <w:t>Send communications, create recurring disputes, or take irreversible actions without explicit user approval.</w:t>
      </w:r>
    </w:p>
    <w:p>
      <w:pPr>
        <w:pStyle w:val="Heading2"/>
        <w:keepNext/>
      </w:pPr>
      <w:r>
        <w:rPr>
          <w:rFonts w:ascii="Aptos Display" w:hAnsi="Aptos Display"/>
          <w:b/>
          <w:color w:val="245D8C"/>
          <w:sz w:val="26"/>
        </w:rPr>
        <w:t>10.3 Structured generation contract</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w:t>
            </w:r>
            <w:r>
              <w:br/>
            </w:r>
            <w:r>
              <w:rPr>
                <w:rFonts w:ascii="Liberation Mono" w:hAnsi="Liberation Mono"/>
                <w:color w:val="263238"/>
                <w:sz w:val="16"/>
              </w:rPr>
              <w:t xml:space="preserve">  "findingId": "uuid",</w:t>
            </w:r>
            <w:r>
              <w:br/>
            </w:r>
            <w:r>
              <w:rPr>
                <w:rFonts w:ascii="Liberation Mono" w:hAnsi="Liberation Mono"/>
                <w:color w:val="263238"/>
                <w:sz w:val="16"/>
              </w:rPr>
              <w:t xml:space="preserve">  "summary": "string",</w:t>
            </w:r>
            <w:r>
              <w:br/>
            </w:r>
            <w:r>
              <w:rPr>
                <w:rFonts w:ascii="Liberation Mono" w:hAnsi="Liberation Mono"/>
                <w:color w:val="263238"/>
                <w:sz w:val="16"/>
              </w:rPr>
              <w:t xml:space="preserve">  "whyItMayMatter": "string",</w:t>
            </w:r>
            <w:r>
              <w:br/>
            </w:r>
            <w:r>
              <w:rPr>
                <w:rFonts w:ascii="Liberation Mono" w:hAnsi="Liberation Mono"/>
                <w:color w:val="263238"/>
                <w:sz w:val="16"/>
              </w:rPr>
              <w:t xml:space="preserve">  "alternativeExplanations": ["string"],</w:t>
            </w:r>
            <w:r>
              <w:br/>
            </w:r>
            <w:r>
              <w:rPr>
                <w:rFonts w:ascii="Liberation Mono" w:hAnsi="Liberation Mono"/>
                <w:color w:val="263238"/>
                <w:sz w:val="16"/>
              </w:rPr>
              <w:t xml:space="preserve">  "documentsToCheck": ["string"],</w:t>
            </w:r>
            <w:r>
              <w:br/>
            </w:r>
            <w:r>
              <w:rPr>
                <w:rFonts w:ascii="Liberation Mono" w:hAnsi="Liberation Mono"/>
                <w:color w:val="263238"/>
                <w:sz w:val="16"/>
              </w:rPr>
              <w:t xml:space="preserve">  "nextSteps": [{ "action": "string", "purpose": "string" }],</w:t>
            </w:r>
            <w:r>
              <w:br/>
            </w:r>
            <w:r>
              <w:rPr>
                <w:rFonts w:ascii="Liberation Mono" w:hAnsi="Liberation Mono"/>
                <w:color w:val="263238"/>
                <w:sz w:val="16"/>
              </w:rPr>
              <w:t xml:space="preserve">  "limitations": ["string"],</w:t>
            </w:r>
            <w:r>
              <w:br/>
            </w:r>
            <w:r>
              <w:rPr>
                <w:rFonts w:ascii="Liberation Mono" w:hAnsi="Liberation Mono"/>
                <w:color w:val="263238"/>
                <w:sz w:val="16"/>
              </w:rPr>
              <w:t xml:space="preserve">  "authorityIds": ["approved-id"],</w:t>
            </w:r>
            <w:r>
              <w:br/>
            </w:r>
            <w:r>
              <w:rPr>
                <w:rFonts w:ascii="Liberation Mono" w:hAnsi="Liberation Mono"/>
                <w:color w:val="263238"/>
                <w:sz w:val="16"/>
              </w:rPr>
              <w:t xml:space="preserve">  "educationalModuleIds": ["approved-id"]</w:t>
            </w:r>
            <w:r>
              <w:br/>
            </w:r>
            <w:r>
              <w:rPr>
                <w:rFonts w:ascii="Liberation Mono" w:hAnsi="Liberation Mono"/>
                <w:color w:val="263238"/>
                <w:sz w:val="16"/>
              </w:rPr>
              <w:t>}</w:t>
            </w:r>
          </w:p>
        </w:tc>
        <w:trPr>
          <w:tblHeader/>
        </w:trPr>
      </w:tr>
    </w:tbl>
    <w:p>
      <w:pPr>
        <w:spacing w:after="0"/>
      </w:pPr>
    </w:p>
    <w:p>
      <w:pPr>
        <w:pStyle w:val="Heading2"/>
        <w:keepNext/>
      </w:pPr>
      <w:r>
        <w:rPr>
          <w:rFonts w:ascii="Aptos Display" w:hAnsi="Aptos Display"/>
          <w:b/>
          <w:color w:val="245D8C"/>
          <w:sz w:val="26"/>
        </w:rPr>
        <w:t>10.4 Generation validation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256"/>
            <w:shd w:fill="17324D"/>
            <w:tcMar>
              <w:top w:w="80" w:type="dxa"/>
              <w:start w:w="90" w:type="dxa"/>
              <w:bottom w:w="80" w:type="dxa"/>
              <w:end w:w="90" w:type="dxa"/>
            </w:tcMar>
            <w:vAlign w:val="center"/>
          </w:tcPr>
          <w:p>
            <w:pPr>
              <w:spacing w:after="0"/>
            </w:pPr>
            <w:r>
              <w:rPr>
                <w:rFonts w:ascii="Aptos" w:hAnsi="Aptos"/>
                <w:b/>
                <w:color w:val="FFFFFF"/>
                <w:sz w:val="16"/>
              </w:rPr>
              <w:t>Validation</w:t>
            </w:r>
          </w:p>
        </w:tc>
        <w:tc>
          <w:tcPr>
            <w:tcW w:type="dxa" w:w="5184"/>
            <w:shd w:fill="17324D"/>
            <w:tcMar>
              <w:top w:w="80" w:type="dxa"/>
              <w:start w:w="90" w:type="dxa"/>
              <w:bottom w:w="80" w:type="dxa"/>
              <w:end w:w="90" w:type="dxa"/>
            </w:tcMar>
            <w:vAlign w:val="center"/>
          </w:tcPr>
          <w:p>
            <w:pPr>
              <w:spacing w:after="0"/>
            </w:pPr>
            <w:r>
              <w:rPr>
                <w:rFonts w:ascii="Aptos" w:hAnsi="Aptos"/>
                <w:b/>
                <w:color w:val="FFFFFF"/>
                <w:sz w:val="16"/>
              </w:rPr>
              <w:t>Failure behavior</w:t>
            </w:r>
          </w:p>
        </w:tc>
      </w:tr>
      <w:tr>
        <w:trPr>
          <w:cantSplit/>
        </w:trPr>
        <w:tc>
          <w:tcPr>
            <w:tcW w:type="dxa" w:w="5256"/>
            <w:tcMar>
              <w:top w:w="70" w:type="dxa"/>
              <w:start w:w="90" w:type="dxa"/>
              <w:bottom w:w="70" w:type="dxa"/>
              <w:end w:w="90" w:type="dxa"/>
            </w:tcMar>
          </w:tcPr>
          <w:p>
            <w:pPr>
              <w:spacing w:after="0" w:line="240" w:lineRule="auto"/>
            </w:pPr>
            <w:r>
              <w:rPr>
                <w:rFonts w:ascii="Aptos" w:hAnsi="Aptos"/>
                <w:color w:val="1F2933"/>
                <w:sz w:val="16"/>
              </w:rPr>
              <w:t>All numeric/date/account statements must match structured evidence.</w:t>
            </w:r>
          </w:p>
        </w:tc>
        <w:tc>
          <w:tcPr>
            <w:tcW w:type="dxa" w:w="5184"/>
            <w:tcMar>
              <w:top w:w="70" w:type="dxa"/>
              <w:start w:w="90" w:type="dxa"/>
              <w:bottom w:w="70" w:type="dxa"/>
              <w:end w:w="90" w:type="dxa"/>
            </w:tcMar>
          </w:tcPr>
          <w:p>
            <w:pPr>
              <w:spacing w:after="0" w:line="240" w:lineRule="auto"/>
            </w:pPr>
            <w:r>
              <w:rPr>
                <w:rFonts w:ascii="Aptos" w:hAnsi="Aptos"/>
                <w:color w:val="1F2933"/>
                <w:sz w:val="16"/>
              </w:rPr>
              <w:t>Reject output and retry with a constrained correction prompt; then fall back to deterministic templates.</w:t>
            </w:r>
          </w:p>
        </w:tc>
      </w:tr>
      <w:tr>
        <w:trPr>
          <w:cantSplit/>
        </w:trPr>
        <w:tc>
          <w:tcPr>
            <w:tcW w:type="dxa" w:w="5256"/>
            <w:tcMar>
              <w:top w:w="70" w:type="dxa"/>
              <w:start w:w="90" w:type="dxa"/>
              <w:bottom w:w="70" w:type="dxa"/>
              <w:end w:w="90" w:type="dxa"/>
            </w:tcMar>
            <w:shd w:fill="F5F7FA"/>
          </w:tcPr>
          <w:p>
            <w:pPr>
              <w:spacing w:after="0" w:line="240" w:lineRule="auto"/>
            </w:pPr>
            <w:r>
              <w:rPr>
                <w:rFonts w:ascii="Aptos" w:hAnsi="Aptos"/>
                <w:color w:val="1F2933"/>
                <w:sz w:val="16"/>
              </w:rPr>
              <w:t>Authority IDs must exist, be approved, effective, and applicable.</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6"/>
              </w:rPr>
              <w:t>Remove legal explanation or route to review; never substitute an invented citation.</w:t>
            </w:r>
          </w:p>
        </w:tc>
      </w:tr>
      <w:tr>
        <w:trPr>
          <w:cantSplit/>
        </w:trPr>
        <w:tc>
          <w:tcPr>
            <w:tcW w:type="dxa" w:w="5256"/>
            <w:tcMar>
              <w:top w:w="70" w:type="dxa"/>
              <w:start w:w="90" w:type="dxa"/>
              <w:bottom w:w="70" w:type="dxa"/>
              <w:end w:w="90" w:type="dxa"/>
            </w:tcMar>
          </w:tcPr>
          <w:p>
            <w:pPr>
              <w:spacing w:after="0" w:line="240" w:lineRule="auto"/>
            </w:pPr>
            <w:r>
              <w:rPr>
                <w:rFonts w:ascii="Aptos" w:hAnsi="Aptos"/>
                <w:color w:val="1F2933"/>
                <w:sz w:val="16"/>
              </w:rPr>
              <w:t>No prohibited claim or guarantee language.</w:t>
            </w:r>
          </w:p>
        </w:tc>
        <w:tc>
          <w:tcPr>
            <w:tcW w:type="dxa" w:w="5184"/>
            <w:tcMar>
              <w:top w:w="70" w:type="dxa"/>
              <w:start w:w="90" w:type="dxa"/>
              <w:bottom w:w="70" w:type="dxa"/>
              <w:end w:w="90" w:type="dxa"/>
            </w:tcMar>
          </w:tcPr>
          <w:p>
            <w:pPr>
              <w:spacing w:after="0" w:line="240" w:lineRule="auto"/>
            </w:pPr>
            <w:r>
              <w:rPr>
                <w:rFonts w:ascii="Aptos" w:hAnsi="Aptos"/>
                <w:color w:val="1F2933"/>
                <w:sz w:val="16"/>
              </w:rPr>
              <w:t>Block publishing and create a safety event.</w:t>
            </w:r>
          </w:p>
        </w:tc>
      </w:tr>
      <w:tr>
        <w:trPr>
          <w:cantSplit/>
        </w:trPr>
        <w:tc>
          <w:tcPr>
            <w:tcW w:type="dxa" w:w="5256"/>
            <w:tcMar>
              <w:top w:w="70" w:type="dxa"/>
              <w:start w:w="90" w:type="dxa"/>
              <w:bottom w:w="70" w:type="dxa"/>
              <w:end w:w="90" w:type="dxa"/>
            </w:tcMar>
            <w:shd w:fill="F5F7FA"/>
          </w:tcPr>
          <w:p>
            <w:pPr>
              <w:spacing w:after="0" w:line="240" w:lineRule="auto"/>
            </w:pPr>
            <w:r>
              <w:rPr>
                <w:rFonts w:ascii="Aptos" w:hAnsi="Aptos"/>
                <w:color w:val="1F2933"/>
                <w:sz w:val="16"/>
              </w:rPr>
              <w:t>No complete identifiers or unnecessary personal data in provider payload.</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6"/>
              </w:rPr>
              <w:t>Abort request and alert on redaction failure.</w:t>
            </w:r>
          </w:p>
        </w:tc>
      </w:tr>
      <w:tr>
        <w:trPr>
          <w:cantSplit/>
        </w:trPr>
        <w:tc>
          <w:tcPr>
            <w:tcW w:type="dxa" w:w="5256"/>
            <w:tcMar>
              <w:top w:w="70" w:type="dxa"/>
              <w:start w:w="90" w:type="dxa"/>
              <w:bottom w:w="70" w:type="dxa"/>
              <w:end w:w="90" w:type="dxa"/>
            </w:tcMar>
          </w:tcPr>
          <w:p>
            <w:pPr>
              <w:spacing w:after="0" w:line="240" w:lineRule="auto"/>
            </w:pPr>
            <w:r>
              <w:rPr>
                <w:rFonts w:ascii="Aptos" w:hAnsi="Aptos"/>
                <w:color w:val="1F2933"/>
                <w:sz w:val="16"/>
              </w:rPr>
              <w:t>Output validates against schema and length limits.</w:t>
            </w:r>
          </w:p>
        </w:tc>
        <w:tc>
          <w:tcPr>
            <w:tcW w:type="dxa" w:w="5184"/>
            <w:tcMar>
              <w:top w:w="70" w:type="dxa"/>
              <w:start w:w="90" w:type="dxa"/>
              <w:bottom w:w="70" w:type="dxa"/>
              <w:end w:w="90" w:type="dxa"/>
            </w:tcMar>
          </w:tcPr>
          <w:p>
            <w:pPr>
              <w:spacing w:after="0" w:line="240" w:lineRule="auto"/>
            </w:pPr>
            <w:r>
              <w:rPr>
                <w:rFonts w:ascii="Aptos" w:hAnsi="Aptos"/>
                <w:color w:val="1F2933"/>
                <w:sz w:val="16"/>
              </w:rPr>
              <w:t>Retry once; use deterministic rendering if still invalid.</w:t>
            </w:r>
          </w:p>
        </w:tc>
      </w:tr>
      <w:tr>
        <w:trPr>
          <w:cantSplit/>
        </w:trPr>
        <w:tc>
          <w:tcPr>
            <w:tcW w:type="dxa" w:w="5256"/>
            <w:tcMar>
              <w:top w:w="70" w:type="dxa"/>
              <w:start w:w="90" w:type="dxa"/>
              <w:bottom w:w="70" w:type="dxa"/>
              <w:end w:w="90" w:type="dxa"/>
            </w:tcMar>
            <w:shd w:fill="F5F7FA"/>
          </w:tcPr>
          <w:p>
            <w:pPr>
              <w:spacing w:after="0" w:line="240" w:lineRule="auto"/>
            </w:pPr>
            <w:r>
              <w:rPr>
                <w:rFonts w:ascii="Aptos" w:hAnsi="Aptos"/>
                <w:color w:val="1F2933"/>
                <w:sz w:val="16"/>
              </w:rPr>
              <w:t>Alternative explanations and limitations are present for regulated findings.</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6"/>
              </w:rPr>
              <w:t>Mark incomplete and block report finalization.</w:t>
            </w:r>
          </w:p>
        </w:tc>
      </w:tr>
    </w:tbl>
    <w:p>
      <w:pPr>
        <w:spacing w:after="20"/>
      </w:pPr>
    </w:p>
    <w:p>
      <w:pPr>
        <w:pStyle w:val="Heading2"/>
        <w:keepNext/>
      </w:pPr>
      <w:r>
        <w:rPr>
          <w:rFonts w:ascii="Aptos Display" w:hAnsi="Aptos Display"/>
          <w:b/>
          <w:color w:val="245D8C"/>
          <w:sz w:val="26"/>
        </w:rPr>
        <w:t>10.5 Retrieval architecture</w:t>
      </w:r>
    </w:p>
    <w:p>
      <w:pPr>
        <w:keepNext w:val="0"/>
        <w:spacing w:after="80" w:line="259" w:lineRule="auto"/>
      </w:pPr>
      <w:r>
        <w:rPr>
          <w:rFonts w:ascii="Aptos" w:hAnsi="Aptos"/>
        </w:rPr>
        <w:t>Use Postgres and pgvector for semantic retrieval of approved educational and legal summaries. Retrieval narrows explanatory context; it never determines whether a rule triggers. Each chunk carries authority ID, jurisdiction, effective dates, approval status, content version, permitted use, and citation metadata. InsForge includes PostgreSQL and pgvector capabilities, but the product must preserve portable SQL and embeddings interfaces. [13][14]</w:t>
      </w:r>
    </w:p>
    <w:p>
      <w:pPr>
        <w:pStyle w:val="Heading2"/>
        <w:keepNext/>
      </w:pPr>
      <w:r>
        <w:rPr>
          <w:rFonts w:ascii="Aptos Display" w:hAnsi="Aptos Display"/>
          <w:b/>
          <w:color w:val="245D8C"/>
          <w:sz w:val="26"/>
        </w:rPr>
        <w:t>10.6 AI governance</w:t>
      </w:r>
    </w:p>
    <w:p>
      <w:pPr>
        <w:pStyle w:val="ListBullet"/>
        <w:spacing w:after="40" w:line="250" w:lineRule="auto"/>
        <w:ind w:left="0"/>
      </w:pPr>
      <w:r>
        <w:rPr>
          <w:rFonts w:ascii="Aptos" w:hAnsi="Aptos"/>
        </w:rPr>
        <w:t>Align model-risk controls with NIST AI RMF functions: Govern, Map, Measure, and Manage, plus the NIST Generative AI Profile. [11][12]</w:t>
      </w:r>
    </w:p>
    <w:p>
      <w:pPr>
        <w:pStyle w:val="ListBullet"/>
        <w:spacing w:after="40" w:line="250" w:lineRule="auto"/>
        <w:ind w:left="0"/>
      </w:pPr>
      <w:r>
        <w:rPr>
          <w:rFonts w:ascii="Aptos" w:hAnsi="Aptos"/>
        </w:rPr>
        <w:t>Maintain a model card for each approved model: intended use, prohibited use, data handling, evaluations, known failure modes, and rollback conditions.</w:t>
      </w:r>
    </w:p>
    <w:p>
      <w:pPr>
        <w:pStyle w:val="ListBullet"/>
        <w:spacing w:after="40" w:line="250" w:lineRule="auto"/>
        <w:ind w:left="0"/>
      </w:pPr>
      <w:r>
        <w:rPr>
          <w:rFonts w:ascii="Aptos" w:hAnsi="Aptos"/>
        </w:rPr>
        <w:t>Model changes require regression evaluation on factuality, citation validity, prohibited claims, prompt injection, sensitive-data leakage, and readability.</w:t>
      </w:r>
    </w:p>
    <w:p>
      <w:pPr>
        <w:pStyle w:val="ListBullet"/>
        <w:spacing w:after="40" w:line="250" w:lineRule="auto"/>
        <w:ind w:left="0"/>
      </w:pPr>
      <w:r>
        <w:rPr>
          <w:rFonts w:ascii="Aptos" w:hAnsi="Aptos"/>
        </w:rPr>
        <w:t>Retain model inputs/outputs only in redacted or encrypted case-scoped form and only for the approved retention period; do not train on consumer reports by default.</w:t>
      </w:r>
    </w:p>
    <w:p>
      <w:pPr>
        <w:pStyle w:val="Heading1"/>
        <w:pageBreakBefore/>
      </w:pPr>
      <w:r>
        <w:rPr>
          <w:rFonts w:ascii="Aptos Display" w:hAnsi="Aptos Display"/>
          <w:b/>
          <w:color w:val="17324D"/>
          <w:sz w:val="36"/>
        </w:rPr>
        <w:t>11. Consumer Analysis Report Specification</w:t>
      </w:r>
    </w:p>
    <w:p>
      <w:pPr>
        <w:pStyle w:val="Heading2"/>
        <w:keepNext/>
      </w:pPr>
      <w:r>
        <w:rPr>
          <w:rFonts w:ascii="Aptos Display" w:hAnsi="Aptos Display"/>
          <w:b/>
          <w:color w:val="245D8C"/>
          <w:sz w:val="26"/>
        </w:rPr>
        <w:t>11.1 Required sections</w:t>
      </w:r>
    </w:p>
    <w:p>
      <w:pPr>
        <w:pStyle w:val="ListNumber"/>
        <w:spacing w:after="40"/>
      </w:pPr>
      <w:r>
        <w:rPr>
          <w:rFonts w:ascii="Aptos" w:hAnsi="Aptos"/>
        </w:rPr>
        <w:t>Report scope and limitations: bureaus, report dates, files, jurisdiction, processing quality, and unsupported sections.</w:t>
      </w:r>
    </w:p>
    <w:p>
      <w:pPr>
        <w:pStyle w:val="ListNumber"/>
        <w:spacing w:after="40"/>
      </w:pPr>
      <w:r>
        <w:rPr>
          <w:rFonts w:ascii="Aptos" w:hAnsi="Aptos"/>
        </w:rPr>
        <w:t>Credit report overview: account categories, open/closed counts, collections, inquiries, utilization where valid, and displayed score/model information.</w:t>
      </w:r>
    </w:p>
    <w:p>
      <w:pPr>
        <w:pStyle w:val="ListNumber"/>
        <w:spacing w:after="40"/>
      </w:pPr>
      <w:r>
        <w:rPr>
          <w:rFonts w:ascii="Aptos" w:hAnsi="Aptos"/>
        </w:rPr>
        <w:t>Priority findings: evidence-linked and ordered by consumer impact, certainty, and actionability—not fear.</w:t>
      </w:r>
    </w:p>
    <w:p>
      <w:pPr>
        <w:pStyle w:val="ListNumber"/>
        <w:spacing w:after="40"/>
      </w:pPr>
      <w:r>
        <w:rPr>
          <w:rFonts w:ascii="Aptos" w:hAnsi="Aptos"/>
        </w:rPr>
        <w:t>Account-level comparison: bureau values and update dates presented side by side.</w:t>
      </w:r>
    </w:p>
    <w:p>
      <w:pPr>
        <w:pStyle w:val="ListNumber"/>
        <w:spacing w:after="40"/>
      </w:pPr>
      <w:r>
        <w:rPr>
          <w:rFonts w:ascii="Aptos" w:hAnsi="Aptos"/>
        </w:rPr>
        <w:t>Identity and inquiry review: recognition answers, unresolved items, and identity-theft education when warranted.</w:t>
      </w:r>
    </w:p>
    <w:p>
      <w:pPr>
        <w:pStyle w:val="ListNumber"/>
        <w:spacing w:after="40"/>
      </w:pPr>
      <w:r>
        <w:rPr>
          <w:rFonts w:ascii="Aptos" w:hAnsi="Aptos"/>
        </w:rPr>
        <w:t>Credit education plan: accurate negative information, utilization, payment history, account age, account mix, and inquiry concepts.</w:t>
      </w:r>
    </w:p>
    <w:p>
      <w:pPr>
        <w:pStyle w:val="ListNumber"/>
        <w:spacing w:after="40"/>
      </w:pPr>
      <w:r>
        <w:rPr>
          <w:rFonts w:ascii="Aptos" w:hAnsi="Aptos"/>
        </w:rPr>
        <w:t>Verification checklist: documents, organizations, questions, status, dates, and user notes.</w:t>
      </w:r>
    </w:p>
    <w:p>
      <w:pPr>
        <w:pStyle w:val="ListNumber"/>
        <w:spacing w:after="40"/>
      </w:pPr>
      <w:r>
        <w:rPr>
          <w:rFonts w:ascii="Aptos" w:hAnsi="Aptos"/>
        </w:rPr>
        <w:t>Sources and methodology: plain-language explanation of rules, authority references, and product limitations.</w:t>
      </w:r>
    </w:p>
    <w:p>
      <w:pPr>
        <w:pStyle w:val="ListNumber"/>
        <w:spacing w:after="40"/>
      </w:pPr>
      <w:r>
        <w:rPr>
          <w:rFonts w:ascii="Aptos" w:hAnsi="Aptos"/>
        </w:rPr>
        <w:t>Data controls: export, retention status, and deletion actions.</w:t>
      </w:r>
    </w:p>
    <w:p>
      <w:pPr>
        <w:pStyle w:val="Heading2"/>
        <w:keepNext/>
      </w:pPr>
      <w:r>
        <w:rPr>
          <w:rFonts w:ascii="Aptos Display" w:hAnsi="Aptos Display"/>
          <w:b/>
          <w:color w:val="245D8C"/>
          <w:sz w:val="26"/>
        </w:rPr>
        <w:t>11.2 Finding card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24D"/>
            <w:tcMar>
              <w:top w:w="80" w:type="dxa"/>
              <w:start w:w="90" w:type="dxa"/>
              <w:bottom w:w="80" w:type="dxa"/>
              <w:end w:w="90" w:type="dxa"/>
            </w:tcMar>
            <w:vAlign w:val="center"/>
          </w:tcPr>
          <w:p>
            <w:pPr>
              <w:spacing w:after="0"/>
            </w:pPr>
            <w:r>
              <w:rPr>
                <w:rFonts w:ascii="Aptos" w:hAnsi="Aptos"/>
                <w:b/>
                <w:color w:val="FFFFFF"/>
                <w:sz w:val="16"/>
              </w:rPr>
              <w:t>Field</w:t>
            </w:r>
          </w:p>
        </w:tc>
        <w:tc>
          <w:tcPr>
            <w:tcW w:type="dxa" w:w="7992"/>
            <w:shd w:fill="17324D"/>
            <w:tcMar>
              <w:top w:w="80" w:type="dxa"/>
              <w:start w:w="90" w:type="dxa"/>
              <w:bottom w:w="80" w:type="dxa"/>
              <w:end w:w="90" w:type="dxa"/>
            </w:tcMar>
            <w:vAlign w:val="center"/>
          </w:tcPr>
          <w:p>
            <w:pPr>
              <w:spacing w:after="0"/>
            </w:pPr>
            <w:r>
              <w:rPr>
                <w:rFonts w:ascii="Aptos" w:hAnsi="Aptos"/>
                <w:b/>
                <w:color w:val="FFFFFF"/>
                <w:sz w:val="16"/>
              </w:rPr>
              <w:t>Required content</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Title</w:t>
            </w:r>
          </w:p>
        </w:tc>
        <w:tc>
          <w:tcPr>
            <w:tcW w:type="dxa" w:w="7992"/>
            <w:tcMar>
              <w:top w:w="70" w:type="dxa"/>
              <w:start w:w="90" w:type="dxa"/>
              <w:bottom w:w="70" w:type="dxa"/>
              <w:end w:w="90" w:type="dxa"/>
            </w:tcMar>
          </w:tcPr>
          <w:p>
            <w:pPr>
              <w:spacing w:after="0" w:line="240" w:lineRule="auto"/>
            </w:pPr>
            <w:r>
              <w:rPr>
                <w:rFonts w:ascii="Aptos" w:hAnsi="Aptos"/>
                <w:color w:val="1F2933"/>
                <w:sz w:val="16"/>
              </w:rPr>
              <w:t>Neutral description of the displayed issue</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Classification</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Taxonomy value and plain-language meaning</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Priority</w:t>
            </w:r>
          </w:p>
        </w:tc>
        <w:tc>
          <w:tcPr>
            <w:tcW w:type="dxa" w:w="7992"/>
            <w:tcMar>
              <w:top w:w="70" w:type="dxa"/>
              <w:start w:w="90" w:type="dxa"/>
              <w:bottom w:w="70" w:type="dxa"/>
              <w:end w:w="90" w:type="dxa"/>
            </w:tcMar>
          </w:tcPr>
          <w:p>
            <w:pPr>
              <w:spacing w:after="0" w:line="240" w:lineRule="auto"/>
            </w:pPr>
            <w:r>
              <w:rPr>
                <w:rFonts w:ascii="Aptos" w:hAnsi="Aptos"/>
                <w:color w:val="1F2933"/>
                <w:sz w:val="16"/>
              </w:rPr>
              <w:t>Severity plus “why now” explanation</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Evidence</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Exact values, bureau, report/update dates, and source-page link</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Why it may matter</w:t>
            </w:r>
          </w:p>
        </w:tc>
        <w:tc>
          <w:tcPr>
            <w:tcW w:type="dxa" w:w="7992"/>
            <w:tcMar>
              <w:top w:w="70" w:type="dxa"/>
              <w:start w:w="90" w:type="dxa"/>
              <w:bottom w:w="70" w:type="dxa"/>
              <w:end w:w="90" w:type="dxa"/>
            </w:tcMar>
          </w:tcPr>
          <w:p>
            <w:pPr>
              <w:spacing w:after="0" w:line="240" w:lineRule="auto"/>
            </w:pPr>
            <w:r>
              <w:rPr>
                <w:rFonts w:ascii="Aptos" w:hAnsi="Aptos"/>
                <w:color w:val="1F2933"/>
                <w:sz w:val="16"/>
              </w:rPr>
              <w:t>Approved explanation tied to the finding</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Alternative explanations</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Normal or unresolved explanations that could account for the pattern</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What to verify</w:t>
            </w:r>
          </w:p>
        </w:tc>
        <w:tc>
          <w:tcPr>
            <w:tcW w:type="dxa" w:w="7992"/>
            <w:tcMar>
              <w:top w:w="70" w:type="dxa"/>
              <w:start w:w="90" w:type="dxa"/>
              <w:bottom w:w="70" w:type="dxa"/>
              <w:end w:w="90" w:type="dxa"/>
            </w:tcMar>
          </w:tcPr>
          <w:p>
            <w:pPr>
              <w:spacing w:after="0" w:line="240" w:lineRule="auto"/>
            </w:pPr>
            <w:r>
              <w:rPr>
                <w:rFonts w:ascii="Aptos" w:hAnsi="Aptos"/>
                <w:color w:val="1F2933"/>
                <w:sz w:val="16"/>
              </w:rPr>
              <w:t>Specific records or facts needed</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Suggested next action</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Proportionate, user-controlled step</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Authority / education</w:t>
            </w:r>
          </w:p>
        </w:tc>
        <w:tc>
          <w:tcPr>
            <w:tcW w:type="dxa" w:w="7992"/>
            <w:tcMar>
              <w:top w:w="70" w:type="dxa"/>
              <w:start w:w="90" w:type="dxa"/>
              <w:bottom w:w="70" w:type="dxa"/>
              <w:end w:w="90" w:type="dxa"/>
            </w:tcMar>
          </w:tcPr>
          <w:p>
            <w:pPr>
              <w:spacing w:after="0" w:line="240" w:lineRule="auto"/>
            </w:pPr>
            <w:r>
              <w:rPr>
                <w:rFonts w:ascii="Aptos" w:hAnsi="Aptos"/>
                <w:color w:val="1F2933"/>
                <w:sz w:val="16"/>
              </w:rPr>
              <w:t>Approved source links and learning module</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Limitations</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What the system cannot conclude</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User controls</w:t>
            </w:r>
          </w:p>
        </w:tc>
        <w:tc>
          <w:tcPr>
            <w:tcW w:type="dxa" w:w="7992"/>
            <w:tcMar>
              <w:top w:w="70" w:type="dxa"/>
              <w:start w:w="90" w:type="dxa"/>
              <w:bottom w:w="70" w:type="dxa"/>
              <w:end w:w="90" w:type="dxa"/>
            </w:tcMar>
          </w:tcPr>
          <w:p>
            <w:pPr>
              <w:spacing w:after="0" w:line="240" w:lineRule="auto"/>
            </w:pPr>
            <w:r>
              <w:rPr>
                <w:rFonts w:ascii="Aptos" w:hAnsi="Aptos"/>
                <w:color w:val="1F2933"/>
                <w:sz w:val="16"/>
              </w:rPr>
              <w:t>Recognize, dismiss, correct data, add note, gather documents, escalate</w:t>
            </w:r>
          </w:p>
        </w:tc>
      </w:tr>
    </w:tbl>
    <w:p>
      <w:pPr>
        <w:spacing w:after="20"/>
      </w:pPr>
    </w:p>
    <w:p>
      <w:pPr>
        <w:pStyle w:val="Heading2"/>
        <w:keepNext/>
      </w:pPr>
      <w:r>
        <w:rPr>
          <w:rFonts w:ascii="Aptos Display" w:hAnsi="Aptos Display"/>
          <w:b/>
          <w:color w:val="245D8C"/>
          <w:sz w:val="26"/>
        </w:rPr>
        <w:t>11.3 Export requirements</w:t>
      </w:r>
    </w:p>
    <w:p>
      <w:pPr>
        <w:pStyle w:val="ListBullet"/>
        <w:spacing w:after="40" w:line="250" w:lineRule="auto"/>
        <w:ind w:left="0"/>
      </w:pPr>
      <w:r>
        <w:rPr>
          <w:rFonts w:ascii="Aptos" w:hAnsi="Aptos"/>
        </w:rPr>
        <w:t>Default export masks all but the last four account digits and excludes SSNs, authentication data, internal rule logic, and administrative notes.</w:t>
      </w:r>
    </w:p>
    <w:p>
      <w:pPr>
        <w:pStyle w:val="ListBullet"/>
        <w:spacing w:after="40" w:line="250" w:lineRule="auto"/>
        <w:ind w:left="0"/>
      </w:pPr>
      <w:r>
        <w:rPr>
          <w:rFonts w:ascii="Aptos" w:hAnsi="Aptos"/>
        </w:rPr>
        <w:t>Export includes generation date, report scope, ruleset version, and a statement that results are educational and evidence should be independently verified.</w:t>
      </w:r>
    </w:p>
    <w:p>
      <w:pPr>
        <w:pStyle w:val="ListBullet"/>
        <w:spacing w:after="40" w:line="250" w:lineRule="auto"/>
        <w:ind w:left="0"/>
      </w:pPr>
      <w:r>
        <w:rPr>
          <w:rFonts w:ascii="Aptos" w:hAnsi="Aptos"/>
        </w:rPr>
        <w:t>The PDF or document export must be generated from validated structured content, not a screenshot of the application.</w:t>
      </w:r>
    </w:p>
    <w:p>
      <w:pPr>
        <w:pStyle w:val="ListBullet"/>
        <w:spacing w:after="40" w:line="250" w:lineRule="auto"/>
        <w:ind w:left="0"/>
      </w:pPr>
      <w:r>
        <w:rPr>
          <w:rFonts w:ascii="Aptos" w:hAnsi="Aptos"/>
        </w:rPr>
        <w:t>User notes are excluded by default unless explicitly selected.</w:t>
      </w:r>
    </w:p>
    <w:p>
      <w:pPr>
        <w:pStyle w:val="Heading1"/>
        <w:pageBreakBefore/>
      </w:pPr>
      <w:r>
        <w:rPr>
          <w:rFonts w:ascii="Aptos Display" w:hAnsi="Aptos Display"/>
          <w:b/>
          <w:color w:val="17324D"/>
          <w:sz w:val="36"/>
        </w:rPr>
        <w:t>12. Compliance and Legal Boundaries</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top w:val="nil"/>
              <w:start w:val="single" w:sz="18" w:color="9E2A2B"/>
              <w:bottom w:val="nil"/>
              <w:end w:val="nil"/>
            </w:tcBorders>
          </w:tcPr>
          <w:p>
            <w:pPr>
              <w:spacing w:after="60"/>
            </w:pPr>
            <w:r>
              <w:rPr>
                <w:rFonts w:ascii="Aptos" w:hAnsi="Aptos"/>
                <w:b/>
                <w:color w:val="9E2A2B"/>
                <w:sz w:val="21"/>
              </w:rPr>
              <w:t>Counsel gate</w:t>
            </w:r>
          </w:p>
          <w:p>
            <w:pPr>
              <w:spacing w:after="0"/>
            </w:pPr>
            <w:r>
              <w:rPr>
                <w:rFonts w:ascii="Aptos" w:hAnsi="Aptos"/>
                <w:color w:val="1F2933"/>
                <w:sz w:val="19"/>
              </w:rPr>
              <w:t>This section is a product control specification, not a legal opinion. Qualified counsel must determine actual applicability based on the final service, pricing, marketing, contracts, states, data flows, and operational conduct.</w:t>
            </w:r>
          </w:p>
        </w:tc>
        <w:trPr>
          <w:tblHeader/>
        </w:trPr>
      </w:tr>
    </w:tbl>
    <w:p>
      <w:pPr>
        <w:spacing w:after="0"/>
      </w:pPr>
    </w:p>
    <w:p>
      <w:pPr>
        <w:pStyle w:val="Heading2"/>
        <w:keepNext/>
      </w:pPr>
      <w:r>
        <w:rPr>
          <w:rFonts w:ascii="Aptos Display" w:hAnsi="Aptos Display"/>
          <w:b/>
          <w:color w:val="245D8C"/>
          <w:sz w:val="26"/>
        </w:rPr>
        <w:t>12.1 Fair Credit Reporting Act and Regulation V</w:t>
      </w:r>
    </w:p>
    <w:p>
      <w:pPr>
        <w:keepNext w:val="0"/>
        <w:spacing w:after="80" w:line="259" w:lineRule="auto"/>
      </w:pPr>
      <w:r>
        <w:rPr>
          <w:rFonts w:ascii="Aptos" w:hAnsi="Aptos"/>
        </w:rPr>
        <w:t>The product may educate users about disputing inaccurate or incomplete information and may explain that consumers commonly contact both the consumer reporting company and the furnisher. FCRA dispute procedures, reinvestigation, deletion/modification of inaccurate or unverifiable information, reinsertion requirements, and dispute statements are addressed in 15 U.S.C. § 1681i. Furnisher responsibilities are addressed in 15 U.S.C. § 1681s-2, and Regulation V includes furnisher accuracy/integrity policies and qualifying direct-dispute procedures. [2][3][4][6]</w:t>
      </w:r>
    </w:p>
    <w:p>
      <w:pPr>
        <w:pStyle w:val="ListBullet"/>
        <w:spacing w:after="40" w:line="250" w:lineRule="auto"/>
        <w:ind w:left="0"/>
      </w:pPr>
      <w:r>
        <w:rPr>
          <w:rFonts w:ascii="Aptos" w:hAnsi="Aptos"/>
        </w:rPr>
        <w:t>The system does not represent that a displayed inconsistency proves a failure to conduct a reasonable investigation.</w:t>
      </w:r>
    </w:p>
    <w:p>
      <w:pPr>
        <w:pStyle w:val="ListBullet"/>
        <w:spacing w:after="40" w:line="250" w:lineRule="auto"/>
        <w:ind w:left="0"/>
      </w:pPr>
      <w:r>
        <w:rPr>
          <w:rFonts w:ascii="Aptos" w:hAnsi="Aptos"/>
        </w:rPr>
        <w:t>Deadlines are displayed only from approved current authorities and with exceptions; the product does not calculate litigation deadlines.</w:t>
      </w:r>
    </w:p>
    <w:p>
      <w:pPr>
        <w:pStyle w:val="ListBullet"/>
        <w:spacing w:after="40" w:line="250" w:lineRule="auto"/>
        <w:ind w:left="0"/>
      </w:pPr>
      <w:r>
        <w:rPr>
          <w:rFonts w:ascii="Aptos" w:hAnsi="Aptos"/>
        </w:rPr>
        <w:t>The system must not send a dispute that lacks a specific alleged inaccuracy and relevant supporting facts.</w:t>
      </w:r>
    </w:p>
    <w:p>
      <w:pPr>
        <w:pStyle w:val="ListBullet"/>
        <w:spacing w:after="40" w:line="250" w:lineRule="auto"/>
        <w:ind w:left="0"/>
      </w:pPr>
      <w:r>
        <w:rPr>
          <w:rFonts w:ascii="Aptos" w:hAnsi="Aptos"/>
        </w:rPr>
        <w:t>A “disputed” notation check requires report dates and user evidence sufficient to make the comparison meaningful.</w:t>
      </w:r>
    </w:p>
    <w:p>
      <w:pPr>
        <w:pStyle w:val="Heading2"/>
        <w:keepNext/>
      </w:pPr>
      <w:r>
        <w:rPr>
          <w:rFonts w:ascii="Aptos Display" w:hAnsi="Aptos Display"/>
          <w:b/>
          <w:color w:val="245D8C"/>
          <w:sz w:val="26"/>
        </w:rPr>
        <w:t>12.2 Obsolete information</w:t>
      </w:r>
    </w:p>
    <w:p>
      <w:pPr>
        <w:keepNext w:val="0"/>
        <w:spacing w:after="80" w:line="259" w:lineRule="auto"/>
      </w:pPr>
      <w:r>
        <w:rPr>
          <w:rFonts w:ascii="Aptos" w:hAnsi="Aptos"/>
        </w:rPr>
        <w:t>Rules concerning the age of information must use approved mappings for the relevant event date, information type, exceptions, and report date. FCRA restrictions on information contained in consumer reports appear in 15 U.S.C. § 1681c. [5] The application must not use a generic “seven years from today” calculation across all categories.</w:t>
      </w:r>
    </w:p>
    <w:p>
      <w:pPr>
        <w:pStyle w:val="Heading2"/>
        <w:keepNext/>
      </w:pPr>
      <w:r>
        <w:rPr>
          <w:rFonts w:ascii="Aptos Display" w:hAnsi="Aptos Display"/>
          <w:b/>
          <w:color w:val="245D8C"/>
          <w:sz w:val="26"/>
        </w:rPr>
        <w:t>12.3 Credit Repair Organizations Act</w:t>
      </w:r>
    </w:p>
    <w:p>
      <w:pPr>
        <w:keepNext w:val="0"/>
        <w:spacing w:after="80" w:line="259" w:lineRule="auto"/>
      </w:pPr>
      <w:r>
        <w:rPr>
          <w:rFonts w:ascii="Aptos" w:hAnsi="Aptos"/>
        </w:rPr>
        <w:t>CROA prohibits untrue or misleading representations, requires specified disclosures and written contracts, restricts advance payment, and provides cancellation rights for covered credit-repair services. [7] Product counsel must analyze whether the company’s representations and paid services place it within CROA and must approve pricing, onboarding, contracts, payment timing, advertising, testimonials, and cancellation flows before sale.</w:t>
      </w:r>
    </w:p>
    <w:p>
      <w:pPr>
        <w:pStyle w:val="Heading2"/>
        <w:keepNext/>
      </w:pPr>
      <w:r>
        <w:rPr>
          <w:rFonts w:ascii="Aptos Display" w:hAnsi="Aptos Display"/>
          <w:b/>
          <w:color w:val="245D8C"/>
          <w:sz w:val="26"/>
        </w:rPr>
        <w:t>12.4 State credit-services laws</w:t>
      </w:r>
    </w:p>
    <w:p>
      <w:pPr>
        <w:pStyle w:val="ListBullet"/>
        <w:spacing w:after="40" w:line="250" w:lineRule="auto"/>
        <w:ind w:left="0"/>
      </w:pPr>
      <w:r>
        <w:rPr>
          <w:rFonts w:ascii="Aptos" w:hAnsi="Aptos"/>
        </w:rPr>
        <w:t>Maintain one independently reviewed module per launch state covering definitions, exemptions, registration/licensing, bonds, disclosures, contract form, cancellation, fee timing, advertising, recordkeeping, and regulator information.</w:t>
      </w:r>
    </w:p>
    <w:p>
      <w:pPr>
        <w:pStyle w:val="ListBullet"/>
        <w:spacing w:after="40" w:line="250" w:lineRule="auto"/>
        <w:ind w:left="0"/>
      </w:pPr>
      <w:r>
        <w:rPr>
          <w:rFonts w:ascii="Aptos" w:hAnsi="Aptos"/>
        </w:rPr>
        <w:t>Jurisdiction content requires effective dates and applicability rules. A nationwide disclaimer does not replace state-specific compliance.</w:t>
      </w:r>
    </w:p>
    <w:p>
      <w:pPr>
        <w:pStyle w:val="ListBullet"/>
        <w:spacing w:after="40" w:line="250" w:lineRule="auto"/>
        <w:ind w:left="0"/>
      </w:pPr>
      <w:r>
        <w:rPr>
          <w:rFonts w:ascii="Aptos" w:hAnsi="Aptos"/>
        </w:rPr>
        <w:t>Do not accept paid users in an unapproved state; geolocation is supportive only, while the user’s confirmed residence and service facts control the product workflow.</w:t>
      </w:r>
    </w:p>
    <w:p>
      <w:pPr>
        <w:pStyle w:val="ListBullet"/>
        <w:spacing w:after="40" w:line="250" w:lineRule="auto"/>
        <w:ind w:left="0"/>
      </w:pPr>
      <w:r>
        <w:rPr>
          <w:rFonts w:ascii="Aptos" w:hAnsi="Aptos"/>
        </w:rPr>
        <w:t>Any “CSDA” requirement must be clarified by counsel rather than mapped to an assumed statute or organization.</w:t>
      </w:r>
    </w:p>
    <w:p>
      <w:pPr>
        <w:pStyle w:val="Heading2"/>
        <w:keepNext/>
      </w:pPr>
      <w:r>
        <w:rPr>
          <w:rFonts w:ascii="Aptos Display" w:hAnsi="Aptos Display"/>
          <w:b/>
          <w:color w:val="245D8C"/>
          <w:sz w:val="26"/>
        </w:rPr>
        <w:t>12.5 Unauthorized practice of law</w:t>
      </w:r>
    </w:p>
    <w:p>
      <w:pPr>
        <w:pStyle w:val="ListBullet"/>
        <w:spacing w:after="40" w:line="250" w:lineRule="auto"/>
        <w:ind w:left="0"/>
      </w:pPr>
      <w:r>
        <w:rPr>
          <w:rFonts w:ascii="Aptos" w:hAnsi="Aptos"/>
        </w:rPr>
        <w:t>The platform provides education and document-supported observations, not individualized legal representation or legal strategy.</w:t>
      </w:r>
    </w:p>
    <w:p>
      <w:pPr>
        <w:pStyle w:val="ListBullet"/>
        <w:spacing w:after="40" w:line="250" w:lineRule="auto"/>
        <w:ind w:left="0"/>
      </w:pPr>
      <w:r>
        <w:rPr>
          <w:rFonts w:ascii="Aptos" w:hAnsi="Aptos"/>
        </w:rPr>
        <w:t>No automated damages estimates, lawsuit recommendations, claim valuation, venue selection, or statute-of-limitations advice.</w:t>
      </w:r>
    </w:p>
    <w:p>
      <w:pPr>
        <w:pStyle w:val="ListBullet"/>
        <w:spacing w:after="40" w:line="250" w:lineRule="auto"/>
        <w:ind w:left="0"/>
      </w:pPr>
      <w:r>
        <w:rPr>
          <w:rFonts w:ascii="Aptos" w:hAnsi="Aptos"/>
        </w:rPr>
        <w:t>High-risk situations route to a clearly described attorney or nonprofit-counseling referral path without implying endorsement or guaranteed outcome.</w:t>
      </w:r>
    </w:p>
    <w:p>
      <w:pPr>
        <w:pStyle w:val="ListBullet"/>
        <w:spacing w:after="40" w:line="250" w:lineRule="auto"/>
        <w:ind w:left="0"/>
      </w:pPr>
      <w:r>
        <w:rPr>
          <w:rFonts w:ascii="Aptos" w:hAnsi="Aptos"/>
        </w:rPr>
        <w:t>Marketing and interface language must avoid “we will enforce your rights,” “legal audit,” or equivalent claims unless counsel approves the service model.</w:t>
      </w:r>
    </w:p>
    <w:p>
      <w:pPr>
        <w:pStyle w:val="Heading2"/>
        <w:keepNext/>
      </w:pPr>
      <w:r>
        <w:rPr>
          <w:rFonts w:ascii="Aptos Display" w:hAnsi="Aptos Display"/>
          <w:b/>
          <w:color w:val="245D8C"/>
          <w:sz w:val="26"/>
        </w:rPr>
        <w:t>12.6 Consumer reporting agency risk</w:t>
      </w:r>
    </w:p>
    <w:p>
      <w:pPr>
        <w:keepNext w:val="0"/>
        <w:spacing w:after="80" w:line="259" w:lineRule="auto"/>
      </w:pPr>
      <w:r>
        <w:rPr>
          <w:rFonts w:ascii="Aptos" w:hAnsi="Aptos"/>
        </w:rPr>
        <w:t>Counsel must evaluate whether any product mode could cause the company to be treated as a consumer reporting agency, reseller, furnisher, or other regulated participant. The MVP must not furnish evaluations to third parties for credit, employment, housing, insurance, or other eligibility decisions; sell consumer profiles; or make third-party creditworthiness recommendations.</w:t>
      </w:r>
    </w:p>
    <w:p>
      <w:pPr>
        <w:pStyle w:val="Heading2"/>
        <w:keepNext/>
      </w:pPr>
      <w:r>
        <w:rPr>
          <w:rFonts w:ascii="Aptos Display" w:hAnsi="Aptos Display"/>
          <w:b/>
          <w:color w:val="245D8C"/>
          <w:sz w:val="26"/>
        </w:rPr>
        <w:t>12.7 Debt collection, bankruptcy, identity theft, and other domains</w:t>
      </w:r>
    </w:p>
    <w:p>
      <w:pPr>
        <w:pStyle w:val="ListBullet"/>
        <w:spacing w:after="40" w:line="250" w:lineRule="auto"/>
        <w:ind w:left="0"/>
      </w:pPr>
      <w:r>
        <w:rPr>
          <w:rFonts w:ascii="Aptos" w:hAnsi="Aptos"/>
        </w:rPr>
        <w:t>FDCPA or state debt-collection analysis is enabled only when the relevant actor, communication, dates, and debt context are provided; a credit report alone is generally insufficient.</w:t>
      </w:r>
    </w:p>
    <w:p>
      <w:pPr>
        <w:pStyle w:val="ListBullet"/>
        <w:spacing w:after="40" w:line="250" w:lineRule="auto"/>
        <w:ind w:left="0"/>
      </w:pPr>
      <w:r>
        <w:rPr>
          <w:rFonts w:ascii="Aptos" w:hAnsi="Aptos"/>
        </w:rPr>
        <w:t>Bankruptcy-related reporting is framed as verification and education and may require schedules, discharge orders, creditor records, and qualified review.</w:t>
      </w:r>
    </w:p>
    <w:p>
      <w:pPr>
        <w:pStyle w:val="ListBullet"/>
        <w:spacing w:after="40" w:line="250" w:lineRule="auto"/>
        <w:ind w:left="0"/>
      </w:pPr>
      <w:r>
        <w:rPr>
          <w:rFonts w:ascii="Aptos" w:hAnsi="Aptos"/>
        </w:rPr>
        <w:t>Identity-theft pathways use official recovery resources and do not label theft solely from an unfamiliar item.</w:t>
      </w:r>
    </w:p>
    <w:p>
      <w:pPr>
        <w:pStyle w:val="ListBullet"/>
        <w:spacing w:after="40" w:line="250" w:lineRule="auto"/>
        <w:ind w:left="0"/>
      </w:pPr>
      <w:r>
        <w:rPr>
          <w:rFonts w:ascii="Aptos" w:hAnsi="Aptos"/>
        </w:rPr>
        <w:t>ECOA, FCBA, servicemember, medical-debt, and disaster-relief content is modular and activated only when facts and approved authorities apply.</w:t>
      </w:r>
    </w:p>
    <w:p>
      <w:pPr>
        <w:pStyle w:val="Heading2"/>
        <w:keepNext/>
      </w:pPr>
      <w:r>
        <w:rPr>
          <w:rFonts w:ascii="Aptos Display" w:hAnsi="Aptos Display"/>
          <w:b/>
          <w:color w:val="245D8C"/>
          <w:sz w:val="26"/>
        </w:rPr>
        <w:t>12.8 Marketing and business conduct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17324D"/>
            <w:tcMar>
              <w:top w:w="80" w:type="dxa"/>
              <w:start w:w="90" w:type="dxa"/>
              <w:bottom w:w="80" w:type="dxa"/>
              <w:end w:w="90" w:type="dxa"/>
            </w:tcMar>
            <w:vAlign w:val="center"/>
          </w:tcPr>
          <w:p>
            <w:pPr>
              <w:spacing w:after="0"/>
            </w:pPr>
            <w:r>
              <w:rPr>
                <w:rFonts w:ascii="Aptos" w:hAnsi="Aptos"/>
                <w:b/>
                <w:color w:val="FFFFFF"/>
                <w:sz w:val="16"/>
              </w:rPr>
              <w:t>Prohibited representation</w:t>
            </w:r>
          </w:p>
        </w:tc>
        <w:tc>
          <w:tcPr>
            <w:tcW w:type="dxa" w:w="5400"/>
            <w:shd w:fill="17324D"/>
            <w:tcMar>
              <w:top w:w="80" w:type="dxa"/>
              <w:start w:w="90" w:type="dxa"/>
              <w:bottom w:w="80" w:type="dxa"/>
              <w:end w:w="90" w:type="dxa"/>
            </w:tcMar>
            <w:vAlign w:val="center"/>
          </w:tcPr>
          <w:p>
            <w:pPr>
              <w:spacing w:after="0"/>
            </w:pPr>
            <w:r>
              <w:rPr>
                <w:rFonts w:ascii="Aptos" w:hAnsi="Aptos"/>
                <w:b/>
                <w:color w:val="FFFFFF"/>
                <w:sz w:val="16"/>
              </w:rPr>
              <w:t>Approved alternative</w:t>
            </w:r>
          </w:p>
        </w:tc>
      </w:tr>
      <w:tr>
        <w:trPr>
          <w:cantSplit/>
        </w:trPr>
        <w:tc>
          <w:tcPr>
            <w:tcW w:type="dxa" w:w="5040"/>
            <w:tcMar>
              <w:top w:w="70" w:type="dxa"/>
              <w:start w:w="90" w:type="dxa"/>
              <w:bottom w:w="70" w:type="dxa"/>
              <w:end w:w="90" w:type="dxa"/>
            </w:tcMar>
          </w:tcPr>
          <w:p>
            <w:pPr>
              <w:spacing w:after="0" w:line="240" w:lineRule="auto"/>
            </w:pPr>
            <w:r>
              <w:rPr>
                <w:rFonts w:ascii="Aptos" w:hAnsi="Aptos"/>
                <w:color w:val="1F2933"/>
                <w:sz w:val="16"/>
              </w:rPr>
              <w:t>“We remove any negative item.”</w:t>
            </w:r>
          </w:p>
        </w:tc>
        <w:tc>
          <w:tcPr>
            <w:tcW w:type="dxa" w:w="5400"/>
            <w:tcMar>
              <w:top w:w="70" w:type="dxa"/>
              <w:start w:w="90" w:type="dxa"/>
              <w:bottom w:w="70" w:type="dxa"/>
              <w:end w:w="90" w:type="dxa"/>
            </w:tcMar>
          </w:tcPr>
          <w:p>
            <w:pPr>
              <w:spacing w:after="0" w:line="240" w:lineRule="auto"/>
            </w:pPr>
            <w:r>
              <w:rPr>
                <w:rFonts w:ascii="Aptos" w:hAnsi="Aptos"/>
                <w:color w:val="1F2933"/>
                <w:sz w:val="16"/>
              </w:rPr>
              <w:t>“We help you identify information that may warrant verification and understand available steps.”</w:t>
            </w:r>
          </w:p>
        </w:tc>
      </w:tr>
      <w:tr>
        <w:trPr>
          <w:cantSplit/>
        </w:trPr>
        <w:tc>
          <w:tcPr>
            <w:tcW w:type="dxa" w:w="5040"/>
            <w:tcMar>
              <w:top w:w="70" w:type="dxa"/>
              <w:start w:w="90" w:type="dxa"/>
              <w:bottom w:w="70" w:type="dxa"/>
              <w:end w:w="90" w:type="dxa"/>
            </w:tcMar>
            <w:shd w:fill="F5F7FA"/>
          </w:tcPr>
          <w:p>
            <w:pPr>
              <w:spacing w:after="0" w:line="240" w:lineRule="auto"/>
            </w:pPr>
            <w:r>
              <w:rPr>
                <w:rFonts w:ascii="Aptos" w:hAnsi="Aptos"/>
                <w:color w:val="1F2933"/>
                <w:sz w:val="16"/>
              </w:rPr>
              <w:t>“Guaranteed 100-point increase.”</w:t>
            </w:r>
          </w:p>
        </w:tc>
        <w:tc>
          <w:tcPr>
            <w:tcW w:type="dxa" w:w="5400"/>
            <w:tcMar>
              <w:top w:w="70" w:type="dxa"/>
              <w:start w:w="90" w:type="dxa"/>
              <w:bottom w:w="70" w:type="dxa"/>
              <w:end w:w="90" w:type="dxa"/>
            </w:tcMar>
            <w:shd w:fill="F5F7FA"/>
          </w:tcPr>
          <w:p>
            <w:pPr>
              <w:spacing w:after="0" w:line="240" w:lineRule="auto"/>
            </w:pPr>
            <w:r>
              <w:rPr>
                <w:rFonts w:ascii="Aptos" w:hAnsi="Aptos"/>
                <w:color w:val="1F2933"/>
                <w:sz w:val="16"/>
              </w:rPr>
              <w:t>No score guarantee; explain that scoring models and outcomes vary.</w:t>
            </w:r>
          </w:p>
        </w:tc>
      </w:tr>
      <w:tr>
        <w:trPr>
          <w:cantSplit/>
        </w:trPr>
        <w:tc>
          <w:tcPr>
            <w:tcW w:type="dxa" w:w="5040"/>
            <w:tcMar>
              <w:top w:w="70" w:type="dxa"/>
              <w:start w:w="90" w:type="dxa"/>
              <w:bottom w:w="70" w:type="dxa"/>
              <w:end w:w="90" w:type="dxa"/>
            </w:tcMar>
          </w:tcPr>
          <w:p>
            <w:pPr>
              <w:spacing w:after="0" w:line="240" w:lineRule="auto"/>
            </w:pPr>
            <w:r>
              <w:rPr>
                <w:rFonts w:ascii="Aptos" w:hAnsi="Aptos"/>
                <w:color w:val="1F2933"/>
                <w:sz w:val="16"/>
              </w:rPr>
              <w:t>“Certified FCRA violations found.”</w:t>
            </w:r>
          </w:p>
        </w:tc>
        <w:tc>
          <w:tcPr>
            <w:tcW w:type="dxa" w:w="5400"/>
            <w:tcMar>
              <w:top w:w="70" w:type="dxa"/>
              <w:start w:w="90" w:type="dxa"/>
              <w:bottom w:w="70" w:type="dxa"/>
              <w:end w:w="90" w:type="dxa"/>
            </w:tcMar>
          </w:tcPr>
          <w:p>
            <w:pPr>
              <w:spacing w:after="0" w:line="240" w:lineRule="auto"/>
            </w:pPr>
            <w:r>
              <w:rPr>
                <w:rFonts w:ascii="Aptos" w:hAnsi="Aptos"/>
                <w:color w:val="1F2933"/>
                <w:sz w:val="16"/>
              </w:rPr>
              <w:t>“Potential reporting concerns based on displayed information; not a legal determination.”</w:t>
            </w:r>
          </w:p>
        </w:tc>
      </w:tr>
      <w:tr>
        <w:trPr>
          <w:cantSplit/>
        </w:trPr>
        <w:tc>
          <w:tcPr>
            <w:tcW w:type="dxa" w:w="5040"/>
            <w:tcMar>
              <w:top w:w="70" w:type="dxa"/>
              <w:start w:w="90" w:type="dxa"/>
              <w:bottom w:w="70" w:type="dxa"/>
              <w:end w:w="90" w:type="dxa"/>
            </w:tcMar>
            <w:shd w:fill="F5F7FA"/>
          </w:tcPr>
          <w:p>
            <w:pPr>
              <w:spacing w:after="0" w:line="240" w:lineRule="auto"/>
            </w:pPr>
            <w:r>
              <w:rPr>
                <w:rFonts w:ascii="Aptos" w:hAnsi="Aptos"/>
                <w:color w:val="1F2933"/>
                <w:sz w:val="16"/>
              </w:rPr>
              <w:t>“Metro 2 audit from your report.”</w:t>
            </w:r>
          </w:p>
        </w:tc>
        <w:tc>
          <w:tcPr>
            <w:tcW w:type="dxa" w:w="5400"/>
            <w:tcMar>
              <w:top w:w="70" w:type="dxa"/>
              <w:start w:w="90" w:type="dxa"/>
              <w:bottom w:w="70" w:type="dxa"/>
              <w:end w:w="90" w:type="dxa"/>
            </w:tcMar>
            <w:shd w:fill="F5F7FA"/>
          </w:tcPr>
          <w:p>
            <w:pPr>
              <w:spacing w:after="0" w:line="240" w:lineRule="auto"/>
            </w:pPr>
            <w:r>
              <w:rPr>
                <w:rFonts w:ascii="Aptos" w:hAnsi="Aptos"/>
                <w:color w:val="1F2933"/>
                <w:sz w:val="16"/>
              </w:rPr>
              <w:t>“Displayed-data consistency review; complete Metro 2 furnishing data is generally not visible.”</w:t>
            </w:r>
          </w:p>
        </w:tc>
      </w:tr>
      <w:tr>
        <w:trPr>
          <w:cantSplit/>
        </w:trPr>
        <w:tc>
          <w:tcPr>
            <w:tcW w:type="dxa" w:w="5040"/>
            <w:tcMar>
              <w:top w:w="70" w:type="dxa"/>
              <w:start w:w="90" w:type="dxa"/>
              <w:bottom w:w="70" w:type="dxa"/>
              <w:end w:w="90" w:type="dxa"/>
            </w:tcMar>
          </w:tcPr>
          <w:p>
            <w:pPr>
              <w:spacing w:after="0" w:line="240" w:lineRule="auto"/>
            </w:pPr>
            <w:r>
              <w:rPr>
                <w:rFonts w:ascii="Aptos" w:hAnsi="Aptos"/>
                <w:color w:val="1F2933"/>
                <w:sz w:val="16"/>
              </w:rPr>
              <w:t>Artificial countdowns or urgent threats</w:t>
            </w:r>
          </w:p>
        </w:tc>
        <w:tc>
          <w:tcPr>
            <w:tcW w:type="dxa" w:w="5400"/>
            <w:tcMar>
              <w:top w:w="70" w:type="dxa"/>
              <w:start w:w="90" w:type="dxa"/>
              <w:bottom w:w="70" w:type="dxa"/>
              <w:end w:w="90" w:type="dxa"/>
            </w:tcMar>
          </w:tcPr>
          <w:p>
            <w:pPr>
              <w:spacing w:after="0" w:line="240" w:lineRule="auto"/>
            </w:pPr>
            <w:r>
              <w:rPr>
                <w:rFonts w:ascii="Aptos" w:hAnsi="Aptos"/>
                <w:color w:val="1F2933"/>
                <w:sz w:val="16"/>
              </w:rPr>
              <w:t>Accurate timelines, exceptions, and user-controlled pacing.</w:t>
            </w:r>
          </w:p>
        </w:tc>
      </w:tr>
      <w:tr>
        <w:trPr>
          <w:cantSplit/>
        </w:trPr>
        <w:tc>
          <w:tcPr>
            <w:tcW w:type="dxa" w:w="5040"/>
            <w:tcMar>
              <w:top w:w="70" w:type="dxa"/>
              <w:start w:w="90" w:type="dxa"/>
              <w:bottom w:w="70" w:type="dxa"/>
              <w:end w:w="90" w:type="dxa"/>
            </w:tcMar>
            <w:shd w:fill="F5F7FA"/>
          </w:tcPr>
          <w:p>
            <w:pPr>
              <w:spacing w:after="0" w:line="240" w:lineRule="auto"/>
            </w:pPr>
            <w:r>
              <w:rPr>
                <w:rFonts w:ascii="Aptos" w:hAnsi="Aptos"/>
                <w:color w:val="1F2933"/>
                <w:sz w:val="16"/>
              </w:rPr>
              <w:t>Mass dispute every account</w:t>
            </w:r>
          </w:p>
        </w:tc>
        <w:tc>
          <w:tcPr>
            <w:tcW w:type="dxa" w:w="5400"/>
            <w:tcMar>
              <w:top w:w="70" w:type="dxa"/>
              <w:start w:w="90" w:type="dxa"/>
              <w:bottom w:w="70" w:type="dxa"/>
              <w:end w:w="90" w:type="dxa"/>
            </w:tcMar>
            <w:shd w:fill="F5F7FA"/>
          </w:tcPr>
          <w:p>
            <w:pPr>
              <w:spacing w:after="0" w:line="240" w:lineRule="auto"/>
            </w:pPr>
            <w:r>
              <w:rPr>
                <w:rFonts w:ascii="Aptos" w:hAnsi="Aptos"/>
                <w:color w:val="1F2933"/>
                <w:sz w:val="16"/>
              </w:rPr>
              <w:t>Specific evidence-based review of information the user believes is inaccurate or incomplete.</w:t>
            </w:r>
          </w:p>
        </w:tc>
      </w:tr>
    </w:tbl>
    <w:p>
      <w:pPr>
        <w:spacing w:after="20"/>
      </w:pPr>
    </w:p>
    <w:p>
      <w:pPr>
        <w:pStyle w:val="Heading1"/>
        <w:pageBreakBefore/>
      </w:pPr>
      <w:r>
        <w:rPr>
          <w:rFonts w:ascii="Aptos Display" w:hAnsi="Aptos Display"/>
          <w:b/>
          <w:color w:val="17324D"/>
          <w:sz w:val="36"/>
        </w:rPr>
        <w:t>13. Privacy, Security, and Data Governance</w:t>
      </w:r>
    </w:p>
    <w:p>
      <w:pPr>
        <w:pStyle w:val="Heading2"/>
        <w:keepNext/>
      </w:pPr>
      <w:r>
        <w:rPr>
          <w:rFonts w:ascii="Aptos Display" w:hAnsi="Aptos Display"/>
          <w:b/>
          <w:color w:val="245D8C"/>
          <w:sz w:val="26"/>
        </w:rPr>
        <w:t>13.1 Data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24D"/>
            <w:tcMar>
              <w:top w:w="80" w:type="dxa"/>
              <w:start w:w="90" w:type="dxa"/>
              <w:bottom w:w="80" w:type="dxa"/>
              <w:end w:w="90" w:type="dxa"/>
            </w:tcMar>
            <w:vAlign w:val="center"/>
          </w:tcPr>
          <w:p>
            <w:pPr>
              <w:spacing w:after="0"/>
            </w:pPr>
            <w:r>
              <w:rPr>
                <w:rFonts w:ascii="Aptos" w:hAnsi="Aptos"/>
                <w:b/>
                <w:color w:val="FFFFFF"/>
                <w:sz w:val="16"/>
              </w:rPr>
              <w:t>Class</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6"/>
              </w:rPr>
              <w:t>Examples</w:t>
            </w:r>
          </w:p>
        </w:tc>
        <w:tc>
          <w:tcPr>
            <w:tcW w:type="dxa" w:w="4392"/>
            <w:shd w:fill="17324D"/>
            <w:tcMar>
              <w:top w:w="80" w:type="dxa"/>
              <w:start w:w="90" w:type="dxa"/>
              <w:bottom w:w="80" w:type="dxa"/>
              <w:end w:w="90" w:type="dxa"/>
            </w:tcMar>
            <w:vAlign w:val="center"/>
          </w:tcPr>
          <w:p>
            <w:pPr>
              <w:spacing w:after="0"/>
            </w:pPr>
            <w:r>
              <w:rPr>
                <w:rFonts w:ascii="Aptos" w:hAnsi="Aptos"/>
                <w:b/>
                <w:color w:val="FFFFFF"/>
                <w:sz w:val="16"/>
              </w:rPr>
              <w:t>Default handling</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Restricted consumer data</w:t>
            </w:r>
          </w:p>
        </w:tc>
        <w:tc>
          <w:tcPr>
            <w:tcW w:type="dxa" w:w="3816"/>
            <w:tcMar>
              <w:top w:w="70" w:type="dxa"/>
              <w:start w:w="90" w:type="dxa"/>
              <w:bottom w:w="70" w:type="dxa"/>
              <w:end w:w="90" w:type="dxa"/>
            </w:tcMar>
          </w:tcPr>
          <w:p>
            <w:pPr>
              <w:spacing w:after="0" w:line="240" w:lineRule="auto"/>
            </w:pPr>
            <w:r>
              <w:rPr>
                <w:rFonts w:ascii="Aptos" w:hAnsi="Aptos"/>
                <w:color w:val="1F2933"/>
                <w:sz w:val="16"/>
              </w:rPr>
              <w:t>Credit reports, account history, DOB/SSN fragments, addresses, dispute records</w:t>
            </w:r>
          </w:p>
        </w:tc>
        <w:tc>
          <w:tcPr>
            <w:tcW w:type="dxa" w:w="4392"/>
            <w:tcMar>
              <w:top w:w="70" w:type="dxa"/>
              <w:start w:w="90" w:type="dxa"/>
              <w:bottom w:w="70" w:type="dxa"/>
              <w:end w:w="90" w:type="dxa"/>
            </w:tcMar>
          </w:tcPr>
          <w:p>
            <w:pPr>
              <w:spacing w:after="0" w:line="240" w:lineRule="auto"/>
            </w:pPr>
            <w:r>
              <w:rPr>
                <w:rFonts w:ascii="Aptos" w:hAnsi="Aptos"/>
                <w:color w:val="1F2933"/>
                <w:sz w:val="16"/>
              </w:rPr>
              <w:t>Encrypted, tenant-isolated, short retention, no analytics, tightly logged access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Confidential business data</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Rules, legal summaries, review notes, prompts, evaluation sets</w:t>
            </w:r>
          </w:p>
        </w:tc>
        <w:tc>
          <w:tcPr>
            <w:tcW w:type="dxa" w:w="4392"/>
            <w:tcMar>
              <w:top w:w="70" w:type="dxa"/>
              <w:start w:w="90" w:type="dxa"/>
              <w:bottom w:w="70" w:type="dxa"/>
              <w:end w:w="90" w:type="dxa"/>
            </w:tcMar>
            <w:shd w:fill="F5F7FA"/>
          </w:tcPr>
          <w:p>
            <w:pPr>
              <w:spacing w:after="0" w:line="240" w:lineRule="auto"/>
            </w:pPr>
            <w:r>
              <w:rPr>
                <w:rFonts w:ascii="Aptos" w:hAnsi="Aptos"/>
                <w:color w:val="1F2933"/>
                <w:sz w:val="16"/>
              </w:rPr>
              <w:t>Role-limited, versioned, encrypted, no consumer access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Operational metadata</w:t>
            </w:r>
          </w:p>
        </w:tc>
        <w:tc>
          <w:tcPr>
            <w:tcW w:type="dxa" w:w="3816"/>
            <w:tcMar>
              <w:top w:w="70" w:type="dxa"/>
              <w:start w:w="90" w:type="dxa"/>
              <w:bottom w:w="70" w:type="dxa"/>
              <w:end w:w="90" w:type="dxa"/>
            </w:tcMar>
          </w:tcPr>
          <w:p>
            <w:pPr>
              <w:spacing w:after="0" w:line="240" w:lineRule="auto"/>
            </w:pPr>
            <w:r>
              <w:rPr>
                <w:rFonts w:ascii="Aptos" w:hAnsi="Aptos"/>
                <w:color w:val="1F2933"/>
                <w:sz w:val="16"/>
              </w:rPr>
              <w:t>Job IDs, stage timings, redacted errors, service health</w:t>
            </w:r>
          </w:p>
        </w:tc>
        <w:tc>
          <w:tcPr>
            <w:tcW w:type="dxa" w:w="4392"/>
            <w:tcMar>
              <w:top w:w="70" w:type="dxa"/>
              <w:start w:w="90" w:type="dxa"/>
              <w:bottom w:w="70" w:type="dxa"/>
              <w:end w:w="90" w:type="dxa"/>
            </w:tcMar>
          </w:tcPr>
          <w:p>
            <w:pPr>
              <w:spacing w:after="0" w:line="240" w:lineRule="auto"/>
            </w:pPr>
            <w:r>
              <w:rPr>
                <w:rFonts w:ascii="Aptos" w:hAnsi="Aptos"/>
                <w:color w:val="1F2933"/>
                <w:sz w:val="16"/>
              </w:rPr>
              <w:t>No raw report text or full identifiers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Public content</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Approved general education and public legal citations</w:t>
            </w:r>
          </w:p>
        </w:tc>
        <w:tc>
          <w:tcPr>
            <w:tcW w:type="dxa" w:w="4392"/>
            <w:tcMar>
              <w:top w:w="70" w:type="dxa"/>
              <w:start w:w="90" w:type="dxa"/>
              <w:bottom w:w="70" w:type="dxa"/>
              <w:end w:w="90" w:type="dxa"/>
            </w:tcMar>
            <w:shd w:fill="F5F7FA"/>
          </w:tcPr>
          <w:p>
            <w:pPr>
              <w:spacing w:after="0" w:line="240" w:lineRule="auto"/>
            </w:pPr>
            <w:r>
              <w:rPr>
                <w:rFonts w:ascii="Aptos" w:hAnsi="Aptos"/>
                <w:color w:val="1F2933"/>
                <w:sz w:val="16"/>
              </w:rPr>
              <w:t>Published after review and versioned</w:t>
            </w:r>
          </w:p>
        </w:tc>
      </w:tr>
    </w:tbl>
    <w:p>
      <w:pPr>
        <w:spacing w:after="20"/>
      </w:pPr>
    </w:p>
    <w:p>
      <w:pPr>
        <w:pStyle w:val="Heading2"/>
        <w:keepNext/>
      </w:pPr>
      <w:r>
        <w:rPr>
          <w:rFonts w:ascii="Aptos Display" w:hAnsi="Aptos Display"/>
          <w:b/>
          <w:color w:val="245D8C"/>
          <w:sz w:val="26"/>
        </w:rPr>
        <w:t>13.2 Data minimization and retention</w:t>
      </w:r>
    </w:p>
    <w:p>
      <w:pPr>
        <w:keepNext w:val="0"/>
        <w:spacing w:after="80" w:line="259" w:lineRule="auto"/>
      </w:pPr>
      <w:r>
        <w:rPr>
          <w:rFonts w:ascii="Aptos" w:hAnsi="Aptos"/>
        </w:rPr>
        <w:t>FTC guidance emphasizes inventorying personal information, collecting and retaining only what is needed, protecting it, disposing of it securely, and planning for incidents. [9] The application shall use purpose-specific retention classes rather than indefinite storage.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24D"/>
            <w:tcMar>
              <w:top w:w="80" w:type="dxa"/>
              <w:start w:w="90" w:type="dxa"/>
              <w:bottom w:w="80" w:type="dxa"/>
              <w:end w:w="90" w:type="dxa"/>
            </w:tcMar>
            <w:vAlign w:val="center"/>
          </w:tcPr>
          <w:p>
            <w:pPr>
              <w:spacing w:after="0"/>
            </w:pPr>
            <w:r>
              <w:rPr>
                <w:rFonts w:ascii="Aptos" w:hAnsi="Aptos"/>
                <w:b/>
                <w:color w:val="FFFFFF"/>
                <w:sz w:val="16"/>
              </w:rPr>
              <w:t>Data</w:t>
            </w:r>
          </w:p>
        </w:tc>
        <w:tc>
          <w:tcPr>
            <w:tcW w:type="dxa" w:w="3240"/>
            <w:shd w:fill="17324D"/>
            <w:tcMar>
              <w:top w:w="80" w:type="dxa"/>
              <w:start w:w="90" w:type="dxa"/>
              <w:bottom w:w="80" w:type="dxa"/>
              <w:end w:w="90" w:type="dxa"/>
            </w:tcMar>
            <w:vAlign w:val="center"/>
          </w:tcPr>
          <w:p>
            <w:pPr>
              <w:spacing w:after="0"/>
            </w:pPr>
            <w:r>
              <w:rPr>
                <w:rFonts w:ascii="Aptos" w:hAnsi="Aptos"/>
                <w:b/>
                <w:color w:val="FFFFFF"/>
                <w:sz w:val="16"/>
              </w:rPr>
              <w:t>MVP default</w:t>
            </w:r>
          </w:p>
        </w:tc>
        <w:tc>
          <w:tcPr>
            <w:tcW w:type="dxa" w:w="4968"/>
            <w:shd w:fill="17324D"/>
            <w:tcMar>
              <w:top w:w="80" w:type="dxa"/>
              <w:start w:w="90" w:type="dxa"/>
              <w:bottom w:w="80" w:type="dxa"/>
              <w:end w:w="90" w:type="dxa"/>
            </w:tcMar>
            <w:vAlign w:val="center"/>
          </w:tcPr>
          <w:p>
            <w:pPr>
              <w:spacing w:after="0"/>
            </w:pPr>
            <w:r>
              <w:rPr>
                <w:rFonts w:ascii="Aptos" w:hAnsi="Aptos"/>
                <w:b/>
                <w:color w:val="FFFFFF"/>
                <w:sz w:val="16"/>
              </w:rPr>
              <w:t>User control / exception</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Original uploaded report</w:t>
            </w:r>
          </w:p>
        </w:tc>
        <w:tc>
          <w:tcPr>
            <w:tcW w:type="dxa" w:w="3240"/>
            <w:tcMar>
              <w:top w:w="70" w:type="dxa"/>
              <w:start w:w="90" w:type="dxa"/>
              <w:bottom w:w="70" w:type="dxa"/>
              <w:end w:w="90" w:type="dxa"/>
            </w:tcMar>
          </w:tcPr>
          <w:p>
            <w:pPr>
              <w:spacing w:after="0" w:line="240" w:lineRule="auto"/>
            </w:pPr>
            <w:r>
              <w:rPr>
                <w:rFonts w:ascii="Aptos" w:hAnsi="Aptos"/>
                <w:color w:val="1F2933"/>
                <w:sz w:val="16"/>
              </w:rPr>
              <w:t>30 days after completed analysis</w:t>
            </w:r>
          </w:p>
        </w:tc>
        <w:tc>
          <w:tcPr>
            <w:tcW w:type="dxa" w:w="4968"/>
            <w:tcMar>
              <w:top w:w="70" w:type="dxa"/>
              <w:start w:w="90" w:type="dxa"/>
              <w:bottom w:w="70" w:type="dxa"/>
              <w:end w:w="90" w:type="dxa"/>
            </w:tcMar>
          </w:tcPr>
          <w:p>
            <w:pPr>
              <w:spacing w:after="0" w:line="240" w:lineRule="auto"/>
            </w:pPr>
            <w:r>
              <w:rPr>
                <w:rFonts w:ascii="Aptos" w:hAnsi="Aptos"/>
                <w:color w:val="1F2933"/>
                <w:sz w:val="16"/>
              </w:rPr>
              <w:t>User can delete immediately; longer only with explicit opt-in and lawful need</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Page images / OCR artifacts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6"/>
              </w:rPr>
              <w:t>Delete with original or earlier</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6"/>
              </w:rPr>
              <w:t>Regenerate only while original remains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Normalized report data</w:t>
            </w:r>
          </w:p>
        </w:tc>
        <w:tc>
          <w:tcPr>
            <w:tcW w:type="dxa" w:w="3240"/>
            <w:tcMar>
              <w:top w:w="70" w:type="dxa"/>
              <w:start w:w="90" w:type="dxa"/>
              <w:bottom w:w="70" w:type="dxa"/>
              <w:end w:w="90" w:type="dxa"/>
            </w:tcMar>
          </w:tcPr>
          <w:p>
            <w:pPr>
              <w:spacing w:after="0" w:line="240" w:lineRule="auto"/>
            </w:pPr>
            <w:r>
              <w:rPr>
                <w:rFonts w:ascii="Aptos" w:hAnsi="Aptos"/>
                <w:color w:val="1F2933"/>
                <w:sz w:val="16"/>
              </w:rPr>
              <w:t>90 days after completed analysis</w:t>
            </w:r>
          </w:p>
        </w:tc>
        <w:tc>
          <w:tcPr>
            <w:tcW w:type="dxa" w:w="4968"/>
            <w:tcMar>
              <w:top w:w="70" w:type="dxa"/>
              <w:start w:w="90" w:type="dxa"/>
              <w:bottom w:w="70" w:type="dxa"/>
              <w:end w:w="90" w:type="dxa"/>
            </w:tcMar>
          </w:tcPr>
          <w:p>
            <w:pPr>
              <w:spacing w:after="0" w:line="240" w:lineRule="auto"/>
            </w:pPr>
            <w:r>
              <w:rPr>
                <w:rFonts w:ascii="Aptos" w:hAnsi="Aptos"/>
                <w:color w:val="1F2933"/>
                <w:sz w:val="16"/>
              </w:rPr>
              <w:t>User can delete immediately; configurable after legal review</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Analysis and export</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6"/>
              </w:rPr>
              <w:t>90 days</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6"/>
              </w:rPr>
              <w:t>User can retain or delete; export is local to user</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Redacted audit/security events</w:t>
            </w:r>
          </w:p>
        </w:tc>
        <w:tc>
          <w:tcPr>
            <w:tcW w:type="dxa" w:w="3240"/>
            <w:tcMar>
              <w:top w:w="70" w:type="dxa"/>
              <w:start w:w="90" w:type="dxa"/>
              <w:bottom w:w="70" w:type="dxa"/>
              <w:end w:w="90" w:type="dxa"/>
            </w:tcMar>
          </w:tcPr>
          <w:p>
            <w:pPr>
              <w:spacing w:after="0" w:line="240" w:lineRule="auto"/>
            </w:pPr>
            <w:r>
              <w:rPr>
                <w:rFonts w:ascii="Aptos" w:hAnsi="Aptos"/>
                <w:color w:val="1F2933"/>
                <w:sz w:val="16"/>
              </w:rPr>
              <w:t>Minimum period set by security/legal policy</w:t>
            </w:r>
          </w:p>
        </w:tc>
        <w:tc>
          <w:tcPr>
            <w:tcW w:type="dxa" w:w="4968"/>
            <w:tcMar>
              <w:top w:w="70" w:type="dxa"/>
              <w:start w:w="90" w:type="dxa"/>
              <w:bottom w:w="70" w:type="dxa"/>
              <w:end w:w="90" w:type="dxa"/>
            </w:tcMar>
          </w:tcPr>
          <w:p>
            <w:pPr>
              <w:spacing w:after="0" w:line="240" w:lineRule="auto"/>
            </w:pPr>
            <w:r>
              <w:rPr>
                <w:rFonts w:ascii="Aptos" w:hAnsi="Aptos"/>
                <w:color w:val="1F2933"/>
                <w:sz w:val="16"/>
              </w:rPr>
              <w:t>Do not include raw report text; deletion may preserve legally required security evidence</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Backups</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6"/>
              </w:rPr>
              <w:t>Time-limited rolling retention</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6"/>
              </w:rPr>
              <w:t>Deletion propagates through backup expiry and cryptographic erasure design</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Model-provider data</w:t>
            </w:r>
          </w:p>
        </w:tc>
        <w:tc>
          <w:tcPr>
            <w:tcW w:type="dxa" w:w="3240"/>
            <w:tcMar>
              <w:top w:w="70" w:type="dxa"/>
              <w:start w:w="90" w:type="dxa"/>
              <w:bottom w:w="70" w:type="dxa"/>
              <w:end w:w="90" w:type="dxa"/>
            </w:tcMar>
          </w:tcPr>
          <w:p>
            <w:pPr>
              <w:spacing w:after="0" w:line="240" w:lineRule="auto"/>
            </w:pPr>
            <w:r>
              <w:rPr>
                <w:rFonts w:ascii="Aptos" w:hAnsi="Aptos"/>
                <w:color w:val="1F2933"/>
                <w:sz w:val="16"/>
              </w:rPr>
              <w:t>Zero retention where supported</w:t>
            </w:r>
          </w:p>
        </w:tc>
        <w:tc>
          <w:tcPr>
            <w:tcW w:type="dxa" w:w="4968"/>
            <w:tcMar>
              <w:top w:w="70" w:type="dxa"/>
              <w:start w:w="90" w:type="dxa"/>
              <w:bottom w:w="70" w:type="dxa"/>
              <w:end w:w="90" w:type="dxa"/>
            </w:tcMar>
          </w:tcPr>
          <w:p>
            <w:pPr>
              <w:spacing w:after="0" w:line="240" w:lineRule="auto"/>
            </w:pPr>
            <w:r>
              <w:rPr>
                <w:rFonts w:ascii="Aptos" w:hAnsi="Aptos"/>
                <w:color w:val="1F2933"/>
                <w:sz w:val="16"/>
              </w:rPr>
              <w:t>Contractual setting verified; no training permission</w:t>
            </w:r>
          </w:p>
        </w:tc>
      </w:tr>
    </w:tbl>
    <w:p>
      <w:pPr>
        <w:spacing w:after="20"/>
      </w:pPr>
    </w:p>
    <w:p>
      <w:pPr>
        <w:pStyle w:val="SmallNote"/>
        <w:keepNext w:val="0"/>
        <w:spacing w:after="80" w:line="259" w:lineRule="auto"/>
      </w:pPr>
      <w:r>
        <w:rPr>
          <w:rFonts w:ascii="Aptos" w:hAnsi="Aptos"/>
        </w:rPr>
        <w:t>These periods are product assumptions for planning, not final legal commitments. Privacy counsel and vendor capabilities must approve them before launch.</w:t>
      </w:r>
    </w:p>
    <w:p>
      <w:pPr>
        <w:pStyle w:val="Heading2"/>
        <w:keepNext/>
        <w:pageBreakBefore/>
      </w:pPr>
      <w:r>
        <w:rPr>
          <w:rFonts w:ascii="Aptos Display" w:hAnsi="Aptos Display"/>
          <w:b/>
          <w:color w:val="245D8C"/>
          <w:sz w:val="26"/>
        </w:rPr>
        <w:t>13.3 Technical security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224"/>
            <w:shd w:fill="17324D"/>
            <w:tcMar>
              <w:top w:w="80" w:type="dxa"/>
              <w:start w:w="90" w:type="dxa"/>
              <w:bottom w:w="80" w:type="dxa"/>
              <w:end w:w="90" w:type="dxa"/>
            </w:tcMar>
            <w:vAlign w:val="center"/>
          </w:tcPr>
          <w:p>
            <w:pPr>
              <w:spacing w:after="0"/>
            </w:pPr>
            <w:r>
              <w:rPr>
                <w:rFonts w:ascii="Aptos" w:hAnsi="Aptos"/>
                <w:b/>
                <w:color w:val="FFFFFF"/>
                <w:sz w:val="16"/>
              </w:rPr>
              <w:t>ID</w:t>
            </w:r>
          </w:p>
        </w:tc>
        <w:tc>
          <w:tcPr>
            <w:tcW w:type="dxa" w:w="9216"/>
            <w:shd w:fill="17324D"/>
            <w:tcMar>
              <w:top w:w="80" w:type="dxa"/>
              <w:start w:w="90" w:type="dxa"/>
              <w:bottom w:w="80" w:type="dxa"/>
              <w:end w:w="90" w:type="dxa"/>
            </w:tcMar>
            <w:vAlign w:val="center"/>
          </w:tcPr>
          <w:p>
            <w:pPr>
              <w:spacing w:after="0"/>
            </w:pPr>
            <w:r>
              <w:rPr>
                <w:rFonts w:ascii="Aptos" w:hAnsi="Aptos"/>
                <w:b/>
                <w:color w:val="FFFFFF"/>
                <w:sz w:val="16"/>
              </w:rPr>
              <w:t>Control</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SEC-001</w:t>
            </w:r>
          </w:p>
        </w:tc>
        <w:tc>
          <w:tcPr>
            <w:tcW w:type="dxa" w:w="9216"/>
            <w:tcMar>
              <w:top w:w="70" w:type="dxa"/>
              <w:start w:w="90" w:type="dxa"/>
              <w:bottom w:w="70" w:type="dxa"/>
              <w:end w:w="90" w:type="dxa"/>
            </w:tcMar>
          </w:tcPr>
          <w:p>
            <w:pPr>
              <w:spacing w:after="0" w:line="240" w:lineRule="auto"/>
            </w:pPr>
            <w:r>
              <w:rPr>
                <w:rFonts w:ascii="Aptos" w:hAnsi="Aptos"/>
                <w:color w:val="1F2933"/>
                <w:sz w:val="16"/>
              </w:rPr>
              <w:t>Encryption in transit using modern TLS and encryption at rest for database, storage, backups, and queues.</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SEC-002</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Private object storage with user-scoped access and short-lived signed URLs. InsForge supports private buckets and auth-aware storage policies. [15]</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SEC-003</w:t>
            </w:r>
          </w:p>
        </w:tc>
        <w:tc>
          <w:tcPr>
            <w:tcW w:type="dxa" w:w="9216"/>
            <w:tcMar>
              <w:top w:w="70" w:type="dxa"/>
              <w:start w:w="90" w:type="dxa"/>
              <w:bottom w:w="70" w:type="dxa"/>
              <w:end w:w="90" w:type="dxa"/>
            </w:tcMar>
          </w:tcPr>
          <w:p>
            <w:pPr>
              <w:spacing w:after="0" w:line="240" w:lineRule="auto"/>
            </w:pPr>
            <w:r>
              <w:rPr>
                <w:rFonts w:ascii="Aptos" w:hAnsi="Aptos"/>
                <w:color w:val="1F2933"/>
                <w:sz w:val="16"/>
              </w:rPr>
              <w:t>PostgreSQL row-level security on every tenant-owned table; service-role access is isolated from browser clients. [14]</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SEC-004</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MFA for privileged accounts; phishing-resistant authentication preferred for administrative roles.</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SEC-005</w:t>
            </w:r>
          </w:p>
        </w:tc>
        <w:tc>
          <w:tcPr>
            <w:tcW w:type="dxa" w:w="9216"/>
            <w:tcMar>
              <w:top w:w="70" w:type="dxa"/>
              <w:start w:w="90" w:type="dxa"/>
              <w:bottom w:w="70" w:type="dxa"/>
              <w:end w:w="90" w:type="dxa"/>
            </w:tcMar>
          </w:tcPr>
          <w:p>
            <w:pPr>
              <w:spacing w:after="0" w:line="240" w:lineRule="auto"/>
            </w:pPr>
            <w:r>
              <w:rPr>
                <w:rFonts w:ascii="Aptos" w:hAnsi="Aptos"/>
                <w:color w:val="1F2933"/>
                <w:sz w:val="16"/>
              </w:rPr>
              <w:t>Least-privilege service identities and job-scoped credentials; no shared production administrator tokens.</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SEC-006</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Central secrets manager; no secrets in source, client bundles, document metadata, logs, or support tools.</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SEC-007</w:t>
            </w:r>
          </w:p>
        </w:tc>
        <w:tc>
          <w:tcPr>
            <w:tcW w:type="dxa" w:w="9216"/>
            <w:tcMar>
              <w:top w:w="70" w:type="dxa"/>
              <w:start w:w="90" w:type="dxa"/>
              <w:bottom w:w="70" w:type="dxa"/>
              <w:end w:w="90" w:type="dxa"/>
            </w:tcMar>
          </w:tcPr>
          <w:p>
            <w:pPr>
              <w:spacing w:after="0" w:line="240" w:lineRule="auto"/>
            </w:pPr>
            <w:r>
              <w:rPr>
                <w:rFonts w:ascii="Aptos" w:hAnsi="Aptos"/>
                <w:color w:val="1F2933"/>
                <w:sz w:val="16"/>
              </w:rPr>
              <w:t>Malware scanning, PDF complexity limits, HTML sanitization, decompression limits, and parser sandboxing.</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SEC-008</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Egress allowlisting for workers and model/OCR providers; block document-controlled URLs and external HTML resources.</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SEC-009</w:t>
            </w:r>
          </w:p>
        </w:tc>
        <w:tc>
          <w:tcPr>
            <w:tcW w:type="dxa" w:w="9216"/>
            <w:tcMar>
              <w:top w:w="70" w:type="dxa"/>
              <w:start w:w="90" w:type="dxa"/>
              <w:bottom w:w="70" w:type="dxa"/>
              <w:end w:w="90" w:type="dxa"/>
            </w:tcMar>
          </w:tcPr>
          <w:p>
            <w:pPr>
              <w:spacing w:after="0" w:line="240" w:lineRule="auto"/>
            </w:pPr>
            <w:r>
              <w:rPr>
                <w:rFonts w:ascii="Aptos" w:hAnsi="Aptos"/>
                <w:color w:val="1F2933"/>
                <w:sz w:val="16"/>
              </w:rPr>
              <w:t>Redacted structured logging; automated tests fail builds when restricted fields are logged.</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SEC-010</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Immutable audit events for access, exports, deletion, rule publication, support access, and security actions.</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SEC-011</w:t>
            </w:r>
          </w:p>
        </w:tc>
        <w:tc>
          <w:tcPr>
            <w:tcW w:type="dxa" w:w="9216"/>
            <w:tcMar>
              <w:top w:w="70" w:type="dxa"/>
              <w:start w:w="90" w:type="dxa"/>
              <w:bottom w:w="70" w:type="dxa"/>
              <w:end w:w="90" w:type="dxa"/>
            </w:tcMar>
          </w:tcPr>
          <w:p>
            <w:pPr>
              <w:spacing w:after="0" w:line="240" w:lineRule="auto"/>
            </w:pPr>
            <w:r>
              <w:rPr>
                <w:rFonts w:ascii="Aptos" w:hAnsi="Aptos"/>
                <w:color w:val="1F2933"/>
                <w:sz w:val="16"/>
              </w:rPr>
              <w:t>Dependency lockfile, software bill of materials, vulnerability scanning, signed builds, and protected deployment approvals.</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SEC-012</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Incident response plan, breach evaluation, user/regulator communication playbooks, and annual tabletop exercise.</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SEC-013</w:t>
            </w:r>
          </w:p>
        </w:tc>
        <w:tc>
          <w:tcPr>
            <w:tcW w:type="dxa" w:w="9216"/>
            <w:tcMar>
              <w:top w:w="70" w:type="dxa"/>
              <w:start w:w="90" w:type="dxa"/>
              <w:bottom w:w="70" w:type="dxa"/>
              <w:end w:w="90" w:type="dxa"/>
            </w:tcMar>
          </w:tcPr>
          <w:p>
            <w:pPr>
              <w:spacing w:after="0" w:line="240" w:lineRule="auto"/>
            </w:pPr>
            <w:r>
              <w:rPr>
                <w:rFonts w:ascii="Aptos" w:hAnsi="Aptos"/>
                <w:color w:val="1F2933"/>
                <w:sz w:val="16"/>
              </w:rPr>
              <w:t>User-visible session/device management and rapid credential/session revocation.</w:t>
            </w:r>
          </w:p>
        </w:tc>
      </w:tr>
      <w:tr>
        <w:trPr>
          <w:cantSplit/>
        </w:trPr>
        <w:tc>
          <w:tcPr>
            <w:tcW w:type="dxa" w:w="1224"/>
            <w:tcMar>
              <w:top w:w="70" w:type="dxa"/>
              <w:start w:w="90" w:type="dxa"/>
              <w:bottom w:w="70" w:type="dxa"/>
              <w:end w:w="90" w:type="dxa"/>
            </w:tcMar>
            <w:shd w:fill="F5F7FA"/>
          </w:tcPr>
          <w:p>
            <w:pPr>
              <w:spacing w:after="0" w:line="240" w:lineRule="auto"/>
            </w:pPr>
            <w:r>
              <w:rPr>
                <w:rFonts w:ascii="Aptos" w:hAnsi="Aptos"/>
                <w:color w:val="1F2933"/>
                <w:sz w:val="16"/>
              </w:rPr>
              <w:t>SEC-014</w:t>
            </w:r>
          </w:p>
        </w:tc>
        <w:tc>
          <w:tcPr>
            <w:tcW w:type="dxa" w:w="9216"/>
            <w:tcMar>
              <w:top w:w="70" w:type="dxa"/>
              <w:start w:w="90" w:type="dxa"/>
              <w:bottom w:w="70" w:type="dxa"/>
              <w:end w:w="90" w:type="dxa"/>
            </w:tcMar>
            <w:shd w:fill="F5F7FA"/>
          </w:tcPr>
          <w:p>
            <w:pPr>
              <w:spacing w:after="0" w:line="240" w:lineRule="auto"/>
            </w:pPr>
            <w:r>
              <w:rPr>
                <w:rFonts w:ascii="Aptos" w:hAnsi="Aptos"/>
                <w:color w:val="1F2933"/>
                <w:sz w:val="16"/>
              </w:rPr>
              <w:t>Verified deletion workflow across object storage, database, search indexes, caches, provider artifacts, and backup lifecycle.</w:t>
            </w:r>
          </w:p>
        </w:tc>
      </w:tr>
      <w:tr>
        <w:trPr>
          <w:cantSplit/>
        </w:trPr>
        <w:tc>
          <w:tcPr>
            <w:tcW w:type="dxa" w:w="1224"/>
            <w:tcMar>
              <w:top w:w="70" w:type="dxa"/>
              <w:start w:w="90" w:type="dxa"/>
              <w:bottom w:w="70" w:type="dxa"/>
              <w:end w:w="90" w:type="dxa"/>
            </w:tcMar>
          </w:tcPr>
          <w:p>
            <w:pPr>
              <w:spacing w:after="0" w:line="240" w:lineRule="auto"/>
            </w:pPr>
            <w:r>
              <w:rPr>
                <w:rFonts w:ascii="Aptos" w:hAnsi="Aptos"/>
                <w:color w:val="1F2933"/>
                <w:sz w:val="16"/>
              </w:rPr>
              <w:t>SEC-015</w:t>
            </w:r>
          </w:p>
        </w:tc>
        <w:tc>
          <w:tcPr>
            <w:tcW w:type="dxa" w:w="9216"/>
            <w:tcMar>
              <w:top w:w="70" w:type="dxa"/>
              <w:start w:w="90" w:type="dxa"/>
              <w:bottom w:w="70" w:type="dxa"/>
              <w:end w:w="90" w:type="dxa"/>
            </w:tcMar>
          </w:tcPr>
          <w:p>
            <w:pPr>
              <w:spacing w:after="0" w:line="240" w:lineRule="auto"/>
            </w:pPr>
            <w:r>
              <w:rPr>
                <w:rFonts w:ascii="Aptos" w:hAnsi="Aptos"/>
                <w:color w:val="1F2933"/>
                <w:sz w:val="16"/>
              </w:rPr>
              <w:t>No production consumer data in local developer environments, issue trackers, screenshots, or routine support exports.</w:t>
            </w:r>
          </w:p>
        </w:tc>
      </w:tr>
    </w:tbl>
    <w:p>
      <w:pPr>
        <w:spacing w:after="20"/>
      </w:pPr>
    </w:p>
    <w:p>
      <w:pPr>
        <w:pStyle w:val="Heading2"/>
        <w:keepNext/>
      </w:pPr>
      <w:r>
        <w:rPr>
          <w:rFonts w:ascii="Aptos Display" w:hAnsi="Aptos Display"/>
          <w:b/>
          <w:color w:val="245D8C"/>
          <w:sz w:val="26"/>
        </w:rPr>
        <w:t>13.4 Threat model - minimum scenarios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7324D"/>
            <w:tcMar>
              <w:top w:w="80" w:type="dxa"/>
              <w:start w:w="90" w:type="dxa"/>
              <w:bottom w:w="80" w:type="dxa"/>
              <w:end w:w="90" w:type="dxa"/>
            </w:tcMar>
            <w:vAlign w:val="center"/>
          </w:tcPr>
          <w:p>
            <w:pPr>
              <w:spacing w:after="0"/>
            </w:pPr>
            <w:r>
              <w:rPr>
                <w:rFonts w:ascii="Aptos" w:hAnsi="Aptos"/>
                <w:b/>
                <w:color w:val="FFFFFF"/>
                <w:sz w:val="15"/>
              </w:rPr>
              <w:t>Threat</w:t>
            </w:r>
          </w:p>
        </w:tc>
        <w:tc>
          <w:tcPr>
            <w:tcW w:type="dxa" w:w="5112"/>
            <w:shd w:fill="17324D"/>
            <w:tcMar>
              <w:top w:w="80" w:type="dxa"/>
              <w:start w:w="90" w:type="dxa"/>
              <w:bottom w:w="80" w:type="dxa"/>
              <w:end w:w="90" w:type="dxa"/>
            </w:tcMar>
            <w:vAlign w:val="center"/>
          </w:tcPr>
          <w:p>
            <w:pPr>
              <w:spacing w:after="0"/>
            </w:pPr>
            <w:r>
              <w:rPr>
                <w:rFonts w:ascii="Aptos" w:hAnsi="Aptos"/>
                <w:b/>
                <w:color w:val="FFFFFF"/>
                <w:sz w:val="15"/>
              </w:rPr>
              <w:t>Primary mitigations</w:t>
            </w:r>
          </w:p>
        </w:tc>
        <w:tc>
          <w:tcPr>
            <w:tcW w:type="dxa" w:w="3096"/>
            <w:shd w:fill="17324D"/>
            <w:tcMar>
              <w:top w:w="80" w:type="dxa"/>
              <w:start w:w="90" w:type="dxa"/>
              <w:bottom w:w="80" w:type="dxa"/>
              <w:end w:w="90" w:type="dxa"/>
            </w:tcMar>
            <w:vAlign w:val="center"/>
          </w:tcPr>
          <w:p>
            <w:pPr>
              <w:spacing w:after="0"/>
            </w:pPr>
            <w:r>
              <w:rPr>
                <w:rFonts w:ascii="Aptos" w:hAnsi="Aptos"/>
                <w:b/>
                <w:color w:val="FFFFFF"/>
                <w:sz w:val="15"/>
              </w:rPr>
              <w:t>Launch verification</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Account takeover</w:t>
            </w:r>
          </w:p>
        </w:tc>
        <w:tc>
          <w:tcPr>
            <w:tcW w:type="dxa" w:w="5112"/>
            <w:tcMar>
              <w:top w:w="70" w:type="dxa"/>
              <w:start w:w="90" w:type="dxa"/>
              <w:bottom w:w="70" w:type="dxa"/>
              <w:end w:w="90" w:type="dxa"/>
            </w:tcMar>
          </w:tcPr>
          <w:p>
            <w:pPr>
              <w:spacing w:after="0" w:line="240" w:lineRule="auto"/>
            </w:pPr>
            <w:r>
              <w:rPr>
                <w:rFonts w:ascii="Aptos" w:hAnsi="Aptos"/>
                <w:color w:val="1F2933"/>
                <w:sz w:val="15"/>
              </w:rPr>
              <w:t>MFA, risk alerts, session revocation, rate limits, device notifications</w:t>
            </w:r>
          </w:p>
        </w:tc>
        <w:tc>
          <w:tcPr>
            <w:tcW w:type="dxa" w:w="3096"/>
            <w:tcMar>
              <w:top w:w="70" w:type="dxa"/>
              <w:start w:w="90" w:type="dxa"/>
              <w:bottom w:w="70" w:type="dxa"/>
              <w:end w:w="90" w:type="dxa"/>
            </w:tcMar>
          </w:tcPr>
          <w:p>
            <w:pPr>
              <w:spacing w:after="0" w:line="240" w:lineRule="auto"/>
            </w:pPr>
            <w:r>
              <w:rPr>
                <w:rFonts w:ascii="Aptos" w:hAnsi="Aptos"/>
                <w:color w:val="1F2933"/>
                <w:sz w:val="15"/>
              </w:rPr>
              <w:t>Authentication penetration tests and abuse simulation</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Cross-tenant access / broken RLS</w:t>
            </w:r>
          </w:p>
        </w:tc>
        <w:tc>
          <w:tcPr>
            <w:tcW w:type="dxa" w:w="5112"/>
            <w:tcMar>
              <w:top w:w="70" w:type="dxa"/>
              <w:start w:w="90" w:type="dxa"/>
              <w:bottom w:w="70" w:type="dxa"/>
              <w:end w:w="90" w:type="dxa"/>
            </w:tcMar>
            <w:shd w:fill="F5F7FA"/>
          </w:tcPr>
          <w:p>
            <w:pPr>
              <w:spacing w:after="0" w:line="240" w:lineRule="auto"/>
            </w:pPr>
            <w:r>
              <w:rPr>
                <w:rFonts w:ascii="Aptos" w:hAnsi="Aptos"/>
                <w:color w:val="1F2933"/>
                <w:sz w:val="15"/>
              </w:rPr>
              <w:t>Default-deny RLS, tenant tests, no service key in client</w:t>
            </w:r>
          </w:p>
        </w:tc>
        <w:tc>
          <w:tcPr>
            <w:tcW w:type="dxa" w:w="3096"/>
            <w:tcMar>
              <w:top w:w="70" w:type="dxa"/>
              <w:start w:w="90" w:type="dxa"/>
              <w:bottom w:w="70" w:type="dxa"/>
              <w:end w:w="90" w:type="dxa"/>
            </w:tcMar>
            <w:shd w:fill="F5F7FA"/>
          </w:tcPr>
          <w:p>
            <w:pPr>
              <w:spacing w:after="0" w:line="240" w:lineRule="auto"/>
            </w:pPr>
            <w:r>
              <w:rPr>
                <w:rFonts w:ascii="Aptos" w:hAnsi="Aptos"/>
                <w:color w:val="1F2933"/>
                <w:sz w:val="15"/>
              </w:rPr>
              <w:t>Automated policy tests for every tenant table and storage path</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Malicious PDF/HTML</w:t>
            </w:r>
          </w:p>
        </w:tc>
        <w:tc>
          <w:tcPr>
            <w:tcW w:type="dxa" w:w="5112"/>
            <w:tcMar>
              <w:top w:w="70" w:type="dxa"/>
              <w:start w:w="90" w:type="dxa"/>
              <w:bottom w:w="70" w:type="dxa"/>
              <w:end w:w="90" w:type="dxa"/>
            </w:tcMar>
          </w:tcPr>
          <w:p>
            <w:pPr>
              <w:spacing w:after="0" w:line="240" w:lineRule="auto"/>
            </w:pPr>
            <w:r>
              <w:rPr>
                <w:rFonts w:ascii="Aptos" w:hAnsi="Aptos"/>
                <w:color w:val="1F2933"/>
                <w:sz w:val="15"/>
              </w:rPr>
              <w:t>Scanning, sandboxed parsing, resource limits, sanitized HTML, no external fetch</w:t>
            </w:r>
          </w:p>
        </w:tc>
        <w:tc>
          <w:tcPr>
            <w:tcW w:type="dxa" w:w="3096"/>
            <w:tcMar>
              <w:top w:w="70" w:type="dxa"/>
              <w:start w:w="90" w:type="dxa"/>
              <w:bottom w:w="70" w:type="dxa"/>
              <w:end w:w="90" w:type="dxa"/>
            </w:tcMar>
          </w:tcPr>
          <w:p>
            <w:pPr>
              <w:spacing w:after="0" w:line="240" w:lineRule="auto"/>
            </w:pPr>
            <w:r>
              <w:rPr>
                <w:rFonts w:ascii="Aptos" w:hAnsi="Aptos"/>
                <w:color w:val="1F2933"/>
                <w:sz w:val="15"/>
              </w:rPr>
              <w:t>Adversarial corpus including scripts, bombs, malformed files, embedded links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Prompt injection in report</w:t>
            </w:r>
          </w:p>
        </w:tc>
        <w:tc>
          <w:tcPr>
            <w:tcW w:type="dxa" w:w="5112"/>
            <w:tcMar>
              <w:top w:w="70" w:type="dxa"/>
              <w:start w:w="90" w:type="dxa"/>
              <w:bottom w:w="70" w:type="dxa"/>
              <w:end w:w="90" w:type="dxa"/>
            </w:tcMar>
            <w:shd w:fill="F5F7FA"/>
          </w:tcPr>
          <w:p>
            <w:pPr>
              <w:spacing w:after="0" w:line="240" w:lineRule="auto"/>
            </w:pPr>
            <w:r>
              <w:rPr>
                <w:rFonts w:ascii="Aptos" w:hAnsi="Aptos"/>
                <w:color w:val="1F2933"/>
                <w:sz w:val="15"/>
              </w:rPr>
              <w:t>Treat document text as data, structured prompts, no document-directed tools</w:t>
            </w:r>
          </w:p>
        </w:tc>
        <w:tc>
          <w:tcPr>
            <w:tcW w:type="dxa" w:w="3096"/>
            <w:tcMar>
              <w:top w:w="70" w:type="dxa"/>
              <w:start w:w="90" w:type="dxa"/>
              <w:bottom w:w="70" w:type="dxa"/>
              <w:end w:w="90" w:type="dxa"/>
            </w:tcMar>
            <w:shd w:fill="F5F7FA"/>
          </w:tcPr>
          <w:p>
            <w:pPr>
              <w:spacing w:after="0" w:line="240" w:lineRule="auto"/>
            </w:pPr>
            <w:r>
              <w:rPr>
                <w:rFonts w:ascii="Aptos" w:hAnsi="Aptos"/>
                <w:color w:val="1F2933"/>
                <w:sz w:val="15"/>
              </w:rPr>
              <w:t>Injection evaluation suite with model refusal and output validation</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Sensitive-data leakage to model/vendor</w:t>
            </w:r>
          </w:p>
        </w:tc>
        <w:tc>
          <w:tcPr>
            <w:tcW w:type="dxa" w:w="5112"/>
            <w:tcMar>
              <w:top w:w="70" w:type="dxa"/>
              <w:start w:w="90" w:type="dxa"/>
              <w:bottom w:w="70" w:type="dxa"/>
              <w:end w:w="90" w:type="dxa"/>
            </w:tcMar>
          </w:tcPr>
          <w:p>
            <w:pPr>
              <w:spacing w:after="0" w:line="240" w:lineRule="auto"/>
            </w:pPr>
            <w:r>
              <w:rPr>
                <w:rFonts w:ascii="Aptos" w:hAnsi="Aptos"/>
                <w:color w:val="1F2933"/>
                <w:sz w:val="15"/>
              </w:rPr>
              <w:t>Redaction, provider contract, payload minimization, zero retention</w:t>
            </w:r>
          </w:p>
        </w:tc>
        <w:tc>
          <w:tcPr>
            <w:tcW w:type="dxa" w:w="3096"/>
            <w:tcMar>
              <w:top w:w="70" w:type="dxa"/>
              <w:start w:w="90" w:type="dxa"/>
              <w:bottom w:w="70" w:type="dxa"/>
              <w:end w:w="90" w:type="dxa"/>
            </w:tcMar>
          </w:tcPr>
          <w:p>
            <w:pPr>
              <w:spacing w:after="0" w:line="240" w:lineRule="auto"/>
            </w:pPr>
            <w:r>
              <w:rPr>
                <w:rFonts w:ascii="Aptos" w:hAnsi="Aptos"/>
                <w:color w:val="1F2933"/>
                <w:sz w:val="15"/>
              </w:rPr>
              <w:t>Payload inspection and vendor configuration evidence</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Insider/support misuse</w:t>
            </w:r>
          </w:p>
        </w:tc>
        <w:tc>
          <w:tcPr>
            <w:tcW w:type="dxa" w:w="5112"/>
            <w:tcMar>
              <w:top w:w="70" w:type="dxa"/>
              <w:start w:w="90" w:type="dxa"/>
              <w:bottom w:w="70" w:type="dxa"/>
              <w:end w:w="90" w:type="dxa"/>
            </w:tcMar>
            <w:shd w:fill="F5F7FA"/>
          </w:tcPr>
          <w:p>
            <w:pPr>
              <w:spacing w:after="0" w:line="240" w:lineRule="auto"/>
            </w:pPr>
            <w:r>
              <w:rPr>
                <w:rFonts w:ascii="Aptos" w:hAnsi="Aptos"/>
                <w:color w:val="1F2933"/>
                <w:sz w:val="15"/>
              </w:rPr>
              <w:t>Masked views, purpose binding, break-glass approval, immutable audit</w:t>
            </w:r>
          </w:p>
        </w:tc>
        <w:tc>
          <w:tcPr>
            <w:tcW w:type="dxa" w:w="3096"/>
            <w:tcMar>
              <w:top w:w="70" w:type="dxa"/>
              <w:start w:w="90" w:type="dxa"/>
              <w:bottom w:w="70" w:type="dxa"/>
              <w:end w:w="90" w:type="dxa"/>
            </w:tcMar>
            <w:shd w:fill="F5F7FA"/>
          </w:tcPr>
          <w:p>
            <w:pPr>
              <w:spacing w:after="0" w:line="240" w:lineRule="auto"/>
            </w:pPr>
            <w:r>
              <w:rPr>
                <w:rFonts w:ascii="Aptos" w:hAnsi="Aptos"/>
                <w:color w:val="1F2933"/>
                <w:sz w:val="15"/>
              </w:rPr>
              <w:t>Quarterly access review and alert tests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Mass scraping/export</w:t>
            </w:r>
          </w:p>
        </w:tc>
        <w:tc>
          <w:tcPr>
            <w:tcW w:type="dxa" w:w="5112"/>
            <w:tcMar>
              <w:top w:w="70" w:type="dxa"/>
              <w:start w:w="90" w:type="dxa"/>
              <w:bottom w:w="70" w:type="dxa"/>
              <w:end w:w="90" w:type="dxa"/>
            </w:tcMar>
          </w:tcPr>
          <w:p>
            <w:pPr>
              <w:spacing w:after="0" w:line="240" w:lineRule="auto"/>
            </w:pPr>
            <w:r>
              <w:rPr>
                <w:rFonts w:ascii="Aptos" w:hAnsi="Aptos"/>
                <w:color w:val="1F2933"/>
                <w:sz w:val="15"/>
              </w:rPr>
              <w:t>Rate limits, anomaly detection, export controls, user notification</w:t>
            </w:r>
          </w:p>
        </w:tc>
        <w:tc>
          <w:tcPr>
            <w:tcW w:type="dxa" w:w="3096"/>
            <w:tcMar>
              <w:top w:w="70" w:type="dxa"/>
              <w:start w:w="90" w:type="dxa"/>
              <w:bottom w:w="70" w:type="dxa"/>
              <w:end w:w="90" w:type="dxa"/>
            </w:tcMar>
          </w:tcPr>
          <w:p>
            <w:pPr>
              <w:spacing w:after="0" w:line="240" w:lineRule="auto"/>
            </w:pPr>
            <w:r>
              <w:rPr>
                <w:rFonts w:ascii="Aptos" w:hAnsi="Aptos"/>
                <w:color w:val="1F2933"/>
                <w:sz w:val="15"/>
              </w:rPr>
              <w:t>Abuse test and alert runbook</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5"/>
              </w:rPr>
              <w:t>Deletion failure</w:t>
            </w:r>
          </w:p>
        </w:tc>
        <w:tc>
          <w:tcPr>
            <w:tcW w:type="dxa" w:w="5112"/>
            <w:tcMar>
              <w:top w:w="70" w:type="dxa"/>
              <w:start w:w="90" w:type="dxa"/>
              <w:bottom w:w="70" w:type="dxa"/>
              <w:end w:w="90" w:type="dxa"/>
            </w:tcMar>
            <w:shd w:fill="F5F7FA"/>
          </w:tcPr>
          <w:p>
            <w:pPr>
              <w:spacing w:after="0" w:line="240" w:lineRule="auto"/>
            </w:pPr>
            <w:r>
              <w:rPr>
                <w:rFonts w:ascii="Aptos" w:hAnsi="Aptos"/>
                <w:color w:val="1F2933"/>
                <w:sz w:val="15"/>
              </w:rPr>
              <w:t>Deletion orchestrator, tombstones, provider callbacks, backup policy</w:t>
            </w:r>
          </w:p>
        </w:tc>
        <w:tc>
          <w:tcPr>
            <w:tcW w:type="dxa" w:w="3096"/>
            <w:tcMar>
              <w:top w:w="70" w:type="dxa"/>
              <w:start w:w="90" w:type="dxa"/>
              <w:bottom w:w="70" w:type="dxa"/>
              <w:end w:w="90" w:type="dxa"/>
            </w:tcMar>
            <w:shd w:fill="F5F7FA"/>
          </w:tcPr>
          <w:p>
            <w:pPr>
              <w:spacing w:after="0" w:line="240" w:lineRule="auto"/>
            </w:pPr>
            <w:r>
              <w:rPr>
                <w:rFonts w:ascii="Aptos" w:hAnsi="Aptos"/>
                <w:color w:val="1F2933"/>
                <w:sz w:val="15"/>
              </w:rPr>
              <w:t>End-to-end deletion drill and evidence report</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5"/>
              </w:rPr>
              <w:t>Dependency or build compromise</w:t>
            </w:r>
          </w:p>
        </w:tc>
        <w:tc>
          <w:tcPr>
            <w:tcW w:type="dxa" w:w="5112"/>
            <w:tcMar>
              <w:top w:w="70" w:type="dxa"/>
              <w:start w:w="90" w:type="dxa"/>
              <w:bottom w:w="70" w:type="dxa"/>
              <w:end w:w="90" w:type="dxa"/>
            </w:tcMar>
          </w:tcPr>
          <w:p>
            <w:pPr>
              <w:spacing w:after="0" w:line="240" w:lineRule="auto"/>
            </w:pPr>
            <w:r>
              <w:rPr>
                <w:rFonts w:ascii="Aptos" w:hAnsi="Aptos"/>
                <w:color w:val="1F2933"/>
                <w:sz w:val="15"/>
              </w:rPr>
              <w:t>Pinned dependencies, SBOM, scanning, signed deployment, branch protection</w:t>
            </w:r>
          </w:p>
        </w:tc>
        <w:tc>
          <w:tcPr>
            <w:tcW w:type="dxa" w:w="3096"/>
            <w:tcMar>
              <w:top w:w="70" w:type="dxa"/>
              <w:start w:w="90" w:type="dxa"/>
              <w:bottom w:w="70" w:type="dxa"/>
              <w:end w:w="90" w:type="dxa"/>
            </w:tcMar>
          </w:tcPr>
          <w:p>
            <w:pPr>
              <w:spacing w:after="0" w:line="240" w:lineRule="auto"/>
            </w:pPr>
            <w:r>
              <w:rPr>
                <w:rFonts w:ascii="Aptos" w:hAnsi="Aptos"/>
                <w:color w:val="1F2933"/>
                <w:sz w:val="15"/>
              </w:rPr>
              <w:t>Supply-chain review and rollback exercise</w:t>
            </w:r>
          </w:p>
        </w:tc>
      </w:tr>
    </w:tbl>
    <w:p>
      <w:pPr>
        <w:spacing w:after="20"/>
      </w:pPr>
    </w:p>
    <w:p>
      <w:pPr>
        <w:pStyle w:val="Heading2"/>
        <w:keepNext/>
      </w:pPr>
      <w:r>
        <w:rPr>
          <w:rFonts w:ascii="Aptos Display" w:hAnsi="Aptos Display"/>
          <w:b/>
          <w:color w:val="245D8C"/>
          <w:sz w:val="26"/>
        </w:rPr>
        <w:t>13.5 Vendor security gate</w:t>
      </w:r>
    </w:p>
    <w:p>
      <w:pPr>
        <w:pStyle w:val="ListBullet"/>
        <w:spacing w:after="40" w:line="250" w:lineRule="auto"/>
        <w:ind w:left="0"/>
      </w:pPr>
      <w:r>
        <w:rPr>
          <w:rFonts w:ascii="Aptos" w:hAnsi="Aptos"/>
        </w:rPr>
        <w:t>Before real reports are stored in managed InsForge or sent to OCR/model providers, obtain and review data residency, encryption, key management, employee access, subprocessors, audit logs, backup deletion, incident notification, security testing, DPA, and retention/training terms.</w:t>
      </w:r>
    </w:p>
    <w:p>
      <w:pPr>
        <w:pStyle w:val="ListBullet"/>
        <w:spacing w:after="40" w:line="250" w:lineRule="auto"/>
        <w:ind w:left="0"/>
      </w:pPr>
      <w:r>
        <w:rPr>
          <w:rFonts w:ascii="Aptos" w:hAnsi="Aptos"/>
        </w:rPr>
        <w:t>Use synthetic or heavily redacted reports until the gate is completed.</w:t>
      </w:r>
    </w:p>
    <w:p>
      <w:pPr>
        <w:pStyle w:val="ListBullet"/>
        <w:spacing w:after="40" w:line="250" w:lineRule="auto"/>
        <w:ind w:left="0"/>
      </w:pPr>
      <w:r>
        <w:rPr>
          <w:rFonts w:ascii="Aptos" w:hAnsi="Aptos"/>
        </w:rPr>
        <w:t>Keep PostgreSQL schema, S3-compatible storage adapter, model interface, and worker portable so a provider change or self-hosting decision does not require rewriting core logic.</w:t>
      </w:r>
    </w:p>
    <w:p>
      <w:pPr>
        <w:pStyle w:val="ListBullet"/>
        <w:spacing w:after="40" w:line="250" w:lineRule="auto"/>
        <w:ind w:left="0"/>
      </w:pPr>
      <w:r>
        <w:rPr>
          <w:rFonts w:ascii="Aptos" w:hAnsi="Aptos"/>
        </w:rPr>
        <w:t>Evaluate whether the FTC Safeguards Rule applies to the business model and implement its required written information-security program controls where applicable. [10]</w:t>
      </w:r>
    </w:p>
    <w:p>
      <w:pPr>
        <w:pStyle w:val="Heading1"/>
        <w:pageBreakBefore/>
      </w:pPr>
      <w:r>
        <w:rPr>
          <w:rFonts w:ascii="Aptos Display" w:hAnsi="Aptos Display"/>
          <w:b/>
          <w:color w:val="17324D"/>
          <w:sz w:val="36"/>
        </w:rPr>
        <w:t>14. Technology Stack and System Architecture</w:t>
      </w:r>
    </w:p>
    <w:p>
      <w:pPr>
        <w:jc w:val="center"/>
      </w:pPr>
      <w:r>
        <w:drawing>
          <wp:inline xmlns:a="http://schemas.openxmlformats.org/drawingml/2006/main" xmlns:pic="http://schemas.openxmlformats.org/drawingml/2006/picture">
            <wp:extent cx="6400800" cy="3733800"/>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733800"/>
                    </a:xfrm>
                    <a:prstGeom prst="rect"/>
                  </pic:spPr>
                </pic:pic>
              </a:graphicData>
            </a:graphic>
          </wp:inline>
        </w:drawing>
      </w:r>
    </w:p>
    <w:p>
      <w:pPr>
        <w:pStyle w:val="Heading2"/>
        <w:keepNext/>
      </w:pPr>
      <w:r>
        <w:rPr>
          <w:rFonts w:ascii="Aptos Display" w:hAnsi="Aptos Display"/>
          <w:b/>
          <w:color w:val="245D8C"/>
          <w:sz w:val="26"/>
        </w:rPr>
        <w:t>14.1 Approved reference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80" w:type="dxa"/>
              <w:start w:w="90" w:type="dxa"/>
              <w:bottom w:w="80" w:type="dxa"/>
              <w:end w:w="90" w:type="dxa"/>
            </w:tcMar>
            <w:vAlign w:val="center"/>
          </w:tcPr>
          <w:p>
            <w:pPr>
              <w:spacing w:after="0"/>
            </w:pPr>
            <w:r>
              <w:rPr>
                <w:rFonts w:ascii="Aptos" w:hAnsi="Aptos"/>
                <w:b/>
                <w:color w:val="FFFFFF"/>
                <w:sz w:val="15"/>
              </w:rPr>
              <w:t>Layer</w:t>
            </w:r>
          </w:p>
        </w:tc>
        <w:tc>
          <w:tcPr>
            <w:tcW w:type="dxa" w:w="3024"/>
            <w:shd w:fill="17324D"/>
            <w:tcMar>
              <w:top w:w="80" w:type="dxa"/>
              <w:start w:w="90" w:type="dxa"/>
              <w:bottom w:w="80" w:type="dxa"/>
              <w:end w:w="90" w:type="dxa"/>
            </w:tcMar>
            <w:vAlign w:val="center"/>
          </w:tcPr>
          <w:p>
            <w:pPr>
              <w:spacing w:after="0"/>
            </w:pPr>
            <w:r>
              <w:rPr>
                <w:rFonts w:ascii="Aptos" w:hAnsi="Aptos"/>
                <w:b/>
                <w:color w:val="FFFFFF"/>
                <w:sz w:val="15"/>
              </w:rPr>
              <w:t>Selection</w:t>
            </w:r>
          </w:p>
        </w:tc>
        <w:tc>
          <w:tcPr>
            <w:tcW w:type="dxa" w:w="5616"/>
            <w:shd w:fill="17324D"/>
            <w:tcMar>
              <w:top w:w="80" w:type="dxa"/>
              <w:start w:w="90" w:type="dxa"/>
              <w:bottom w:w="80" w:type="dxa"/>
              <w:end w:w="90" w:type="dxa"/>
            </w:tcMar>
            <w:vAlign w:val="center"/>
          </w:tcPr>
          <w:p>
            <w:pPr>
              <w:spacing w:after="0"/>
            </w:pPr>
            <w:r>
              <w:rPr>
                <w:rFonts w:ascii="Aptos" w:hAnsi="Aptos"/>
                <w:b/>
                <w:color w:val="FFFFFF"/>
                <w:sz w:val="15"/>
              </w:rPr>
              <w:t>Decision notes</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Web application</w:t>
            </w:r>
          </w:p>
        </w:tc>
        <w:tc>
          <w:tcPr>
            <w:tcW w:type="dxa" w:w="3024"/>
            <w:tcMar>
              <w:top w:w="70" w:type="dxa"/>
              <w:start w:w="90" w:type="dxa"/>
              <w:bottom w:w="70" w:type="dxa"/>
              <w:end w:w="90" w:type="dxa"/>
            </w:tcMar>
          </w:tcPr>
          <w:p>
            <w:pPr>
              <w:spacing w:after="0" w:line="240" w:lineRule="auto"/>
            </w:pPr>
            <w:r>
              <w:rPr>
                <w:rFonts w:ascii="Aptos" w:hAnsi="Aptos"/>
                <w:color w:val="1F2933"/>
                <w:sz w:val="15"/>
              </w:rPr>
              <w:t>Next.js App Router + TypeScript</w:t>
            </w:r>
          </w:p>
        </w:tc>
        <w:tc>
          <w:tcPr>
            <w:tcW w:type="dxa" w:w="5616"/>
            <w:tcMar>
              <w:top w:w="70" w:type="dxa"/>
              <w:start w:w="90" w:type="dxa"/>
              <w:bottom w:w="70" w:type="dxa"/>
              <w:end w:w="90" w:type="dxa"/>
            </w:tcMar>
          </w:tcPr>
          <w:p>
            <w:pPr>
              <w:spacing w:after="0" w:line="240" w:lineRule="auto"/>
            </w:pPr>
            <w:r>
              <w:rPr>
                <w:rFonts w:ascii="Aptos" w:hAnsi="Aptos"/>
                <w:color w:val="1F2933"/>
                <w:sz w:val="15"/>
              </w:rPr>
              <w:t>Server-rendered product UI, secure server actions/route handlers, shared domain types</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Design system</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Tailwind CSS + shadcn/ui</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Fast accessible UI construction; product-specific components remain owned</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Validation</w:t>
            </w:r>
          </w:p>
        </w:tc>
        <w:tc>
          <w:tcPr>
            <w:tcW w:type="dxa" w:w="3024"/>
            <w:tcMar>
              <w:top w:w="70" w:type="dxa"/>
              <w:start w:w="90" w:type="dxa"/>
              <w:bottom w:w="70" w:type="dxa"/>
              <w:end w:w="90" w:type="dxa"/>
            </w:tcMar>
          </w:tcPr>
          <w:p>
            <w:pPr>
              <w:spacing w:after="0" w:line="240" w:lineRule="auto"/>
            </w:pPr>
            <w:r>
              <w:rPr>
                <w:rFonts w:ascii="Aptos" w:hAnsi="Aptos"/>
                <w:color w:val="1F2933"/>
                <w:sz w:val="15"/>
              </w:rPr>
              <w:t>Zod + React Hook Form</w:t>
            </w:r>
          </w:p>
        </w:tc>
        <w:tc>
          <w:tcPr>
            <w:tcW w:type="dxa" w:w="5616"/>
            <w:tcMar>
              <w:top w:w="70" w:type="dxa"/>
              <w:start w:w="90" w:type="dxa"/>
              <w:bottom w:w="70" w:type="dxa"/>
              <w:end w:w="90" w:type="dxa"/>
            </w:tcMar>
          </w:tcPr>
          <w:p>
            <w:pPr>
              <w:spacing w:after="0" w:line="240" w:lineRule="auto"/>
            </w:pPr>
            <w:r>
              <w:rPr>
                <w:rFonts w:ascii="Aptos" w:hAnsi="Aptos"/>
                <w:color w:val="1F2933"/>
                <w:sz w:val="15"/>
              </w:rPr>
              <w:t>Shared runtime schemas for user input, APIs, jobs, and model output</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Backend platform</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InsForge</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Authentication, PostgreSQL, RLS, private storage, edge functions, sites, model gateway, compute [13]</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Durable processing</w:t>
            </w:r>
          </w:p>
        </w:tc>
        <w:tc>
          <w:tcPr>
            <w:tcW w:type="dxa" w:w="3024"/>
            <w:tcMar>
              <w:top w:w="70" w:type="dxa"/>
              <w:start w:w="90" w:type="dxa"/>
              <w:bottom w:w="70" w:type="dxa"/>
              <w:end w:w="90" w:type="dxa"/>
            </w:tcMar>
          </w:tcPr>
          <w:p>
            <w:pPr>
              <w:spacing w:after="0" w:line="240" w:lineRule="auto"/>
            </w:pPr>
            <w:r>
              <w:rPr>
                <w:rFonts w:ascii="Aptos" w:hAnsi="Aptos"/>
                <w:color w:val="1F2933"/>
                <w:sz w:val="15"/>
              </w:rPr>
              <w:t>InsForge Compute container; optional queue abstraction</w:t>
            </w:r>
          </w:p>
        </w:tc>
        <w:tc>
          <w:tcPr>
            <w:tcW w:type="dxa" w:w="5616"/>
            <w:tcMar>
              <w:top w:w="70" w:type="dxa"/>
              <w:start w:w="90" w:type="dxa"/>
              <w:bottom w:w="70" w:type="dxa"/>
              <w:end w:w="90" w:type="dxa"/>
            </w:tcMar>
          </w:tcPr>
          <w:p>
            <w:pPr>
              <w:spacing w:after="0" w:line="240" w:lineRule="auto"/>
            </w:pPr>
            <w:r>
              <w:rPr>
                <w:rFonts w:ascii="Aptos" w:hAnsi="Aptos"/>
                <w:color w:val="1F2933"/>
                <w:sz w:val="15"/>
              </w:rPr>
              <w:t>Long-running parsing/OCR/analysis belongs in compute, not request-bound edge functions [16][17]</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Package manager</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Bun workspaces</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Fast install and monorepo management; lock version in CI [18]</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Production runtime</w:t>
            </w:r>
          </w:p>
        </w:tc>
        <w:tc>
          <w:tcPr>
            <w:tcW w:type="dxa" w:w="3024"/>
            <w:tcMar>
              <w:top w:w="70" w:type="dxa"/>
              <w:start w:w="90" w:type="dxa"/>
              <w:bottom w:w="70" w:type="dxa"/>
              <w:end w:w="90" w:type="dxa"/>
            </w:tcMar>
          </w:tcPr>
          <w:p>
            <w:pPr>
              <w:spacing w:after="0" w:line="240" w:lineRule="auto"/>
            </w:pPr>
            <w:r>
              <w:rPr>
                <w:rFonts w:ascii="Aptos" w:hAnsi="Aptos"/>
                <w:color w:val="1F2933"/>
                <w:sz w:val="15"/>
              </w:rPr>
              <w:t>Current Active or Maintenance Node.js LTS</w:t>
            </w:r>
          </w:p>
        </w:tc>
        <w:tc>
          <w:tcPr>
            <w:tcW w:type="dxa" w:w="5616"/>
            <w:tcMar>
              <w:top w:w="70" w:type="dxa"/>
              <w:start w:w="90" w:type="dxa"/>
              <w:bottom w:w="70" w:type="dxa"/>
              <w:end w:w="90" w:type="dxa"/>
            </w:tcMar>
          </w:tcPr>
          <w:p>
            <w:pPr>
              <w:spacing w:after="0" w:line="240" w:lineRule="auto"/>
            </w:pPr>
            <w:r>
              <w:rPr>
                <w:rFonts w:ascii="Aptos" w:hAnsi="Aptos"/>
                <w:color w:val="1F2933"/>
                <w:sz w:val="15"/>
              </w:rPr>
              <w:t>Maximum compatibility for PDF/OCR/native packages; Node recommends LTS for production [20]</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Edge runtime</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Deno through InsForge Edge Functions</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Short request/response, signed upload, webhook, and lightweight orchestration [16]</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PDF extraction</w:t>
            </w:r>
          </w:p>
        </w:tc>
        <w:tc>
          <w:tcPr>
            <w:tcW w:type="dxa" w:w="3024"/>
            <w:tcMar>
              <w:top w:w="70" w:type="dxa"/>
              <w:start w:w="90" w:type="dxa"/>
              <w:bottom w:w="70" w:type="dxa"/>
              <w:end w:w="90" w:type="dxa"/>
            </w:tcMar>
          </w:tcPr>
          <w:p>
            <w:pPr>
              <w:spacing w:after="0" w:line="240" w:lineRule="auto"/>
            </w:pPr>
            <w:r>
              <w:rPr>
                <w:rFonts w:ascii="Aptos" w:hAnsi="Aptos"/>
                <w:color w:val="1F2933"/>
                <w:sz w:val="15"/>
              </w:rPr>
              <w:t>pdfjs-dist plus provider adapters</w:t>
            </w:r>
          </w:p>
        </w:tc>
        <w:tc>
          <w:tcPr>
            <w:tcW w:type="dxa" w:w="5616"/>
            <w:tcMar>
              <w:top w:w="70" w:type="dxa"/>
              <w:start w:w="90" w:type="dxa"/>
              <w:bottom w:w="70" w:type="dxa"/>
              <w:end w:w="90" w:type="dxa"/>
            </w:tcMar>
          </w:tcPr>
          <w:p>
            <w:pPr>
              <w:spacing w:after="0" w:line="240" w:lineRule="auto"/>
            </w:pPr>
            <w:r>
              <w:rPr>
                <w:rFonts w:ascii="Aptos" w:hAnsi="Aptos"/>
                <w:color w:val="1F2933"/>
                <w:sz w:val="15"/>
              </w:rPr>
              <w:t>Layout/text extraction with page and coordinate provenance</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HTML extraction</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Cheerio or LinkeDOM in isolated parser</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Static sanitized DOM only; no browser execution</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OCR</w:t>
            </w:r>
          </w:p>
        </w:tc>
        <w:tc>
          <w:tcPr>
            <w:tcW w:type="dxa" w:w="3024"/>
            <w:tcMar>
              <w:top w:w="70" w:type="dxa"/>
              <w:start w:w="90" w:type="dxa"/>
              <w:bottom w:w="70" w:type="dxa"/>
              <w:end w:w="90" w:type="dxa"/>
            </w:tcMar>
          </w:tcPr>
          <w:p>
            <w:pPr>
              <w:spacing w:after="0" w:line="240" w:lineRule="auto"/>
            </w:pPr>
            <w:r>
              <w:rPr>
                <w:rFonts w:ascii="Aptos" w:hAnsi="Aptos"/>
                <w:color w:val="1F2933"/>
                <w:sz w:val="15"/>
              </w:rPr>
              <w:t>Provider-neutral interface</w:t>
            </w:r>
          </w:p>
        </w:tc>
        <w:tc>
          <w:tcPr>
            <w:tcW w:type="dxa" w:w="5616"/>
            <w:tcMar>
              <w:top w:w="70" w:type="dxa"/>
              <w:start w:w="90" w:type="dxa"/>
              <w:bottom w:w="70" w:type="dxa"/>
              <w:end w:w="90" w:type="dxa"/>
            </w:tcMar>
          </w:tcPr>
          <w:p>
            <w:pPr>
              <w:spacing w:after="0" w:line="240" w:lineRule="auto"/>
            </w:pPr>
            <w:r>
              <w:rPr>
                <w:rFonts w:ascii="Aptos" w:hAnsi="Aptos"/>
                <w:color w:val="1F2933"/>
                <w:sz w:val="15"/>
              </w:rPr>
              <w:t>Add after native parsing; preserve page coordinates and confidence</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Rules engine</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Pure TypeScript package</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Deterministic, versioned, database-free evaluation</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Knowledge retrieval</w:t>
            </w:r>
          </w:p>
        </w:tc>
        <w:tc>
          <w:tcPr>
            <w:tcW w:type="dxa" w:w="3024"/>
            <w:tcMar>
              <w:top w:w="70" w:type="dxa"/>
              <w:start w:w="90" w:type="dxa"/>
              <w:bottom w:w="70" w:type="dxa"/>
              <w:end w:w="90" w:type="dxa"/>
            </w:tcMar>
          </w:tcPr>
          <w:p>
            <w:pPr>
              <w:spacing w:after="0" w:line="240" w:lineRule="auto"/>
            </w:pPr>
            <w:r>
              <w:rPr>
                <w:rFonts w:ascii="Aptos" w:hAnsi="Aptos"/>
                <w:color w:val="1F2933"/>
                <w:sz w:val="15"/>
              </w:rPr>
              <w:t>PostgreSQL + pgvector</w:t>
            </w:r>
          </w:p>
        </w:tc>
        <w:tc>
          <w:tcPr>
            <w:tcW w:type="dxa" w:w="5616"/>
            <w:tcMar>
              <w:top w:w="70" w:type="dxa"/>
              <w:start w:w="90" w:type="dxa"/>
              <w:bottom w:w="70" w:type="dxa"/>
              <w:end w:w="90" w:type="dxa"/>
            </w:tcMar>
          </w:tcPr>
          <w:p>
            <w:pPr>
              <w:spacing w:after="0" w:line="240" w:lineRule="auto"/>
            </w:pPr>
            <w:r>
              <w:rPr>
                <w:rFonts w:ascii="Aptos" w:hAnsi="Aptos"/>
                <w:color w:val="1F2933"/>
                <w:sz w:val="15"/>
              </w:rPr>
              <w:t>Approved legal/educational retrieval only [14]</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AI provider</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Provider abstraction with structured JSON</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No direct coupling between business rules and one model vendor</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5"/>
              </w:rPr>
              <w:t>Testing</w:t>
            </w:r>
          </w:p>
        </w:tc>
        <w:tc>
          <w:tcPr>
            <w:tcW w:type="dxa" w:w="3024"/>
            <w:tcMar>
              <w:top w:w="70" w:type="dxa"/>
              <w:start w:w="90" w:type="dxa"/>
              <w:bottom w:w="70" w:type="dxa"/>
              <w:end w:w="90" w:type="dxa"/>
            </w:tcMar>
          </w:tcPr>
          <w:p>
            <w:pPr>
              <w:spacing w:after="0" w:line="240" w:lineRule="auto"/>
            </w:pPr>
            <w:r>
              <w:rPr>
                <w:rFonts w:ascii="Aptos" w:hAnsi="Aptos"/>
                <w:color w:val="1F2933"/>
                <w:sz w:val="15"/>
              </w:rPr>
              <w:t>Vitest, Playwright, golden fixtures, security scanners</w:t>
            </w:r>
          </w:p>
        </w:tc>
        <w:tc>
          <w:tcPr>
            <w:tcW w:type="dxa" w:w="5616"/>
            <w:tcMar>
              <w:top w:w="70" w:type="dxa"/>
              <w:start w:w="90" w:type="dxa"/>
              <w:bottom w:w="70" w:type="dxa"/>
              <w:end w:w="90" w:type="dxa"/>
            </w:tcMar>
          </w:tcPr>
          <w:p>
            <w:pPr>
              <w:spacing w:after="0" w:line="240" w:lineRule="auto"/>
            </w:pPr>
            <w:r>
              <w:rPr>
                <w:rFonts w:ascii="Aptos" w:hAnsi="Aptos"/>
                <w:color w:val="1F2933"/>
                <w:sz w:val="15"/>
              </w:rPr>
              <w:t>Unit, integration, E2E, parser/rule regression, adversarial tests</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5"/>
              </w:rPr>
              <w:t>Observability</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5"/>
              </w:rPr>
              <w:t>OpenTelemetry-compatible traces + Sentry or equivalent</w:t>
            </w:r>
          </w:p>
        </w:tc>
        <w:tc>
          <w:tcPr>
            <w:tcW w:type="dxa" w:w="5616"/>
            <w:tcMar>
              <w:top w:w="70" w:type="dxa"/>
              <w:start w:w="90" w:type="dxa"/>
              <w:bottom w:w="70" w:type="dxa"/>
              <w:end w:w="90" w:type="dxa"/>
            </w:tcMar>
            <w:shd w:fill="F5F7FA"/>
          </w:tcPr>
          <w:p>
            <w:pPr>
              <w:spacing w:after="0" w:line="240" w:lineRule="auto"/>
            </w:pPr>
            <w:r>
              <w:rPr>
                <w:rFonts w:ascii="Aptos" w:hAnsi="Aptos"/>
                <w:color w:val="1F2933"/>
                <w:sz w:val="15"/>
              </w:rPr>
              <w:t>No restricted report data in telemetry</w:t>
            </w:r>
          </w:p>
        </w:tc>
      </w:tr>
    </w:tbl>
    <w:p>
      <w:pPr>
        <w:spacing w:after="20"/>
      </w:pPr>
    </w:p>
    <w:p>
      <w:pPr>
        <w:pStyle w:val="Heading2"/>
        <w:keepNext/>
      </w:pPr>
      <w:r>
        <w:rPr>
          <w:rFonts w:ascii="Aptos Display" w:hAnsi="Aptos Display"/>
          <w:b/>
          <w:color w:val="245D8C"/>
          <w:sz w:val="26"/>
        </w:rPr>
        <w:t>14.2 Runtime policy for Bun</w:t>
      </w:r>
    </w:p>
    <w:p>
      <w:pPr>
        <w:keepNext w:val="0"/>
        <w:spacing w:after="80" w:line="259" w:lineRule="auto"/>
      </w:pPr>
      <w:r>
        <w:rPr>
          <w:rFonts w:ascii="Aptos" w:hAnsi="Aptos"/>
        </w:rPr>
        <w:t>Use Bun for package installation, workspaces, scripts, and optionally compatible tests. Do not require Bun as the initial production runtime for the processing worker. Bun documents broad and improving Node.js compatibility rather than absolute parity; PDF, OCR, native modules, monitoring agents, and security libraries must pass a compatibility matrix before any runtime change. [18][19]</w:t>
      </w:r>
    </w:p>
    <w:p>
      <w:pPr>
        <w:pStyle w:val="Heading2"/>
        <w:keepNext/>
      </w:pPr>
      <w:r>
        <w:rPr>
          <w:rFonts w:ascii="Aptos Display" w:hAnsi="Aptos Display"/>
          <w:b/>
          <w:color w:val="245D8C"/>
          <w:sz w:val="26"/>
        </w:rPr>
        <w:t>14.3 InsForge boundaries</w:t>
      </w:r>
    </w:p>
    <w:p>
      <w:pPr>
        <w:pStyle w:val="ListBullet"/>
        <w:spacing w:after="40" w:line="250" w:lineRule="auto"/>
        <w:ind w:left="0"/>
      </w:pPr>
      <w:r>
        <w:rPr>
          <w:rFonts w:ascii="Aptos" w:hAnsi="Aptos"/>
        </w:rPr>
        <w:t>Use InsForge database, auth, private storage, RLS, Sites, and short edge functions as the application platform.</w:t>
      </w:r>
    </w:p>
    <w:p>
      <w:pPr>
        <w:pStyle w:val="ListBullet"/>
        <w:spacing w:after="40" w:line="250" w:lineRule="auto"/>
        <w:ind w:left="0"/>
      </w:pPr>
      <w:r>
        <w:rPr>
          <w:rFonts w:ascii="Aptos" w:hAnsi="Aptos"/>
        </w:rPr>
        <w:t>Use InsForge Compute for durable workers, queues, AI inference loops, and other long-running services. Official documentation distinguishes Compute for long-running workers from Sites and Deno edge functions. [16][17]</w:t>
      </w:r>
    </w:p>
    <w:p>
      <w:pPr>
        <w:pStyle w:val="ListBullet"/>
        <w:spacing w:after="40" w:line="250" w:lineRule="auto"/>
        <w:ind w:left="0"/>
      </w:pPr>
      <w:r>
        <w:rPr>
          <w:rFonts w:ascii="Aptos" w:hAnsi="Aptos"/>
        </w:rPr>
        <w:t>Do not place the complete parsing pipeline inside a browser, edge request, or synchronous upload response.</w:t>
      </w:r>
    </w:p>
    <w:p>
      <w:pPr>
        <w:pStyle w:val="ListBullet"/>
        <w:spacing w:after="40" w:line="250" w:lineRule="auto"/>
        <w:ind w:left="0"/>
      </w:pPr>
      <w:r>
        <w:rPr>
          <w:rFonts w:ascii="Aptos" w:hAnsi="Aptos"/>
        </w:rPr>
        <w:t>Do not embed critical legal/rule logic exclusively in platform triggers; keep it in versioned TypeScript packages with tests.</w:t>
      </w:r>
    </w:p>
    <w:p>
      <w:pPr>
        <w:pStyle w:val="ListBullet"/>
        <w:spacing w:after="40" w:line="250" w:lineRule="auto"/>
        <w:ind w:left="0"/>
      </w:pPr>
      <w:r>
        <w:rPr>
          <w:rFonts w:ascii="Aptos" w:hAnsi="Aptos"/>
        </w:rPr>
        <w:t>Use SQL migrations in source control, not dashboard-only schema changes.</w:t>
      </w:r>
    </w:p>
    <w:p>
      <w:pPr>
        <w:pStyle w:val="Heading2"/>
        <w:keepNext/>
      </w:pPr>
      <w:r>
        <w:rPr>
          <w:rFonts w:ascii="Aptos Display" w:hAnsi="Aptos Display"/>
          <w:b/>
          <w:color w:val="245D8C"/>
          <w:sz w:val="26"/>
        </w:rPr>
        <w:t>14.4 Monorepo</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credit-analysis/</w:t>
            </w:r>
            <w:r>
              <w:br/>
            </w:r>
            <w:r>
              <w:rPr>
                <w:rFonts w:ascii="Liberation Mono" w:hAnsi="Liberation Mono"/>
                <w:color w:val="263238"/>
                <w:sz w:val="16"/>
              </w:rPr>
              <w:t>├── apps/{web,worker,admin}</w:t>
            </w:r>
            <w:r>
              <w:br/>
            </w:r>
            <w:r>
              <w:rPr>
                <w:rFonts w:ascii="Liberation Mono" w:hAnsi="Liberation Mono"/>
                <w:color w:val="263238"/>
                <w:sz w:val="16"/>
              </w:rPr>
              <w:t>├── packages/</w:t>
            </w:r>
            <w:r>
              <w:br/>
            </w:r>
            <w:r>
              <w:rPr>
                <w:rFonts w:ascii="Liberation Mono" w:hAnsi="Liberation Mono"/>
                <w:color w:val="263238"/>
                <w:sz w:val="16"/>
              </w:rPr>
              <w:t>│   ├── {domain,schemas,report-parser,normalization}</w:t>
            </w:r>
            <w:r>
              <w:br/>
            </w:r>
            <w:r>
              <w:rPr>
                <w:rFonts w:ascii="Liberation Mono" w:hAnsi="Liberation Mono"/>
                <w:color w:val="263238"/>
                <w:sz w:val="16"/>
              </w:rPr>
              <w:t>│   ├── {account-matching,rules-engine,knowledge,ai}</w:t>
            </w:r>
            <w:r>
              <w:br/>
            </w:r>
            <w:r>
              <w:rPr>
                <w:rFonts w:ascii="Liberation Mono" w:hAnsi="Liberation Mono"/>
                <w:color w:val="263238"/>
                <w:sz w:val="16"/>
              </w:rPr>
              <w:t>│   └── {security,testing}</w:t>
            </w:r>
            <w:r>
              <w:br/>
            </w:r>
            <w:r>
              <w:rPr>
                <w:rFonts w:ascii="Liberation Mono" w:hAnsi="Liberation Mono"/>
                <w:color w:val="263238"/>
                <w:sz w:val="16"/>
              </w:rPr>
              <w:t>├── database/{migrations,policies,seeds}</w:t>
            </w:r>
            <w:r>
              <w:br/>
            </w:r>
            <w:r>
              <w:rPr>
                <w:rFonts w:ascii="Liberation Mono" w:hAnsi="Liberation Mono"/>
                <w:color w:val="263238"/>
                <w:sz w:val="16"/>
              </w:rPr>
              <w:t>└── fixtures/{synthetic-reports,malicious-documents,expected-results}</w:t>
            </w:r>
          </w:p>
        </w:tc>
        <w:trPr>
          <w:tblHeader/>
        </w:trPr>
      </w:tr>
    </w:tbl>
    <w:p>
      <w:pPr>
        <w:spacing w:after="0"/>
      </w:pPr>
    </w:p>
    <w:p>
      <w:pPr>
        <w:pStyle w:val="Heading2"/>
        <w:keepNext/>
      </w:pPr>
      <w:r>
        <w:rPr>
          <w:rFonts w:ascii="Aptos Display" w:hAnsi="Aptos Display"/>
          <w:b/>
          <w:color w:val="245D8C"/>
          <w:sz w:val="26"/>
        </w:rPr>
        <w:t>14.5 Processing job state machine</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CREATED -&gt; UPLOAD_VERIFIED -&gt; MALWARE_SCANNED -&gt; EXTRACTING</w:t>
            </w:r>
            <w:r>
              <w:br/>
            </w:r>
            <w:r>
              <w:rPr>
                <w:rFonts w:ascii="Liberation Mono" w:hAnsi="Liberation Mono"/>
                <w:color w:val="263238"/>
                <w:sz w:val="16"/>
              </w:rPr>
              <w:t>-&gt; NORMALIZING -&gt; USER_REVIEW_REQUIRED -&gt; READY_FOR_ANALYSIS</w:t>
            </w:r>
            <w:r>
              <w:br/>
            </w:r>
            <w:r>
              <w:rPr>
                <w:rFonts w:ascii="Liberation Mono" w:hAnsi="Liberation Mono"/>
                <w:color w:val="263238"/>
                <w:sz w:val="16"/>
              </w:rPr>
              <w:t>-&gt; ANALYZING -&gt; GENERATING_EXPLANATIONS -&gt; VALIDATING_OUTPUT</w:t>
            </w:r>
            <w:r>
              <w:br/>
            </w:r>
            <w:r>
              <w:rPr>
                <w:rFonts w:ascii="Liberation Mono" w:hAnsi="Liberation Mono"/>
                <w:color w:val="263238"/>
                <w:sz w:val="16"/>
              </w:rPr>
              <w:t>-&gt; COMPLETE</w:t>
            </w:r>
            <w:r>
              <w:br/>
            </w:r>
            <w:r>
              <w:rPr>
                <w:rFonts w:ascii="Liberation Mono" w:hAnsi="Liberation Mono"/>
                <w:color w:val="263238"/>
                <w:sz w:val="16"/>
              </w:rPr>
            </w:r>
            <w:r>
              <w:br/>
            </w:r>
            <w:r>
              <w:rPr>
                <w:rFonts w:ascii="Liberation Mono" w:hAnsi="Liberation Mono"/>
                <w:color w:val="263238"/>
                <w:sz w:val="16"/>
              </w:rPr>
              <w:t>Any stage -&gt; FAILED_RETRYABLE | FAILED_FINAL | QUARANTINED | DELETION_PENDING</w:t>
            </w:r>
          </w:p>
        </w:tc>
        <w:trPr>
          <w:tblHeader/>
        </w:trPr>
      </w:tr>
    </w:tbl>
    <w:p>
      <w:pPr>
        <w:spacing w:after="0"/>
      </w:pPr>
    </w:p>
    <w:p>
      <w:pPr>
        <w:pStyle w:val="Heading2"/>
        <w:keepNext/>
      </w:pPr>
      <w:r>
        <w:rPr>
          <w:rFonts w:ascii="Aptos Display" w:hAnsi="Aptos Display"/>
          <w:b/>
          <w:color w:val="245D8C"/>
          <w:sz w:val="26"/>
        </w:rPr>
        <w:t>14.6 Key API surface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952"/>
            <w:shd w:fill="17324D"/>
            <w:tcMar>
              <w:top w:w="80" w:type="dxa"/>
              <w:start w:w="90" w:type="dxa"/>
              <w:bottom w:w="80" w:type="dxa"/>
              <w:end w:w="90" w:type="dxa"/>
            </w:tcMar>
            <w:vAlign w:val="center"/>
          </w:tcPr>
          <w:p>
            <w:pPr>
              <w:spacing w:after="0"/>
            </w:pPr>
            <w:r>
              <w:rPr>
                <w:rFonts w:ascii="Aptos" w:hAnsi="Aptos"/>
                <w:b/>
                <w:color w:val="FFFFFF"/>
                <w:sz w:val="14"/>
              </w:rPr>
              <w:t>Endpoint / command</w:t>
            </w:r>
          </w:p>
        </w:tc>
        <w:tc>
          <w:tcPr>
            <w:tcW w:type="dxa" w:w="3672"/>
            <w:shd w:fill="17324D"/>
            <w:tcMar>
              <w:top w:w="80" w:type="dxa"/>
              <w:start w:w="90" w:type="dxa"/>
              <w:bottom w:w="80" w:type="dxa"/>
              <w:end w:w="90" w:type="dxa"/>
            </w:tcMar>
            <w:vAlign w:val="center"/>
          </w:tcPr>
          <w:p>
            <w:pPr>
              <w:spacing w:after="0"/>
            </w:pPr>
            <w:r>
              <w:rPr>
                <w:rFonts w:ascii="Aptos" w:hAnsi="Aptos"/>
                <w:b/>
                <w:color w:val="FFFFFF"/>
                <w:sz w:val="14"/>
              </w:rPr>
              <w:t>Purpose</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4"/>
              </w:rPr>
              <w:t>Security requirement</w:t>
            </w:r>
          </w:p>
        </w:tc>
      </w:tr>
      <w:tr>
        <w:trPr>
          <w:cantSplit/>
        </w:trPr>
        <w:tc>
          <w:tcPr>
            <w:tcW w:type="dxa" w:w="2952"/>
            <w:tcMar>
              <w:top w:w="70" w:type="dxa"/>
              <w:start w:w="90" w:type="dxa"/>
              <w:bottom w:w="70" w:type="dxa"/>
              <w:end w:w="90" w:type="dxa"/>
            </w:tcMar>
          </w:tcPr>
          <w:p>
            <w:pPr>
              <w:spacing w:after="0" w:line="240" w:lineRule="auto"/>
            </w:pPr>
            <w:r>
              <w:rPr>
                <w:rFonts w:ascii="Aptos" w:hAnsi="Aptos"/>
                <w:color w:val="1F2933"/>
                <w:sz w:val="14"/>
              </w:rPr>
              <w:t>POST /uploads/init</w:t>
            </w:r>
          </w:p>
        </w:tc>
        <w:tc>
          <w:tcPr>
            <w:tcW w:type="dxa" w:w="3672"/>
            <w:tcMar>
              <w:top w:w="70" w:type="dxa"/>
              <w:start w:w="90" w:type="dxa"/>
              <w:bottom w:w="70" w:type="dxa"/>
              <w:end w:w="90" w:type="dxa"/>
            </w:tcMar>
          </w:tcPr>
          <w:p>
            <w:pPr>
              <w:spacing w:after="0" w:line="240" w:lineRule="auto"/>
            </w:pPr>
            <w:r>
              <w:rPr>
                <w:rFonts w:ascii="Aptos" w:hAnsi="Aptos"/>
                <w:color w:val="1F2933"/>
                <w:sz w:val="14"/>
              </w:rPr>
              <w:t>Create report and signed upload capability</w:t>
            </w:r>
          </w:p>
        </w:tc>
        <w:tc>
          <w:tcPr>
            <w:tcW w:type="dxa" w:w="3816"/>
            <w:tcMar>
              <w:top w:w="70" w:type="dxa"/>
              <w:start w:w="90" w:type="dxa"/>
              <w:bottom w:w="70" w:type="dxa"/>
              <w:end w:w="90" w:type="dxa"/>
            </w:tcMar>
          </w:tcPr>
          <w:p>
            <w:pPr>
              <w:spacing w:after="0" w:line="240" w:lineRule="auto"/>
            </w:pPr>
            <w:r>
              <w:rPr>
                <w:rFonts w:ascii="Aptos" w:hAnsi="Aptos"/>
                <w:color w:val="1F2933"/>
                <w:sz w:val="14"/>
              </w:rPr>
              <w:t>Authenticated, ownership consent, rate limit, file constraints</w:t>
            </w:r>
          </w:p>
        </w:tc>
      </w:tr>
      <w:tr>
        <w:trPr>
          <w:cantSplit/>
        </w:trPr>
        <w:tc>
          <w:tcPr>
            <w:tcW w:type="dxa" w:w="2952"/>
            <w:tcMar>
              <w:top w:w="70" w:type="dxa"/>
              <w:start w:w="90" w:type="dxa"/>
              <w:bottom w:w="70" w:type="dxa"/>
              <w:end w:w="90" w:type="dxa"/>
            </w:tcMar>
            <w:shd w:fill="F5F7FA"/>
          </w:tcPr>
          <w:p>
            <w:pPr>
              <w:spacing w:after="0" w:line="240" w:lineRule="auto"/>
            </w:pPr>
            <w:r>
              <w:rPr>
                <w:rFonts w:ascii="Aptos" w:hAnsi="Aptos"/>
                <w:color w:val="1F2933"/>
                <w:sz w:val="14"/>
              </w:rPr>
              <w:t>POST /uploads/complete</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4"/>
              </w:rPr>
              <w:t>Confirm upload hash and enqueue scan</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4"/>
              </w:rPr>
              <w:t>Idempotent; object must belong to user</w:t>
            </w:r>
          </w:p>
        </w:tc>
      </w:tr>
      <w:tr>
        <w:trPr>
          <w:cantSplit/>
        </w:trPr>
        <w:tc>
          <w:tcPr>
            <w:tcW w:type="dxa" w:w="2952"/>
            <w:tcMar>
              <w:top w:w="70" w:type="dxa"/>
              <w:start w:w="90" w:type="dxa"/>
              <w:bottom w:w="70" w:type="dxa"/>
              <w:end w:w="90" w:type="dxa"/>
            </w:tcMar>
          </w:tcPr>
          <w:p>
            <w:pPr>
              <w:spacing w:after="0" w:line="240" w:lineRule="auto"/>
            </w:pPr>
            <w:r>
              <w:rPr>
                <w:rFonts w:ascii="Aptos" w:hAnsi="Aptos"/>
                <w:color w:val="1F2933"/>
                <w:sz w:val="14"/>
              </w:rPr>
              <w:t>GET /reports/{id}/status</w:t>
            </w:r>
          </w:p>
        </w:tc>
        <w:tc>
          <w:tcPr>
            <w:tcW w:type="dxa" w:w="3672"/>
            <w:tcMar>
              <w:top w:w="70" w:type="dxa"/>
              <w:start w:w="90" w:type="dxa"/>
              <w:bottom w:w="70" w:type="dxa"/>
              <w:end w:w="90" w:type="dxa"/>
            </w:tcMar>
          </w:tcPr>
          <w:p>
            <w:pPr>
              <w:spacing w:after="0" w:line="240" w:lineRule="auto"/>
            </w:pPr>
            <w:r>
              <w:rPr>
                <w:rFonts w:ascii="Aptos" w:hAnsi="Aptos"/>
                <w:color w:val="1F2933"/>
                <w:sz w:val="14"/>
              </w:rPr>
              <w:t>Return stage and user-action requirement</w:t>
            </w:r>
          </w:p>
        </w:tc>
        <w:tc>
          <w:tcPr>
            <w:tcW w:type="dxa" w:w="3816"/>
            <w:tcMar>
              <w:top w:w="70" w:type="dxa"/>
              <w:start w:w="90" w:type="dxa"/>
              <w:bottom w:w="70" w:type="dxa"/>
              <w:end w:w="90" w:type="dxa"/>
            </w:tcMar>
          </w:tcPr>
          <w:p>
            <w:pPr>
              <w:spacing w:after="0" w:line="240" w:lineRule="auto"/>
            </w:pPr>
            <w:r>
              <w:rPr>
                <w:rFonts w:ascii="Aptos" w:hAnsi="Aptos"/>
                <w:color w:val="1F2933"/>
                <w:sz w:val="14"/>
              </w:rPr>
              <w:t>Tenant RLS; no internal stack traces</w:t>
            </w:r>
          </w:p>
        </w:tc>
      </w:tr>
      <w:tr>
        <w:trPr>
          <w:cantSplit/>
        </w:trPr>
        <w:tc>
          <w:tcPr>
            <w:tcW w:type="dxa" w:w="2952"/>
            <w:tcMar>
              <w:top w:w="70" w:type="dxa"/>
              <w:start w:w="90" w:type="dxa"/>
              <w:bottom w:w="70" w:type="dxa"/>
              <w:end w:w="90" w:type="dxa"/>
            </w:tcMar>
            <w:shd w:fill="F5F7FA"/>
          </w:tcPr>
          <w:p>
            <w:pPr>
              <w:spacing w:after="0" w:line="240" w:lineRule="auto"/>
            </w:pPr>
            <w:r>
              <w:rPr>
                <w:rFonts w:ascii="Aptos" w:hAnsi="Aptos"/>
                <w:color w:val="1F2933"/>
                <w:sz w:val="14"/>
              </w:rPr>
              <w:t>GET /reports/{id}/review</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4"/>
              </w:rPr>
              <w:t>Return masked normalized entities and source references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4"/>
              </w:rPr>
              <w:t>Tenant RLS; signed source snippets only</w:t>
            </w:r>
          </w:p>
        </w:tc>
      </w:tr>
      <w:tr>
        <w:trPr>
          <w:cantSplit/>
        </w:trPr>
        <w:tc>
          <w:tcPr>
            <w:tcW w:type="dxa" w:w="2952"/>
            <w:tcMar>
              <w:top w:w="70" w:type="dxa"/>
              <w:start w:w="90" w:type="dxa"/>
              <w:bottom w:w="70" w:type="dxa"/>
              <w:end w:w="90" w:type="dxa"/>
            </w:tcMar>
          </w:tcPr>
          <w:p>
            <w:pPr>
              <w:spacing w:after="0" w:line="240" w:lineRule="auto"/>
            </w:pPr>
            <w:r>
              <w:rPr>
                <w:rFonts w:ascii="Aptos" w:hAnsi="Aptos"/>
                <w:color w:val="1F2933"/>
                <w:sz w:val="14"/>
              </w:rPr>
              <w:t>PATCH /reports/{id}/corrections</w:t>
            </w:r>
          </w:p>
        </w:tc>
        <w:tc>
          <w:tcPr>
            <w:tcW w:type="dxa" w:w="3672"/>
            <w:tcMar>
              <w:top w:w="70" w:type="dxa"/>
              <w:start w:w="90" w:type="dxa"/>
              <w:bottom w:w="70" w:type="dxa"/>
              <w:end w:w="90" w:type="dxa"/>
            </w:tcMar>
          </w:tcPr>
          <w:p>
            <w:pPr>
              <w:spacing w:after="0" w:line="240" w:lineRule="auto"/>
            </w:pPr>
            <w:r>
              <w:rPr>
                <w:rFonts w:ascii="Aptos" w:hAnsi="Aptos"/>
                <w:color w:val="1F2933"/>
                <w:sz w:val="14"/>
              </w:rPr>
              <w:t>Record user correction/confirmation</w:t>
            </w:r>
          </w:p>
        </w:tc>
        <w:tc>
          <w:tcPr>
            <w:tcW w:type="dxa" w:w="3816"/>
            <w:tcMar>
              <w:top w:w="70" w:type="dxa"/>
              <w:start w:w="90" w:type="dxa"/>
              <w:bottom w:w="70" w:type="dxa"/>
              <w:end w:w="90" w:type="dxa"/>
            </w:tcMar>
          </w:tcPr>
          <w:p>
            <w:pPr>
              <w:spacing w:after="0" w:line="240" w:lineRule="auto"/>
            </w:pPr>
            <w:r>
              <w:rPr>
                <w:rFonts w:ascii="Aptos" w:hAnsi="Aptos"/>
                <w:color w:val="1F2933"/>
                <w:sz w:val="14"/>
              </w:rPr>
              <w:t>Schema validation, optimistic concurrency, immutable history</w:t>
            </w:r>
          </w:p>
        </w:tc>
      </w:tr>
      <w:tr>
        <w:trPr>
          <w:cantSplit/>
        </w:trPr>
        <w:tc>
          <w:tcPr>
            <w:tcW w:type="dxa" w:w="2952"/>
            <w:tcMar>
              <w:top w:w="70" w:type="dxa"/>
              <w:start w:w="90" w:type="dxa"/>
              <w:bottom w:w="70" w:type="dxa"/>
              <w:end w:w="90" w:type="dxa"/>
            </w:tcMar>
            <w:shd w:fill="F5F7FA"/>
          </w:tcPr>
          <w:p>
            <w:pPr>
              <w:spacing w:after="0" w:line="240" w:lineRule="auto"/>
            </w:pPr>
            <w:r>
              <w:rPr>
                <w:rFonts w:ascii="Aptos" w:hAnsi="Aptos"/>
                <w:color w:val="1F2933"/>
                <w:sz w:val="14"/>
              </w:rPr>
              <w:t>POST /reports/{id}/analyze</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4"/>
              </w:rPr>
              <w:t>Create immutable analysis run</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4"/>
              </w:rPr>
              <w:t>Requires review completion and active jurisdiction ruleset</w:t>
            </w:r>
          </w:p>
        </w:tc>
      </w:tr>
      <w:tr>
        <w:trPr>
          <w:cantSplit/>
        </w:trPr>
        <w:tc>
          <w:tcPr>
            <w:tcW w:type="dxa" w:w="2952"/>
            <w:tcMar>
              <w:top w:w="70" w:type="dxa"/>
              <w:start w:w="90" w:type="dxa"/>
              <w:bottom w:w="70" w:type="dxa"/>
              <w:end w:w="90" w:type="dxa"/>
            </w:tcMar>
          </w:tcPr>
          <w:p>
            <w:pPr>
              <w:spacing w:after="0" w:line="240" w:lineRule="auto"/>
            </w:pPr>
            <w:r>
              <w:rPr>
                <w:rFonts w:ascii="Aptos" w:hAnsi="Aptos"/>
                <w:color w:val="1F2933"/>
                <w:sz w:val="14"/>
              </w:rPr>
              <w:t>GET /analyses/{id}</w:t>
            </w:r>
          </w:p>
        </w:tc>
        <w:tc>
          <w:tcPr>
            <w:tcW w:type="dxa" w:w="3672"/>
            <w:tcMar>
              <w:top w:w="70" w:type="dxa"/>
              <w:start w:w="90" w:type="dxa"/>
              <w:bottom w:w="70" w:type="dxa"/>
              <w:end w:w="90" w:type="dxa"/>
            </w:tcMar>
          </w:tcPr>
          <w:p>
            <w:pPr>
              <w:spacing w:after="0" w:line="240" w:lineRule="auto"/>
            </w:pPr>
            <w:r>
              <w:rPr>
                <w:rFonts w:ascii="Aptos" w:hAnsi="Aptos"/>
                <w:color w:val="1F2933"/>
                <w:sz w:val="14"/>
              </w:rPr>
              <w:t>Return validated structured report</w:t>
            </w:r>
          </w:p>
        </w:tc>
        <w:tc>
          <w:tcPr>
            <w:tcW w:type="dxa" w:w="3816"/>
            <w:tcMar>
              <w:top w:w="70" w:type="dxa"/>
              <w:start w:w="90" w:type="dxa"/>
              <w:bottom w:w="70" w:type="dxa"/>
              <w:end w:w="90" w:type="dxa"/>
            </w:tcMar>
          </w:tcPr>
          <w:p>
            <w:pPr>
              <w:spacing w:after="0" w:line="240" w:lineRule="auto"/>
            </w:pPr>
            <w:r>
              <w:rPr>
                <w:rFonts w:ascii="Aptos" w:hAnsi="Aptos"/>
                <w:color w:val="1F2933"/>
                <w:sz w:val="14"/>
              </w:rPr>
              <w:t>Tenant RLS and entitlement check</w:t>
            </w:r>
          </w:p>
        </w:tc>
      </w:tr>
      <w:tr>
        <w:trPr>
          <w:cantSplit/>
        </w:trPr>
        <w:tc>
          <w:tcPr>
            <w:tcW w:type="dxa" w:w="2952"/>
            <w:tcMar>
              <w:top w:w="70" w:type="dxa"/>
              <w:start w:w="90" w:type="dxa"/>
              <w:bottom w:w="70" w:type="dxa"/>
              <w:end w:w="90" w:type="dxa"/>
            </w:tcMar>
            <w:shd w:fill="F5F7FA"/>
          </w:tcPr>
          <w:p>
            <w:pPr>
              <w:spacing w:after="0" w:line="240" w:lineRule="auto"/>
            </w:pPr>
            <w:r>
              <w:rPr>
                <w:rFonts w:ascii="Aptos" w:hAnsi="Aptos"/>
                <w:color w:val="1F2933"/>
                <w:sz w:val="14"/>
              </w:rPr>
              <w:t>POST /exports</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4"/>
              </w:rPr>
              <w:t>Generate masked report export</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4"/>
              </w:rPr>
              <w:t>Explicit user request; audit event</w:t>
            </w:r>
          </w:p>
        </w:tc>
      </w:tr>
      <w:tr>
        <w:trPr>
          <w:cantSplit/>
        </w:trPr>
        <w:tc>
          <w:tcPr>
            <w:tcW w:type="dxa" w:w="2952"/>
            <w:tcMar>
              <w:top w:w="70" w:type="dxa"/>
              <w:start w:w="90" w:type="dxa"/>
              <w:bottom w:w="70" w:type="dxa"/>
              <w:end w:w="90" w:type="dxa"/>
            </w:tcMar>
          </w:tcPr>
          <w:p>
            <w:pPr>
              <w:spacing w:after="0" w:line="240" w:lineRule="auto"/>
            </w:pPr>
            <w:r>
              <w:rPr>
                <w:rFonts w:ascii="Aptos" w:hAnsi="Aptos"/>
                <w:color w:val="1F2933"/>
                <w:sz w:val="14"/>
              </w:rPr>
              <w:t>POST /deletions</w:t>
            </w:r>
          </w:p>
        </w:tc>
        <w:tc>
          <w:tcPr>
            <w:tcW w:type="dxa" w:w="3672"/>
            <w:tcMar>
              <w:top w:w="70" w:type="dxa"/>
              <w:start w:w="90" w:type="dxa"/>
              <w:bottom w:w="70" w:type="dxa"/>
              <w:end w:w="90" w:type="dxa"/>
            </w:tcMar>
          </w:tcPr>
          <w:p>
            <w:pPr>
              <w:spacing w:after="0" w:line="240" w:lineRule="auto"/>
            </w:pPr>
            <w:r>
              <w:rPr>
                <w:rFonts w:ascii="Aptos" w:hAnsi="Aptos"/>
                <w:color w:val="1F2933"/>
                <w:sz w:val="14"/>
              </w:rPr>
              <w:t>Delete selected report or account scope</w:t>
            </w:r>
          </w:p>
        </w:tc>
        <w:tc>
          <w:tcPr>
            <w:tcW w:type="dxa" w:w="3816"/>
            <w:tcMar>
              <w:top w:w="70" w:type="dxa"/>
              <w:start w:w="90" w:type="dxa"/>
              <w:bottom w:w="70" w:type="dxa"/>
              <w:end w:w="90" w:type="dxa"/>
            </w:tcMar>
          </w:tcPr>
          <w:p>
            <w:pPr>
              <w:spacing w:after="0" w:line="240" w:lineRule="auto"/>
            </w:pPr>
            <w:r>
              <w:rPr>
                <w:rFonts w:ascii="Aptos" w:hAnsi="Aptos"/>
                <w:color w:val="1F2933"/>
                <w:sz w:val="14"/>
              </w:rPr>
              <w:t>Reauthentication for high-impact deletion; status tracking</w:t>
            </w:r>
          </w:p>
        </w:tc>
      </w:tr>
      <w:tr>
        <w:trPr>
          <w:cantSplit/>
        </w:trPr>
        <w:tc>
          <w:tcPr>
            <w:tcW w:type="dxa" w:w="2952"/>
            <w:tcMar>
              <w:top w:w="70" w:type="dxa"/>
              <w:start w:w="90" w:type="dxa"/>
              <w:bottom w:w="70" w:type="dxa"/>
              <w:end w:w="90" w:type="dxa"/>
            </w:tcMar>
            <w:shd w:fill="F5F7FA"/>
          </w:tcPr>
          <w:p>
            <w:pPr>
              <w:spacing w:after="0" w:line="240" w:lineRule="auto"/>
            </w:pPr>
            <w:r>
              <w:rPr>
                <w:rFonts w:ascii="Aptos" w:hAnsi="Aptos"/>
                <w:color w:val="1F2933"/>
                <w:sz w:val="14"/>
              </w:rPr>
              <w:t>Admin rule publish</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4"/>
              </w:rPr>
              <w:t>Publish approved ruleset</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4"/>
              </w:rPr>
              <w:t>Privileged role, MFA, two-person approval, immutable diff</w:t>
            </w:r>
          </w:p>
        </w:tc>
      </w:tr>
    </w:tbl>
    <w:p>
      <w:pPr>
        <w:spacing w:after="20"/>
      </w:pPr>
    </w:p>
    <w:p>
      <w:pPr>
        <w:pStyle w:val="Heading2"/>
        <w:keepNext/>
      </w:pPr>
      <w:r>
        <w:rPr>
          <w:rFonts w:ascii="Aptos Display" w:hAnsi="Aptos Display"/>
          <w:b/>
          <w:color w:val="245D8C"/>
          <w:sz w:val="26"/>
        </w:rPr>
        <w:t>14.7 Portability and failure strategy</w:t>
      </w:r>
    </w:p>
    <w:p>
      <w:pPr>
        <w:pStyle w:val="ListBullet"/>
        <w:spacing w:after="40" w:line="250" w:lineRule="auto"/>
        <w:ind w:left="0"/>
      </w:pPr>
      <w:r>
        <w:rPr>
          <w:rFonts w:ascii="Aptos" w:hAnsi="Aptos"/>
        </w:rPr>
        <w:t>Use an outbox/idempotency pattern so database state and job enqueueing cannot diverge silently.</w:t>
      </w:r>
    </w:p>
    <w:p>
      <w:pPr>
        <w:pStyle w:val="ListBullet"/>
        <w:spacing w:after="40" w:line="250" w:lineRule="auto"/>
        <w:ind w:left="0"/>
      </w:pPr>
      <w:r>
        <w:rPr>
          <w:rFonts w:ascii="Aptos" w:hAnsi="Aptos"/>
        </w:rPr>
        <w:t>Every stage is retryable only when idempotent; duplicate work must not create duplicate findings, charges, or exports.</w:t>
      </w:r>
    </w:p>
    <w:p>
      <w:pPr>
        <w:pStyle w:val="ListBullet"/>
        <w:spacing w:after="40" w:line="250" w:lineRule="auto"/>
        <w:ind w:left="0"/>
      </w:pPr>
      <w:r>
        <w:rPr>
          <w:rFonts w:ascii="Aptos" w:hAnsi="Aptos"/>
        </w:rPr>
        <w:t>Store normalized intermediate versions so a model or export failure does not require reparsing the document.</w:t>
      </w:r>
    </w:p>
    <w:p>
      <w:pPr>
        <w:pStyle w:val="ListBullet"/>
        <w:spacing w:after="40" w:line="250" w:lineRule="auto"/>
        <w:ind w:left="0"/>
      </w:pPr>
      <w:r>
        <w:rPr>
          <w:rFonts w:ascii="Aptos" w:hAnsi="Aptos"/>
        </w:rPr>
        <w:t>Provider adapters expose stable interfaces for storage, OCR, model generation, and notification.</w:t>
      </w:r>
    </w:p>
    <w:p>
      <w:pPr>
        <w:pStyle w:val="ListBullet"/>
        <w:spacing w:after="40" w:line="250" w:lineRule="auto"/>
        <w:ind w:left="0"/>
      </w:pPr>
      <w:r>
        <w:rPr>
          <w:rFonts w:ascii="Aptos" w:hAnsi="Aptos"/>
        </w:rPr>
        <w:t>A deterministic template renderer provides a degraded-mode report if the LLM is unavailable.</w:t>
      </w:r>
    </w:p>
    <w:p>
      <w:pPr>
        <w:pStyle w:val="Heading1"/>
        <w:pageBreakBefore/>
      </w:pPr>
      <w:r>
        <w:rPr>
          <w:rFonts w:ascii="Aptos Display" w:hAnsi="Aptos Display"/>
          <w:b/>
          <w:color w:val="17324D"/>
          <w:sz w:val="36"/>
        </w:rPr>
        <w:t>15. Non-Functional Requirements and Service Objectives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80" w:type="dxa"/>
              <w:start w:w="90" w:type="dxa"/>
              <w:bottom w:w="80" w:type="dxa"/>
              <w:end w:w="90" w:type="dxa"/>
            </w:tcMar>
            <w:vAlign w:val="center"/>
          </w:tcPr>
          <w:p>
            <w:pPr>
              <w:spacing w:after="0"/>
            </w:pPr>
            <w:r>
              <w:rPr>
                <w:rFonts w:ascii="Aptos" w:hAnsi="Aptos"/>
                <w:b/>
                <w:color w:val="FFFFFF"/>
                <w:sz w:val="15"/>
              </w:rPr>
              <w:t>Category</w:t>
            </w:r>
          </w:p>
        </w:tc>
        <w:tc>
          <w:tcPr>
            <w:tcW w:type="dxa" w:w="5184"/>
            <w:shd w:fill="17324D"/>
            <w:tcMar>
              <w:top w:w="80" w:type="dxa"/>
              <w:start w:w="90" w:type="dxa"/>
              <w:bottom w:w="80" w:type="dxa"/>
              <w:end w:w="90" w:type="dxa"/>
            </w:tcMar>
            <w:vAlign w:val="center"/>
          </w:tcPr>
          <w:p>
            <w:pPr>
              <w:spacing w:after="0"/>
            </w:pPr>
            <w:r>
              <w:rPr>
                <w:rFonts w:ascii="Aptos" w:hAnsi="Aptos"/>
                <w:b/>
                <w:color w:val="FFFFFF"/>
                <w:sz w:val="15"/>
              </w:rPr>
              <w:t>MVP requirement</w:t>
            </w:r>
          </w:p>
        </w:tc>
        <w:tc>
          <w:tcPr>
            <w:tcW w:type="dxa" w:w="3312"/>
            <w:shd w:fill="17324D"/>
            <w:tcMar>
              <w:top w:w="80" w:type="dxa"/>
              <w:start w:w="90" w:type="dxa"/>
              <w:bottom w:w="80" w:type="dxa"/>
              <w:end w:w="90" w:type="dxa"/>
            </w:tcMar>
            <w:vAlign w:val="center"/>
          </w:tcPr>
          <w:p>
            <w:pPr>
              <w:spacing w:after="0"/>
            </w:pPr>
            <w:r>
              <w:rPr>
                <w:rFonts w:ascii="Aptos" w:hAnsi="Aptos"/>
                <w:b/>
                <w:color w:val="FFFFFF"/>
                <w:sz w:val="15"/>
              </w:rPr>
              <w:t>Measurement</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Availability</w:t>
            </w:r>
          </w:p>
        </w:tc>
        <w:tc>
          <w:tcPr>
            <w:tcW w:type="dxa" w:w="5184"/>
            <w:tcMar>
              <w:top w:w="70" w:type="dxa"/>
              <w:start w:w="90" w:type="dxa"/>
              <w:bottom w:w="70" w:type="dxa"/>
              <w:end w:w="90" w:type="dxa"/>
            </w:tcMar>
          </w:tcPr>
          <w:p>
            <w:pPr>
              <w:spacing w:after="0" w:line="240" w:lineRule="auto"/>
            </w:pPr>
            <w:r>
              <w:rPr>
                <w:rFonts w:ascii="Aptos" w:hAnsi="Aptos"/>
                <w:color w:val="1F2933"/>
                <w:sz w:val="15"/>
              </w:rPr>
              <w:t>99.5% monthly for authenticated web and report access; planned maintenance excluded</w:t>
            </w:r>
          </w:p>
        </w:tc>
        <w:tc>
          <w:tcPr>
            <w:tcW w:type="dxa" w:w="3312"/>
            <w:tcMar>
              <w:top w:w="70" w:type="dxa"/>
              <w:start w:w="90" w:type="dxa"/>
              <w:bottom w:w="70" w:type="dxa"/>
              <w:end w:w="90" w:type="dxa"/>
            </w:tcMar>
          </w:tcPr>
          <w:p>
            <w:pPr>
              <w:spacing w:after="0" w:line="240" w:lineRule="auto"/>
            </w:pPr>
            <w:r>
              <w:rPr>
                <w:rFonts w:ascii="Aptos" w:hAnsi="Aptos"/>
                <w:color w:val="1F2933"/>
                <w:sz w:val="15"/>
              </w:rPr>
              <w:t>Synthetic monitoring and service-level dashboard</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Upload responsiveness</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5"/>
              </w:rPr>
              <w:t>Signed upload initiation under 1 second p95; upload itself direct to private storage</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API traces excluding user network transfer</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Processing latency</w:t>
            </w:r>
          </w:p>
        </w:tc>
        <w:tc>
          <w:tcPr>
            <w:tcW w:type="dxa" w:w="5184"/>
            <w:tcMar>
              <w:top w:w="70" w:type="dxa"/>
              <w:start w:w="90" w:type="dxa"/>
              <w:bottom w:w="70" w:type="dxa"/>
              <w:end w:w="90" w:type="dxa"/>
            </w:tcMar>
          </w:tcPr>
          <w:p>
            <w:pPr>
              <w:spacing w:after="0" w:line="240" w:lineRule="auto"/>
            </w:pPr>
            <w:r>
              <w:rPr>
                <w:rFonts w:ascii="Aptos" w:hAnsi="Aptos"/>
                <w:color w:val="1F2933"/>
                <w:sz w:val="15"/>
              </w:rPr>
              <w:t>Native 3-bureau report under 5 minutes p90; no hard promise shown until pilot data</w:t>
            </w:r>
          </w:p>
        </w:tc>
        <w:tc>
          <w:tcPr>
            <w:tcW w:type="dxa" w:w="3312"/>
            <w:tcMar>
              <w:top w:w="70" w:type="dxa"/>
              <w:start w:w="90" w:type="dxa"/>
              <w:bottom w:w="70" w:type="dxa"/>
              <w:end w:w="90" w:type="dxa"/>
            </w:tcMar>
          </w:tcPr>
          <w:p>
            <w:pPr>
              <w:spacing w:after="0" w:line="240" w:lineRule="auto"/>
            </w:pPr>
            <w:r>
              <w:rPr>
                <w:rFonts w:ascii="Aptos" w:hAnsi="Aptos"/>
                <w:color w:val="1F2933"/>
                <w:sz w:val="15"/>
              </w:rPr>
              <w:t>Stage timing by document type/page count</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Scalability</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5"/>
              </w:rPr>
              <w:t>Initial design supports 10,000 monthly active users and burst isolation per tenant/user</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Load test with representative report sizes</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Parser accuracy</w:t>
            </w:r>
          </w:p>
        </w:tc>
        <w:tc>
          <w:tcPr>
            <w:tcW w:type="dxa" w:w="5184"/>
            <w:tcMar>
              <w:top w:w="70" w:type="dxa"/>
              <w:start w:w="90" w:type="dxa"/>
              <w:bottom w:w="70" w:type="dxa"/>
              <w:end w:w="90" w:type="dxa"/>
            </w:tcMar>
          </w:tcPr>
          <w:p>
            <w:pPr>
              <w:spacing w:after="0" w:line="240" w:lineRule="auto"/>
            </w:pPr>
            <w:r>
              <w:rPr>
                <w:rFonts w:ascii="Aptos" w:hAnsi="Aptos"/>
                <w:color w:val="1F2933"/>
                <w:sz w:val="15"/>
              </w:rPr>
              <w:t>At least 97% precision and 95% recall for P0 fields on supported templates</w:t>
            </w:r>
          </w:p>
        </w:tc>
        <w:tc>
          <w:tcPr>
            <w:tcW w:type="dxa" w:w="3312"/>
            <w:tcMar>
              <w:top w:w="70" w:type="dxa"/>
              <w:start w:w="90" w:type="dxa"/>
              <w:bottom w:w="70" w:type="dxa"/>
              <w:end w:w="90" w:type="dxa"/>
            </w:tcMar>
          </w:tcPr>
          <w:p>
            <w:pPr>
              <w:spacing w:after="0" w:line="240" w:lineRule="auto"/>
            </w:pPr>
            <w:r>
              <w:rPr>
                <w:rFonts w:ascii="Aptos" w:hAnsi="Aptos"/>
                <w:color w:val="1F2933"/>
                <w:sz w:val="15"/>
              </w:rPr>
              <w:t>Expert-labeled field-level corpus; report by provider/version</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Account matching</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5"/>
              </w:rPr>
              <w:t>At least 98% precision for automatic high-confidence matches</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Expert-labeled cross-bureau pairs; ambiguous matches require user</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Finding quality</w:t>
            </w:r>
          </w:p>
        </w:tc>
        <w:tc>
          <w:tcPr>
            <w:tcW w:type="dxa" w:w="5184"/>
            <w:tcMar>
              <w:top w:w="70" w:type="dxa"/>
              <w:start w:w="90" w:type="dxa"/>
              <w:bottom w:w="70" w:type="dxa"/>
              <w:end w:w="90" w:type="dxa"/>
            </w:tcMar>
          </w:tcPr>
          <w:p>
            <w:pPr>
              <w:spacing w:after="0" w:line="240" w:lineRule="auto"/>
            </w:pPr>
            <w:r>
              <w:rPr>
                <w:rFonts w:ascii="Aptos" w:hAnsi="Aptos"/>
                <w:color w:val="1F2933"/>
                <w:sz w:val="15"/>
              </w:rPr>
              <w:t>At least 90% positive predictive value for published P0 inconsistency findings</w:t>
            </w:r>
          </w:p>
        </w:tc>
        <w:tc>
          <w:tcPr>
            <w:tcW w:type="dxa" w:w="3312"/>
            <w:tcMar>
              <w:top w:w="70" w:type="dxa"/>
              <w:start w:w="90" w:type="dxa"/>
              <w:bottom w:w="70" w:type="dxa"/>
              <w:end w:w="90" w:type="dxa"/>
            </w:tcMar>
          </w:tcPr>
          <w:p>
            <w:pPr>
              <w:spacing w:after="0" w:line="240" w:lineRule="auto"/>
            </w:pPr>
            <w:r>
              <w:rPr>
                <w:rFonts w:ascii="Aptos" w:hAnsi="Aptos"/>
                <w:color w:val="1F2933"/>
                <w:sz w:val="15"/>
              </w:rPr>
              <w:t>Blind SME review with severity-weighted reporting</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Citation validity</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5"/>
              </w:rPr>
              <w:t>100% of published authority references resolve to approved applicable records</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Automated validation plus sampled legal review</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Deletion</w:t>
            </w:r>
          </w:p>
        </w:tc>
        <w:tc>
          <w:tcPr>
            <w:tcW w:type="dxa" w:w="5184"/>
            <w:tcMar>
              <w:top w:w="70" w:type="dxa"/>
              <w:start w:w="90" w:type="dxa"/>
              <w:bottom w:w="70" w:type="dxa"/>
              <w:end w:w="90" w:type="dxa"/>
            </w:tcMar>
          </w:tcPr>
          <w:p>
            <w:pPr>
              <w:spacing w:after="0" w:line="240" w:lineRule="auto"/>
            </w:pPr>
            <w:r>
              <w:rPr>
                <w:rFonts w:ascii="Aptos" w:hAnsi="Aptos"/>
                <w:color w:val="1F2933"/>
                <w:sz w:val="15"/>
              </w:rPr>
              <w:t>User-visible deletion completes active systems within 24 hours; backups expire per policy</w:t>
            </w:r>
          </w:p>
        </w:tc>
        <w:tc>
          <w:tcPr>
            <w:tcW w:type="dxa" w:w="3312"/>
            <w:tcMar>
              <w:top w:w="70" w:type="dxa"/>
              <w:start w:w="90" w:type="dxa"/>
              <w:bottom w:w="70" w:type="dxa"/>
              <w:end w:w="90" w:type="dxa"/>
            </w:tcMar>
          </w:tcPr>
          <w:p>
            <w:pPr>
              <w:spacing w:after="0" w:line="240" w:lineRule="auto"/>
            </w:pPr>
            <w:r>
              <w:rPr>
                <w:rFonts w:ascii="Aptos" w:hAnsi="Aptos"/>
                <w:color w:val="1F2933"/>
                <w:sz w:val="15"/>
              </w:rPr>
              <w:t>Automated deletion evidence and quarterly drill</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Accessibility</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5"/>
              </w:rPr>
              <w:t>WCAG 2.2 AA target for core flows and exports</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Automated checks plus keyboard/screen-reader audit</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5"/>
              </w:rPr>
              <w:t>Auditability</w:t>
            </w:r>
          </w:p>
        </w:tc>
        <w:tc>
          <w:tcPr>
            <w:tcW w:type="dxa" w:w="5184"/>
            <w:tcMar>
              <w:top w:w="70" w:type="dxa"/>
              <w:start w:w="90" w:type="dxa"/>
              <w:bottom w:w="70" w:type="dxa"/>
              <w:end w:w="90" w:type="dxa"/>
            </w:tcMar>
          </w:tcPr>
          <w:p>
            <w:pPr>
              <w:spacing w:after="0" w:line="240" w:lineRule="auto"/>
            </w:pPr>
            <w:r>
              <w:rPr>
                <w:rFonts w:ascii="Aptos" w:hAnsi="Aptos"/>
                <w:color w:val="1F2933"/>
                <w:sz w:val="15"/>
              </w:rPr>
              <w:t>100% of privileged access, exports, rule releases, and deletions create audit events</w:t>
            </w:r>
          </w:p>
        </w:tc>
        <w:tc>
          <w:tcPr>
            <w:tcW w:type="dxa" w:w="3312"/>
            <w:tcMar>
              <w:top w:w="70" w:type="dxa"/>
              <w:start w:w="90" w:type="dxa"/>
              <w:bottom w:w="70" w:type="dxa"/>
              <w:end w:w="90" w:type="dxa"/>
            </w:tcMar>
          </w:tcPr>
          <w:p>
            <w:pPr>
              <w:spacing w:after="0" w:line="240" w:lineRule="auto"/>
            </w:pPr>
            <w:r>
              <w:rPr>
                <w:rFonts w:ascii="Aptos" w:hAnsi="Aptos"/>
                <w:color w:val="1F2933"/>
                <w:sz w:val="15"/>
              </w:rPr>
              <w:t>Automated control monitoring</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5"/>
              </w:rPr>
              <w:t>Recovery</w:t>
            </w:r>
          </w:p>
        </w:tc>
        <w:tc>
          <w:tcPr>
            <w:tcW w:type="dxa" w:w="5184"/>
            <w:tcMar>
              <w:top w:w="70" w:type="dxa"/>
              <w:start w:w="90" w:type="dxa"/>
              <w:bottom w:w="70" w:type="dxa"/>
              <w:end w:w="90" w:type="dxa"/>
            </w:tcMar>
            <w:shd w:fill="F5F7FA"/>
          </w:tcPr>
          <w:p>
            <w:pPr>
              <w:spacing w:after="0" w:line="240" w:lineRule="auto"/>
            </w:pPr>
            <w:r>
              <w:rPr>
                <w:rFonts w:ascii="Aptos" w:hAnsi="Aptos"/>
                <w:color w:val="1F2933"/>
                <w:sz w:val="15"/>
              </w:rPr>
              <w:t>Documented RPO/RTO after provider capabilities and business impact review</w:t>
            </w:r>
          </w:p>
        </w:tc>
        <w:tc>
          <w:tcPr>
            <w:tcW w:type="dxa" w:w="3312"/>
            <w:tcMar>
              <w:top w:w="70" w:type="dxa"/>
              <w:start w:w="90" w:type="dxa"/>
              <w:bottom w:w="70" w:type="dxa"/>
              <w:end w:w="90" w:type="dxa"/>
            </w:tcMar>
            <w:shd w:fill="F5F7FA"/>
          </w:tcPr>
          <w:p>
            <w:pPr>
              <w:spacing w:after="0" w:line="240" w:lineRule="auto"/>
            </w:pPr>
            <w:r>
              <w:rPr>
                <w:rFonts w:ascii="Aptos" w:hAnsi="Aptos"/>
                <w:color w:val="1F2933"/>
                <w:sz w:val="15"/>
              </w:rPr>
              <w:t>Restore tests and disaster-recovery exercise</w:t>
            </w:r>
          </w:p>
        </w:tc>
      </w:tr>
    </w:tbl>
    <w:p>
      <w:pPr>
        <w:spacing w:after="20"/>
      </w:pPr>
    </w:p>
    <w:p>
      <w:pPr>
        <w:pStyle w:val="SmallNote"/>
        <w:keepNext w:val="0"/>
        <w:spacing w:after="80" w:line="259" w:lineRule="auto"/>
      </w:pPr>
      <w:r>
        <w:rPr>
          <w:rFonts w:ascii="Aptos" w:hAnsi="Aptos"/>
        </w:rPr>
        <w:t>Accuracy and latency thresholds are launch targets to be validated with an authorized corpus. Averages may not hide materially worse performance for a bureau, report provider, document type, or protected user group.</w:t>
      </w:r>
    </w:p>
    <w:p>
      <w:pPr>
        <w:pStyle w:val="Heading1"/>
        <w:pageBreakBefore/>
      </w:pPr>
      <w:r>
        <w:rPr>
          <w:rFonts w:ascii="Aptos Display" w:hAnsi="Aptos Display"/>
          <w:b/>
          <w:color w:val="17324D"/>
          <w:sz w:val="36"/>
        </w:rPr>
        <w:t>16. Quality Assurance, Evaluation, and Verification</w:t>
      </w:r>
    </w:p>
    <w:p>
      <w:pPr>
        <w:pStyle w:val="Heading2"/>
        <w:keepNext/>
      </w:pPr>
      <w:r>
        <w:rPr>
          <w:rFonts w:ascii="Aptos Display" w:hAnsi="Aptos Display"/>
          <w:b/>
          <w:color w:val="245D8C"/>
          <w:sz w:val="26"/>
        </w:rPr>
        <w:t>16.1 Test pyramid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24D"/>
            <w:tcMar>
              <w:top w:w="80" w:type="dxa"/>
              <w:start w:w="90" w:type="dxa"/>
              <w:bottom w:w="80" w:type="dxa"/>
              <w:end w:w="90" w:type="dxa"/>
            </w:tcMar>
            <w:vAlign w:val="center"/>
          </w:tcPr>
          <w:p>
            <w:pPr>
              <w:spacing w:after="0"/>
            </w:pPr>
            <w:r>
              <w:rPr>
                <w:rFonts w:ascii="Aptos" w:hAnsi="Aptos"/>
                <w:b/>
                <w:color w:val="FFFFFF"/>
                <w:sz w:val="16"/>
              </w:rPr>
              <w:t>Layer</w:t>
            </w:r>
          </w:p>
        </w:tc>
        <w:tc>
          <w:tcPr>
            <w:tcW w:type="dxa" w:w="8208"/>
            <w:shd w:fill="17324D"/>
            <w:tcMar>
              <w:top w:w="80" w:type="dxa"/>
              <w:start w:w="90" w:type="dxa"/>
              <w:bottom w:w="80" w:type="dxa"/>
              <w:end w:w="90" w:type="dxa"/>
            </w:tcMar>
            <w:vAlign w:val="center"/>
          </w:tcPr>
          <w:p>
            <w:pPr>
              <w:spacing w:after="0"/>
            </w:pPr>
            <w:r>
              <w:rPr>
                <w:rFonts w:ascii="Aptos" w:hAnsi="Aptos"/>
                <w:b/>
                <w:color w:val="FFFFFF"/>
                <w:sz w:val="16"/>
              </w:rPr>
              <w:t>Required coverage</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Unit</w:t>
            </w:r>
          </w:p>
        </w:tc>
        <w:tc>
          <w:tcPr>
            <w:tcW w:type="dxa" w:w="8208"/>
            <w:tcMar>
              <w:top w:w="70" w:type="dxa"/>
              <w:start w:w="90" w:type="dxa"/>
              <w:bottom w:w="70" w:type="dxa"/>
              <w:end w:w="90" w:type="dxa"/>
            </w:tcMar>
          </w:tcPr>
          <w:p>
            <w:pPr>
              <w:spacing w:after="0" w:line="240" w:lineRule="auto"/>
            </w:pPr>
            <w:r>
              <w:rPr>
                <w:rFonts w:ascii="Aptos" w:hAnsi="Aptos"/>
                <w:color w:val="1F2933"/>
                <w:sz w:val="16"/>
              </w:rPr>
              <w:t>Value objects, date/money normalization, rule predicates, redaction, schema validation, deduplication</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Contract</w:t>
            </w:r>
          </w:p>
        </w:tc>
        <w:tc>
          <w:tcPr>
            <w:tcW w:type="dxa" w:w="8208"/>
            <w:tcMar>
              <w:top w:w="70" w:type="dxa"/>
              <w:start w:w="90" w:type="dxa"/>
              <w:bottom w:w="70" w:type="dxa"/>
              <w:end w:w="90" w:type="dxa"/>
            </w:tcMar>
            <w:shd w:fill="F5F7FA"/>
          </w:tcPr>
          <w:p>
            <w:pPr>
              <w:spacing w:after="0" w:line="240" w:lineRule="auto"/>
            </w:pPr>
            <w:r>
              <w:rPr>
                <w:rFonts w:ascii="Aptos" w:hAnsi="Aptos"/>
                <w:color w:val="1F2933"/>
                <w:sz w:val="16"/>
              </w:rPr>
              <w:t>InsForge SDK/API boundaries, storage permissions, OCR/model provider interfaces, job payloads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Parser golden tests</w:t>
            </w:r>
          </w:p>
        </w:tc>
        <w:tc>
          <w:tcPr>
            <w:tcW w:type="dxa" w:w="8208"/>
            <w:tcMar>
              <w:top w:w="70" w:type="dxa"/>
              <w:start w:w="90" w:type="dxa"/>
              <w:bottom w:w="70" w:type="dxa"/>
              <w:end w:w="90" w:type="dxa"/>
            </w:tcMar>
          </w:tcPr>
          <w:p>
            <w:pPr>
              <w:spacing w:after="0" w:line="240" w:lineRule="auto"/>
            </w:pPr>
            <w:r>
              <w:rPr>
                <w:rFonts w:ascii="Aptos" w:hAnsi="Aptos"/>
                <w:color w:val="1F2933"/>
                <w:sz w:val="16"/>
              </w:rPr>
              <w:t>Synthetic and authorized reports by provider/template with field-level expected output</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Rule golden tests</w:t>
            </w:r>
          </w:p>
        </w:tc>
        <w:tc>
          <w:tcPr>
            <w:tcW w:type="dxa" w:w="8208"/>
            <w:tcMar>
              <w:top w:w="70" w:type="dxa"/>
              <w:start w:w="90" w:type="dxa"/>
              <w:bottom w:w="70" w:type="dxa"/>
              <w:end w:w="90" w:type="dxa"/>
            </w:tcMar>
            <w:shd w:fill="F5F7FA"/>
          </w:tcPr>
          <w:p>
            <w:pPr>
              <w:spacing w:after="0" w:line="240" w:lineRule="auto"/>
            </w:pPr>
            <w:r>
              <w:rPr>
                <w:rFonts w:ascii="Aptos" w:hAnsi="Aptos"/>
                <w:color w:val="1F2933"/>
                <w:sz w:val="16"/>
              </w:rPr>
              <w:t>Positive, negative, boundary, missing-field, date-precision, and alternative-explanation cases</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Integration</w:t>
            </w:r>
          </w:p>
        </w:tc>
        <w:tc>
          <w:tcPr>
            <w:tcW w:type="dxa" w:w="8208"/>
            <w:tcMar>
              <w:top w:w="70" w:type="dxa"/>
              <w:start w:w="90" w:type="dxa"/>
              <w:bottom w:w="70" w:type="dxa"/>
              <w:end w:w="90" w:type="dxa"/>
            </w:tcMar>
          </w:tcPr>
          <w:p>
            <w:pPr>
              <w:spacing w:after="0" w:line="240" w:lineRule="auto"/>
            </w:pPr>
            <w:r>
              <w:rPr>
                <w:rFonts w:ascii="Aptos" w:hAnsi="Aptos"/>
                <w:color w:val="1F2933"/>
                <w:sz w:val="16"/>
              </w:rPr>
              <w:t>Upload through completed analysis using isolated tenant and stubbed external providers</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End-to-end</w:t>
            </w:r>
          </w:p>
        </w:tc>
        <w:tc>
          <w:tcPr>
            <w:tcW w:type="dxa" w:w="8208"/>
            <w:tcMar>
              <w:top w:w="70" w:type="dxa"/>
              <w:start w:w="90" w:type="dxa"/>
              <w:bottom w:w="70" w:type="dxa"/>
              <w:end w:w="90" w:type="dxa"/>
            </w:tcMar>
            <w:shd w:fill="F5F7FA"/>
          </w:tcPr>
          <w:p>
            <w:pPr>
              <w:spacing w:after="0" w:line="240" w:lineRule="auto"/>
            </w:pPr>
            <w:r>
              <w:rPr>
                <w:rFonts w:ascii="Aptos" w:hAnsi="Aptos"/>
                <w:color w:val="1F2933"/>
                <w:sz w:val="16"/>
              </w:rPr>
              <w:t>Onboarding, upload, confirmation, report, export, deletion, failure recovery</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Security</w:t>
            </w:r>
          </w:p>
        </w:tc>
        <w:tc>
          <w:tcPr>
            <w:tcW w:type="dxa" w:w="8208"/>
            <w:tcMar>
              <w:top w:w="70" w:type="dxa"/>
              <w:start w:w="90" w:type="dxa"/>
              <w:bottom w:w="70" w:type="dxa"/>
              <w:end w:w="90" w:type="dxa"/>
            </w:tcMar>
          </w:tcPr>
          <w:p>
            <w:pPr>
              <w:spacing w:after="0" w:line="240" w:lineRule="auto"/>
            </w:pPr>
            <w:r>
              <w:rPr>
                <w:rFonts w:ascii="Aptos" w:hAnsi="Aptos"/>
                <w:color w:val="1F2933"/>
                <w:sz w:val="16"/>
              </w:rPr>
              <w:t>RLS, IDOR, auth/session, malicious files, prompt injection, egress, logs, rate limits, dependency scanning</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AI evaluation</w:t>
            </w:r>
          </w:p>
        </w:tc>
        <w:tc>
          <w:tcPr>
            <w:tcW w:type="dxa" w:w="8208"/>
            <w:tcMar>
              <w:top w:w="70" w:type="dxa"/>
              <w:start w:w="90" w:type="dxa"/>
              <w:bottom w:w="70" w:type="dxa"/>
              <w:end w:w="90" w:type="dxa"/>
            </w:tcMar>
            <w:shd w:fill="F5F7FA"/>
          </w:tcPr>
          <w:p>
            <w:pPr>
              <w:spacing w:after="0" w:line="240" w:lineRule="auto"/>
            </w:pPr>
            <w:r>
              <w:rPr>
                <w:rFonts w:ascii="Aptos" w:hAnsi="Aptos"/>
                <w:color w:val="1F2933"/>
                <w:sz w:val="16"/>
              </w:rPr>
              <w:t>Factual grounding, authority validity, prohibited language, sensitive-data leakage, readability, refusal behavior</w:t>
            </w:r>
          </w:p>
        </w:tc>
      </w:tr>
      <w:tr>
        <w:trPr>
          <w:cantSplit/>
        </w:trPr>
        <w:tc>
          <w:tcPr>
            <w:tcW w:type="dxa" w:w="2232"/>
            <w:tcMar>
              <w:top w:w="70" w:type="dxa"/>
              <w:start w:w="90" w:type="dxa"/>
              <w:bottom w:w="70" w:type="dxa"/>
              <w:end w:w="90" w:type="dxa"/>
            </w:tcMar>
          </w:tcPr>
          <w:p>
            <w:pPr>
              <w:spacing w:after="0" w:line="240" w:lineRule="auto"/>
            </w:pPr>
            <w:r>
              <w:rPr>
                <w:rFonts w:ascii="Aptos" w:hAnsi="Aptos"/>
                <w:color w:val="1F2933"/>
                <w:sz w:val="16"/>
              </w:rPr>
              <w:t>Accessibility</w:t>
            </w:r>
          </w:p>
        </w:tc>
        <w:tc>
          <w:tcPr>
            <w:tcW w:type="dxa" w:w="8208"/>
            <w:tcMar>
              <w:top w:w="70" w:type="dxa"/>
              <w:start w:w="90" w:type="dxa"/>
              <w:bottom w:w="70" w:type="dxa"/>
              <w:end w:w="90" w:type="dxa"/>
            </w:tcMar>
          </w:tcPr>
          <w:p>
            <w:pPr>
              <w:spacing w:after="0" w:line="240" w:lineRule="auto"/>
            </w:pPr>
            <w:r>
              <w:rPr>
                <w:rFonts w:ascii="Aptos" w:hAnsi="Aptos"/>
                <w:color w:val="1F2933"/>
                <w:sz w:val="16"/>
              </w:rPr>
              <w:t>Keyboard, focus, screen reader, contrast, zoom/reflow, accessible export</w:t>
            </w:r>
          </w:p>
        </w:tc>
      </w:tr>
      <w:tr>
        <w:trPr>
          <w:cantSplit/>
        </w:trPr>
        <w:tc>
          <w:tcPr>
            <w:tcW w:type="dxa" w:w="2232"/>
            <w:tcMar>
              <w:top w:w="70" w:type="dxa"/>
              <w:start w:w="90" w:type="dxa"/>
              <w:bottom w:w="70" w:type="dxa"/>
              <w:end w:w="90" w:type="dxa"/>
            </w:tcMar>
            <w:shd w:fill="F5F7FA"/>
          </w:tcPr>
          <w:p>
            <w:pPr>
              <w:spacing w:after="0" w:line="240" w:lineRule="auto"/>
            </w:pPr>
            <w:r>
              <w:rPr>
                <w:rFonts w:ascii="Aptos" w:hAnsi="Aptos"/>
                <w:color w:val="1F2933"/>
                <w:sz w:val="16"/>
              </w:rPr>
              <w:t>Legal/content QA</w:t>
            </w:r>
          </w:p>
        </w:tc>
        <w:tc>
          <w:tcPr>
            <w:tcW w:type="dxa" w:w="8208"/>
            <w:tcMar>
              <w:top w:w="70" w:type="dxa"/>
              <w:start w:w="90" w:type="dxa"/>
              <w:bottom w:w="70" w:type="dxa"/>
              <w:end w:w="90" w:type="dxa"/>
            </w:tcMar>
            <w:shd w:fill="F5F7FA"/>
          </w:tcPr>
          <w:p>
            <w:pPr>
              <w:spacing w:after="0" w:line="240" w:lineRule="auto"/>
            </w:pPr>
            <w:r>
              <w:rPr>
                <w:rFonts w:ascii="Aptos" w:hAnsi="Aptos"/>
                <w:color w:val="1F2933"/>
                <w:sz w:val="16"/>
              </w:rPr>
              <w:t>Jurisdiction/effective-date checks, approval evidence, marketing and user-language review</w:t>
            </w:r>
          </w:p>
        </w:tc>
      </w:tr>
    </w:tbl>
    <w:p>
      <w:pPr>
        <w:spacing w:after="20"/>
      </w:pPr>
    </w:p>
    <w:p>
      <w:pPr>
        <w:pStyle w:val="Heading2"/>
        <w:keepNext/>
      </w:pPr>
      <w:r>
        <w:rPr>
          <w:rFonts w:ascii="Aptos Display" w:hAnsi="Aptos Display"/>
          <w:b/>
          <w:color w:val="245D8C"/>
          <w:sz w:val="26"/>
        </w:rPr>
        <w:t>16.2 Evaluation corpus</w:t>
      </w:r>
    </w:p>
    <w:p>
      <w:pPr>
        <w:pStyle w:val="ListBullet"/>
        <w:spacing w:after="40" w:line="250" w:lineRule="auto"/>
        <w:ind w:left="0"/>
      </w:pPr>
      <w:r>
        <w:rPr>
          <w:rFonts w:ascii="Aptos" w:hAnsi="Aptos"/>
        </w:rPr>
        <w:t>Synthetic reports designed to cover every schema field and rule boundary.</w:t>
      </w:r>
    </w:p>
    <w:p>
      <w:pPr>
        <w:pStyle w:val="ListBullet"/>
        <w:spacing w:after="40" w:line="250" w:lineRule="auto"/>
        <w:ind w:left="0"/>
      </w:pPr>
      <w:r>
        <w:rPr>
          <w:rFonts w:ascii="Aptos" w:hAnsi="Aptos"/>
        </w:rPr>
        <w:t>Legally obtained, consented, redacted sample reports representing major bureaus and report providers.</w:t>
      </w:r>
    </w:p>
    <w:p>
      <w:pPr>
        <w:pStyle w:val="ListBullet"/>
        <w:spacing w:after="40" w:line="250" w:lineRule="auto"/>
        <w:ind w:left="0"/>
      </w:pPr>
      <w:r>
        <w:rPr>
          <w:rFonts w:ascii="Aptos" w:hAnsi="Aptos"/>
        </w:rPr>
        <w:t>Scanned, low-quality, rotated, multi-column, unusually long, password-protected, and malformed documents.</w:t>
      </w:r>
    </w:p>
    <w:p>
      <w:pPr>
        <w:pStyle w:val="ListBullet"/>
        <w:spacing w:after="40" w:line="250" w:lineRule="auto"/>
        <w:ind w:left="0"/>
      </w:pPr>
      <w:r>
        <w:rPr>
          <w:rFonts w:ascii="Aptos" w:hAnsi="Aptos"/>
        </w:rPr>
        <w:t>Adversarial HTML/PDF with scripts, external resources, prompt injections, hidden text, oversized objects, and conflicting labels.</w:t>
      </w:r>
    </w:p>
    <w:p>
      <w:pPr>
        <w:pStyle w:val="ListBullet"/>
        <w:spacing w:after="40" w:line="250" w:lineRule="auto"/>
        <w:ind w:left="0"/>
      </w:pPr>
      <w:r>
        <w:rPr>
          <w:rFonts w:ascii="Aptos" w:hAnsi="Aptos"/>
        </w:rPr>
        <w:t>Expert-labeled cross-bureau matches, findings, suppressions, and “insufficient information” cases.</w:t>
      </w:r>
    </w:p>
    <w:p>
      <w:pPr>
        <w:pStyle w:val="ListBullet"/>
        <w:spacing w:after="40" w:line="250" w:lineRule="auto"/>
        <w:ind w:left="0"/>
      </w:pPr>
      <w:r>
        <w:rPr>
          <w:rFonts w:ascii="Aptos" w:hAnsi="Aptos"/>
        </w:rPr>
        <w:t>Demographic and accessibility review for differential error or confusing language, while minimizing collection of unnecessary sensitive attributes.</w:t>
      </w:r>
    </w:p>
    <w:p>
      <w:pPr>
        <w:pStyle w:val="Heading2"/>
        <w:keepNext/>
        <w:pageBreakBefore/>
      </w:pPr>
      <w:r>
        <w:rPr>
          <w:rFonts w:ascii="Aptos Display" w:hAnsi="Aptos Display"/>
          <w:b/>
          <w:color w:val="245D8C"/>
          <w:sz w:val="26"/>
        </w:rPr>
        <w:t>16.3 Release gates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324D"/>
            <w:tcMar>
              <w:top w:w="80" w:type="dxa"/>
              <w:start w:w="90" w:type="dxa"/>
              <w:bottom w:w="80" w:type="dxa"/>
              <w:end w:w="90" w:type="dxa"/>
            </w:tcMar>
            <w:vAlign w:val="center"/>
          </w:tcPr>
          <w:p>
            <w:pPr>
              <w:spacing w:after="0"/>
            </w:pPr>
            <w:r>
              <w:rPr>
                <w:rFonts w:ascii="Aptos" w:hAnsi="Aptos"/>
                <w:b/>
                <w:color w:val="FFFFFF"/>
                <w:sz w:val="16"/>
              </w:rPr>
              <w:t>Gate</w:t>
            </w:r>
          </w:p>
        </w:tc>
        <w:tc>
          <w:tcPr>
            <w:tcW w:type="dxa" w:w="8496"/>
            <w:shd w:fill="17324D"/>
            <w:tcMar>
              <w:top w:w="80" w:type="dxa"/>
              <w:start w:w="90" w:type="dxa"/>
              <w:bottom w:w="80" w:type="dxa"/>
              <w:end w:w="90" w:type="dxa"/>
            </w:tcMar>
            <w:vAlign w:val="center"/>
          </w:tcPr>
          <w:p>
            <w:pPr>
              <w:spacing w:after="0"/>
            </w:pPr>
            <w:r>
              <w:rPr>
                <w:rFonts w:ascii="Aptos" w:hAnsi="Aptos"/>
                <w:b/>
                <w:color w:val="FFFFFF"/>
                <w:sz w:val="16"/>
              </w:rPr>
              <w:t>Must be true</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Product</w:t>
            </w:r>
          </w:p>
        </w:tc>
        <w:tc>
          <w:tcPr>
            <w:tcW w:type="dxa" w:w="8496"/>
            <w:tcMar>
              <w:top w:w="70" w:type="dxa"/>
              <w:start w:w="90" w:type="dxa"/>
              <w:bottom w:w="70" w:type="dxa"/>
              <w:end w:w="90" w:type="dxa"/>
            </w:tcMar>
          </w:tcPr>
          <w:p>
            <w:pPr>
              <w:spacing w:after="0" w:line="240" w:lineRule="auto"/>
            </w:pPr>
            <w:r>
              <w:rPr>
                <w:rFonts w:ascii="Aptos" w:hAnsi="Aptos"/>
                <w:color w:val="1F2933"/>
                <w:sz w:val="16"/>
              </w:rPr>
              <w:t>All P0 requirements accepted; non-goals and user limitations visible</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Legal</w:t>
            </w:r>
          </w:p>
        </w:tc>
        <w:tc>
          <w:tcPr>
            <w:tcW w:type="dxa" w:w="8496"/>
            <w:tcMar>
              <w:top w:w="70" w:type="dxa"/>
              <w:start w:w="90" w:type="dxa"/>
              <w:bottom w:w="70" w:type="dxa"/>
              <w:end w:w="90" w:type="dxa"/>
            </w:tcMar>
            <w:shd w:fill="F5F7FA"/>
          </w:tcPr>
          <w:p>
            <w:pPr>
              <w:spacing w:after="0" w:line="240" w:lineRule="auto"/>
            </w:pPr>
            <w:r>
              <w:rPr>
                <w:rFonts w:ascii="Aptos" w:hAnsi="Aptos"/>
                <w:color w:val="1F2933"/>
                <w:sz w:val="16"/>
              </w:rPr>
              <w:t>Federal baseline, launch-state service model, pricing, contracts, marketing, and content approved</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Security</w:t>
            </w:r>
          </w:p>
        </w:tc>
        <w:tc>
          <w:tcPr>
            <w:tcW w:type="dxa" w:w="8496"/>
            <w:tcMar>
              <w:top w:w="70" w:type="dxa"/>
              <w:start w:w="90" w:type="dxa"/>
              <w:bottom w:w="70" w:type="dxa"/>
              <w:end w:w="90" w:type="dxa"/>
            </w:tcMar>
          </w:tcPr>
          <w:p>
            <w:pPr>
              <w:spacing w:after="0" w:line="240" w:lineRule="auto"/>
            </w:pPr>
            <w:r>
              <w:rPr>
                <w:rFonts w:ascii="Aptos" w:hAnsi="Aptos"/>
                <w:color w:val="1F2933"/>
                <w:sz w:val="16"/>
              </w:rPr>
              <w:t>Threat model, vendor reviews, RLS tests, penetration test, incident plan, and deletion drill complete</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Parsing</w:t>
            </w:r>
          </w:p>
        </w:tc>
        <w:tc>
          <w:tcPr>
            <w:tcW w:type="dxa" w:w="8496"/>
            <w:tcMar>
              <w:top w:w="70" w:type="dxa"/>
              <w:start w:w="90" w:type="dxa"/>
              <w:bottom w:w="70" w:type="dxa"/>
              <w:end w:w="90" w:type="dxa"/>
            </w:tcMar>
            <w:shd w:fill="F5F7FA"/>
          </w:tcPr>
          <w:p>
            <w:pPr>
              <w:spacing w:after="0" w:line="240" w:lineRule="auto"/>
            </w:pPr>
            <w:r>
              <w:rPr>
                <w:rFonts w:ascii="Aptos" w:hAnsi="Aptos"/>
                <w:color w:val="1F2933"/>
                <w:sz w:val="16"/>
              </w:rPr>
              <w:t>Supported-template accuracy thresholds met with no hidden provider regression</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Rules</w:t>
            </w:r>
          </w:p>
        </w:tc>
        <w:tc>
          <w:tcPr>
            <w:tcW w:type="dxa" w:w="8496"/>
            <w:tcMar>
              <w:top w:w="70" w:type="dxa"/>
              <w:start w:w="90" w:type="dxa"/>
              <w:bottom w:w="70" w:type="dxa"/>
              <w:end w:w="90" w:type="dxa"/>
            </w:tcMar>
          </w:tcPr>
          <w:p>
            <w:pPr>
              <w:spacing w:after="0" w:line="240" w:lineRule="auto"/>
            </w:pPr>
            <w:r>
              <w:rPr>
                <w:rFonts w:ascii="Aptos" w:hAnsi="Aptos"/>
                <w:color w:val="1F2933"/>
                <w:sz w:val="16"/>
              </w:rPr>
              <w:t>Every P0 rule has positive/negative/boundary tests and reviewer approval</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AI</w:t>
            </w:r>
          </w:p>
        </w:tc>
        <w:tc>
          <w:tcPr>
            <w:tcW w:type="dxa" w:w="8496"/>
            <w:tcMar>
              <w:top w:w="70" w:type="dxa"/>
              <w:start w:w="90" w:type="dxa"/>
              <w:bottom w:w="70" w:type="dxa"/>
              <w:end w:w="90" w:type="dxa"/>
            </w:tcMar>
            <w:shd w:fill="F5F7FA"/>
          </w:tcPr>
          <w:p>
            <w:pPr>
              <w:spacing w:after="0" w:line="240" w:lineRule="auto"/>
            </w:pPr>
            <w:r>
              <w:rPr>
                <w:rFonts w:ascii="Aptos" w:hAnsi="Aptos"/>
                <w:color w:val="1F2933"/>
                <w:sz w:val="16"/>
              </w:rPr>
              <w:t>No unresolved critical hallucination, citation, data leakage, or prompt-injection findings</w:t>
            </w:r>
          </w:p>
        </w:tc>
      </w:tr>
      <w:tr>
        <w:trPr>
          <w:cantSplit/>
        </w:trPr>
        <w:tc>
          <w:tcPr>
            <w:tcW w:type="dxa" w:w="1944"/>
            <w:tcMar>
              <w:top w:w="70" w:type="dxa"/>
              <w:start w:w="90" w:type="dxa"/>
              <w:bottom w:w="70" w:type="dxa"/>
              <w:end w:w="90" w:type="dxa"/>
            </w:tcMar>
          </w:tcPr>
          <w:p>
            <w:pPr>
              <w:spacing w:after="0" w:line="240" w:lineRule="auto"/>
            </w:pPr>
            <w:r>
              <w:rPr>
                <w:rFonts w:ascii="Aptos" w:hAnsi="Aptos"/>
                <w:color w:val="1F2933"/>
                <w:sz w:val="16"/>
              </w:rPr>
              <w:t>Operations</w:t>
            </w:r>
          </w:p>
        </w:tc>
        <w:tc>
          <w:tcPr>
            <w:tcW w:type="dxa" w:w="8496"/>
            <w:tcMar>
              <w:top w:w="70" w:type="dxa"/>
              <w:start w:w="90" w:type="dxa"/>
              <w:bottom w:w="70" w:type="dxa"/>
              <w:end w:w="90" w:type="dxa"/>
            </w:tcMar>
          </w:tcPr>
          <w:p>
            <w:pPr>
              <w:spacing w:after="0" w:line="240" w:lineRule="auto"/>
            </w:pPr>
            <w:r>
              <w:rPr>
                <w:rFonts w:ascii="Aptos" w:hAnsi="Aptos"/>
                <w:color w:val="1F2933"/>
                <w:sz w:val="16"/>
              </w:rPr>
              <w:t>Monitoring, on-call ownership, support permissions, runbooks, backups, and rollback tested</w:t>
            </w:r>
          </w:p>
        </w:tc>
      </w:tr>
      <w:tr>
        <w:trPr>
          <w:cantSplit/>
        </w:trPr>
        <w:tc>
          <w:tcPr>
            <w:tcW w:type="dxa" w:w="1944"/>
            <w:tcMar>
              <w:top w:w="70" w:type="dxa"/>
              <w:start w:w="90" w:type="dxa"/>
              <w:bottom w:w="70" w:type="dxa"/>
              <w:end w:w="90" w:type="dxa"/>
            </w:tcMar>
            <w:shd w:fill="F5F7FA"/>
          </w:tcPr>
          <w:p>
            <w:pPr>
              <w:spacing w:after="0" w:line="240" w:lineRule="auto"/>
            </w:pPr>
            <w:r>
              <w:rPr>
                <w:rFonts w:ascii="Aptos" w:hAnsi="Aptos"/>
                <w:color w:val="1F2933"/>
                <w:sz w:val="16"/>
              </w:rPr>
              <w:t>User research</w:t>
            </w:r>
          </w:p>
        </w:tc>
        <w:tc>
          <w:tcPr>
            <w:tcW w:type="dxa" w:w="8496"/>
            <w:tcMar>
              <w:top w:w="70" w:type="dxa"/>
              <w:start w:w="90" w:type="dxa"/>
              <w:bottom w:w="70" w:type="dxa"/>
              <w:end w:w="90" w:type="dxa"/>
            </w:tcMar>
            <w:shd w:fill="F5F7FA"/>
          </w:tcPr>
          <w:p>
            <w:pPr>
              <w:spacing w:after="0" w:line="240" w:lineRule="auto"/>
            </w:pPr>
            <w:r>
              <w:rPr>
                <w:rFonts w:ascii="Aptos" w:hAnsi="Aptos"/>
                <w:color w:val="1F2933"/>
                <w:sz w:val="16"/>
              </w:rPr>
              <w:t>Pilot users understand findings and limitations; no evidence of systematic misleading interpretation</w:t>
            </w:r>
          </w:p>
        </w:tc>
      </w:tr>
    </w:tbl>
    <w:p>
      <w:pPr>
        <w:spacing w:after="20"/>
      </w:pPr>
    </w:p>
    <w:p>
      <w:pPr>
        <w:pStyle w:val="Heading1"/>
        <w:pageBreakBefore/>
      </w:pPr>
      <w:r>
        <w:rPr>
          <w:rFonts w:ascii="Aptos Display" w:hAnsi="Aptos Display"/>
          <w:b/>
          <w:color w:val="17324D"/>
          <w:sz w:val="36"/>
        </w:rPr>
        <w:t>17. Observability, Audit, and Operations</w:t>
      </w:r>
    </w:p>
    <w:p>
      <w:pPr>
        <w:pStyle w:val="Heading2"/>
        <w:keepNext/>
      </w:pPr>
      <w:r>
        <w:rPr>
          <w:rFonts w:ascii="Aptos Display" w:hAnsi="Aptos Display"/>
          <w:b/>
          <w:color w:val="245D8C"/>
          <w:sz w:val="26"/>
        </w:rPr>
        <w:t>17.1 Operational metrics</w:t>
      </w:r>
    </w:p>
    <w:p>
      <w:pPr>
        <w:pStyle w:val="ListBullet"/>
        <w:spacing w:after="40" w:line="250" w:lineRule="auto"/>
        <w:ind w:left="0"/>
      </w:pPr>
      <w:r>
        <w:rPr>
          <w:rFonts w:ascii="Aptos" w:hAnsi="Aptos"/>
        </w:rPr>
        <w:t>Uploads initiated/completed/quarantined by media type and provider.</w:t>
      </w:r>
    </w:p>
    <w:p>
      <w:pPr>
        <w:pStyle w:val="ListBullet"/>
        <w:spacing w:after="40" w:line="250" w:lineRule="auto"/>
        <w:ind w:left="0"/>
      </w:pPr>
      <w:r>
        <w:rPr>
          <w:rFonts w:ascii="Aptos" w:hAnsi="Aptos"/>
        </w:rPr>
        <w:t>Stage duration, retry count, failure code, OCR invocation, and cost per analysis.</w:t>
      </w:r>
    </w:p>
    <w:p>
      <w:pPr>
        <w:pStyle w:val="ListBullet"/>
        <w:spacing w:after="40" w:line="250" w:lineRule="auto"/>
        <w:ind w:left="0"/>
      </w:pPr>
      <w:r>
        <w:rPr>
          <w:rFonts w:ascii="Aptos" w:hAnsi="Aptos"/>
        </w:rPr>
        <w:t>Parser confidence and user correction rate by field, provider, and adapter version.</w:t>
      </w:r>
    </w:p>
    <w:p>
      <w:pPr>
        <w:pStyle w:val="ListBullet"/>
        <w:spacing w:after="40" w:line="250" w:lineRule="auto"/>
        <w:ind w:left="0"/>
      </w:pPr>
      <w:r>
        <w:rPr>
          <w:rFonts w:ascii="Aptos" w:hAnsi="Aptos"/>
        </w:rPr>
        <w:t>Account match acceptance, split, and merge rates.</w:t>
      </w:r>
    </w:p>
    <w:p>
      <w:pPr>
        <w:pStyle w:val="ListBullet"/>
        <w:spacing w:after="40" w:line="250" w:lineRule="auto"/>
        <w:ind w:left="0"/>
      </w:pPr>
      <w:r>
        <w:rPr>
          <w:rFonts w:ascii="Aptos" w:hAnsi="Aptos"/>
        </w:rPr>
        <w:t>Rule trigger, suppression, user dismissal, and reviewer disagreement rates.</w:t>
      </w:r>
    </w:p>
    <w:p>
      <w:pPr>
        <w:pStyle w:val="ListBullet"/>
        <w:spacing w:after="40" w:line="250" w:lineRule="auto"/>
        <w:ind w:left="0"/>
      </w:pPr>
      <w:r>
        <w:rPr>
          <w:rFonts w:ascii="Aptos" w:hAnsi="Aptos"/>
        </w:rPr>
        <w:t>LLM validation failure, deterministic fallback, citation failure, and prohibited-language block rates.</w:t>
      </w:r>
    </w:p>
    <w:p>
      <w:pPr>
        <w:pStyle w:val="ListBullet"/>
        <w:spacing w:after="40" w:line="250" w:lineRule="auto"/>
        <w:ind w:left="0"/>
      </w:pPr>
      <w:r>
        <w:rPr>
          <w:rFonts w:ascii="Aptos" w:hAnsi="Aptos"/>
        </w:rPr>
        <w:t>Exports, deletions, failed deletion steps, support access, and suspicious access patterns.</w:t>
      </w:r>
    </w:p>
    <w:p>
      <w:pPr>
        <w:pStyle w:val="ListBullet"/>
        <w:spacing w:after="40" w:line="250" w:lineRule="auto"/>
        <w:ind w:left="0"/>
      </w:pPr>
      <w:r>
        <w:rPr>
          <w:rFonts w:ascii="Aptos" w:hAnsi="Aptos"/>
        </w:rPr>
        <w:t>No metric dimension may contain raw report text, full identifiers, or unnecessarily granular identity data.</w:t>
      </w:r>
    </w:p>
    <w:p>
      <w:pPr>
        <w:pStyle w:val="Heading2"/>
        <w:keepNext/>
      </w:pPr>
      <w:r>
        <w:rPr>
          <w:rFonts w:ascii="Aptos Display" w:hAnsi="Aptos Display"/>
          <w:b/>
          <w:color w:val="245D8C"/>
          <w:sz w:val="26"/>
        </w:rPr>
        <w:t>17.2 Audit-event minimum fields</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w:t>
            </w:r>
            <w:r>
              <w:br/>
            </w:r>
            <w:r>
              <w:rPr>
                <w:rFonts w:ascii="Liberation Mono" w:hAnsi="Liberation Mono"/>
                <w:color w:val="263238"/>
                <w:sz w:val="16"/>
              </w:rPr>
              <w:t xml:space="preserve">  "eventId": "uuid",</w:t>
            </w:r>
            <w:r>
              <w:br/>
            </w:r>
            <w:r>
              <w:rPr>
                <w:rFonts w:ascii="Liberation Mono" w:hAnsi="Liberation Mono"/>
                <w:color w:val="263238"/>
                <w:sz w:val="16"/>
              </w:rPr>
              <w:t xml:space="preserve">  "occurredAt": "timestamp",</w:t>
            </w:r>
            <w:r>
              <w:br/>
            </w:r>
            <w:r>
              <w:rPr>
                <w:rFonts w:ascii="Liberation Mono" w:hAnsi="Liberation Mono"/>
                <w:color w:val="263238"/>
                <w:sz w:val="16"/>
              </w:rPr>
              <w:t xml:space="preserve">  "actorType": "user | service | admin | break-glass",</w:t>
            </w:r>
            <w:r>
              <w:br/>
            </w:r>
            <w:r>
              <w:rPr>
                <w:rFonts w:ascii="Liberation Mono" w:hAnsi="Liberation Mono"/>
                <w:color w:val="263238"/>
                <w:sz w:val="16"/>
              </w:rPr>
              <w:t xml:space="preserve">  "actorId": "pseudonymous-id",</w:t>
            </w:r>
            <w:r>
              <w:br/>
            </w:r>
            <w:r>
              <w:rPr>
                <w:rFonts w:ascii="Liberation Mono" w:hAnsi="Liberation Mono"/>
                <w:color w:val="263238"/>
                <w:sz w:val="16"/>
              </w:rPr>
              <w:t xml:space="preserve">  "purpose": "string",</w:t>
            </w:r>
            <w:r>
              <w:br/>
            </w:r>
            <w:r>
              <w:rPr>
                <w:rFonts w:ascii="Liberation Mono" w:hAnsi="Liberation Mono"/>
                <w:color w:val="263238"/>
                <w:sz w:val="16"/>
              </w:rPr>
              <w:t xml:space="preserve">  "action": "string",</w:t>
            </w:r>
            <w:r>
              <w:br/>
            </w:r>
            <w:r>
              <w:rPr>
                <w:rFonts w:ascii="Liberation Mono" w:hAnsi="Liberation Mono"/>
                <w:color w:val="263238"/>
                <w:sz w:val="16"/>
              </w:rPr>
              <w:t xml:space="preserve">  "resourceType": "string",</w:t>
            </w:r>
            <w:r>
              <w:br/>
            </w:r>
            <w:r>
              <w:rPr>
                <w:rFonts w:ascii="Liberation Mono" w:hAnsi="Liberation Mono"/>
                <w:color w:val="263238"/>
                <w:sz w:val="16"/>
              </w:rPr>
              <w:t xml:space="preserve">  "resourceId": "scoped-id",</w:t>
            </w:r>
            <w:r>
              <w:br/>
            </w:r>
            <w:r>
              <w:rPr>
                <w:rFonts w:ascii="Liberation Mono" w:hAnsi="Liberation Mono"/>
                <w:color w:val="263238"/>
                <w:sz w:val="16"/>
              </w:rPr>
              <w:t xml:space="preserve">  "result": "success | denied | failed",</w:t>
            </w:r>
            <w:r>
              <w:br/>
            </w:r>
            <w:r>
              <w:rPr>
                <w:rFonts w:ascii="Liberation Mono" w:hAnsi="Liberation Mono"/>
                <w:color w:val="263238"/>
                <w:sz w:val="16"/>
              </w:rPr>
              <w:t xml:space="preserve">  "policyVersion": "string",</w:t>
            </w:r>
            <w:r>
              <w:br/>
            </w:r>
            <w:r>
              <w:rPr>
                <w:rFonts w:ascii="Liberation Mono" w:hAnsi="Liberation Mono"/>
                <w:color w:val="263238"/>
                <w:sz w:val="16"/>
              </w:rPr>
              <w:t xml:space="preserve">  "requestCorrelationId": "string"</w:t>
            </w:r>
            <w:r>
              <w:br/>
            </w:r>
            <w:r>
              <w:rPr>
                <w:rFonts w:ascii="Liberation Mono" w:hAnsi="Liberation Mono"/>
                <w:color w:val="263238"/>
                <w:sz w:val="16"/>
              </w:rPr>
              <w:t>}</w:t>
            </w:r>
          </w:p>
        </w:tc>
        <w:trPr>
          <w:tblHeader/>
        </w:trPr>
      </w:tr>
    </w:tbl>
    <w:p>
      <w:pPr>
        <w:spacing w:after="0"/>
      </w:pPr>
    </w:p>
    <w:p>
      <w:pPr>
        <w:pStyle w:val="Heading2"/>
        <w:keepNext/>
      </w:pPr>
      <w:r>
        <w:rPr>
          <w:rFonts w:ascii="Aptos Display" w:hAnsi="Aptos Display"/>
          <w:b/>
          <w:color w:val="245D8C"/>
          <w:sz w:val="26"/>
        </w:rPr>
        <w:t>17.3 Operational runbooks</w:t>
      </w:r>
    </w:p>
    <w:p>
      <w:pPr>
        <w:pStyle w:val="ListBullet"/>
        <w:spacing w:after="40" w:line="250" w:lineRule="auto"/>
        <w:ind w:left="0"/>
      </w:pPr>
      <w:r>
        <w:rPr>
          <w:rFonts w:ascii="Aptos" w:hAnsi="Aptos"/>
        </w:rPr>
        <w:t>Parser regression or unsupported provider layout</w:t>
      </w:r>
    </w:p>
    <w:p>
      <w:pPr>
        <w:pStyle w:val="ListBullet"/>
        <w:spacing w:after="40" w:line="250" w:lineRule="auto"/>
        <w:ind w:left="0"/>
      </w:pPr>
      <w:r>
        <w:rPr>
          <w:rFonts w:ascii="Aptos" w:hAnsi="Aptos"/>
        </w:rPr>
        <w:t>Malware quarantine and false-positive release</w:t>
      </w:r>
    </w:p>
    <w:p>
      <w:pPr>
        <w:pStyle w:val="ListBullet"/>
        <w:spacing w:after="40" w:line="250" w:lineRule="auto"/>
        <w:ind w:left="0"/>
      </w:pPr>
      <w:r>
        <w:rPr>
          <w:rFonts w:ascii="Aptos" w:hAnsi="Aptos"/>
        </w:rPr>
        <w:t>Model provider outage or unsafe output spike</w:t>
      </w:r>
    </w:p>
    <w:p>
      <w:pPr>
        <w:pStyle w:val="ListBullet"/>
        <w:spacing w:after="40" w:line="250" w:lineRule="auto"/>
        <w:ind w:left="0"/>
      </w:pPr>
      <w:r>
        <w:rPr>
          <w:rFonts w:ascii="Aptos" w:hAnsi="Aptos"/>
        </w:rPr>
        <w:t>Cross-tenant access alert or suspected account takeover</w:t>
      </w:r>
    </w:p>
    <w:p>
      <w:pPr>
        <w:pStyle w:val="ListBullet"/>
        <w:spacing w:after="40" w:line="250" w:lineRule="auto"/>
        <w:ind w:left="0"/>
      </w:pPr>
      <w:r>
        <w:rPr>
          <w:rFonts w:ascii="Aptos" w:hAnsi="Aptos"/>
        </w:rPr>
        <w:t>Consumer deletion failure</w:t>
      </w:r>
    </w:p>
    <w:p>
      <w:pPr>
        <w:pStyle w:val="ListBullet"/>
        <w:spacing w:after="40" w:line="250" w:lineRule="auto"/>
        <w:ind w:left="0"/>
      </w:pPr>
      <w:r>
        <w:rPr>
          <w:rFonts w:ascii="Aptos" w:hAnsi="Aptos"/>
        </w:rPr>
        <w:t>Legal authority or rule emergency disablement</w:t>
      </w:r>
    </w:p>
    <w:p>
      <w:pPr>
        <w:pStyle w:val="ListBullet"/>
        <w:spacing w:after="40" w:line="250" w:lineRule="auto"/>
        <w:ind w:left="0"/>
      </w:pPr>
      <w:r>
        <w:rPr>
          <w:rFonts w:ascii="Aptos" w:hAnsi="Aptos"/>
        </w:rPr>
        <w:t>Credential exposure, vendor incident, or breach investigation</w:t>
      </w:r>
    </w:p>
    <w:p>
      <w:pPr>
        <w:pStyle w:val="ListBullet"/>
        <w:spacing w:after="40" w:line="250" w:lineRule="auto"/>
        <w:ind w:left="0"/>
      </w:pPr>
      <w:r>
        <w:rPr>
          <w:rFonts w:ascii="Aptos" w:hAnsi="Aptos"/>
        </w:rPr>
        <w:t>Rollback of parser, ruleset, prompt, model, application, and database migration</w:t>
      </w:r>
    </w:p>
    <w:p>
      <w:pPr>
        <w:pStyle w:val="Heading1"/>
        <w:pageBreakBefore/>
      </w:pPr>
      <w:r>
        <w:rPr>
          <w:rFonts w:ascii="Aptos Display" w:hAnsi="Aptos Display"/>
          <w:b/>
          <w:color w:val="17324D"/>
          <w:sz w:val="36"/>
        </w:rPr>
        <w:t>18. Success Metrics and Product Analytics</w:t>
      </w:r>
    </w:p>
    <w:p>
      <w:pPr>
        <w:pStyle w:val="Heading2"/>
        <w:keepNext/>
      </w:pPr>
      <w:r>
        <w:rPr>
          <w:rFonts w:ascii="Aptos Display" w:hAnsi="Aptos Display"/>
          <w:b/>
          <w:color w:val="245D8C"/>
          <w:sz w:val="26"/>
        </w:rPr>
        <w:t>18.1 North-star outcome</w:t>
      </w:r>
    </w:p>
    <w:tbl>
      <w:tblPr>
        <w:tblW w:type="auto" w:w="0"/>
        <w:jc w:val="center"/>
        <w:tblLayout w:type="autofit"/>
        <w:tblLook w:firstColumn="1" w:firstRow="1" w:lastColumn="0" w:lastRow="0" w:noHBand="0" w:noVBand="1" w:val="04A0"/>
      </w:tblPr>
      <w:tblGrid>
        <w:gridCol w:w="10166"/>
      </w:tblGrid>
      <w:tr>
        <w:tc>
          <w:tcPr>
            <w:tcW w:type="dxa" w:w="10166"/>
            <w:shd w:fill="E9F5EF"/>
            <w:tcMar>
              <w:top w:w="120" w:type="dxa"/>
              <w:start w:w="160" w:type="dxa"/>
              <w:bottom w:w="120" w:type="dxa"/>
              <w:end w:w="160" w:type="dxa"/>
            </w:tcMar>
            <w:tcBorders>
              <w:top w:val="nil"/>
              <w:start w:val="single" w:sz="18" w:color="2F6B4F"/>
              <w:bottom w:val="nil"/>
              <w:end w:val="nil"/>
            </w:tcBorders>
          </w:tcPr>
          <w:p>
            <w:pPr>
              <w:spacing w:after="60"/>
            </w:pPr>
            <w:r>
              <w:rPr>
                <w:rFonts w:ascii="Aptos" w:hAnsi="Aptos"/>
                <w:b/>
                <w:color w:val="2F6B4F"/>
                <w:sz w:val="21"/>
              </w:rPr>
              <w:t>Informed next action</w:t>
            </w:r>
          </w:p>
          <w:p>
            <w:pPr>
              <w:spacing w:after="0"/>
            </w:pPr>
            <w:r>
              <w:rPr>
                <w:rFonts w:ascii="Aptos" w:hAnsi="Aptos"/>
                <w:color w:val="1F2933"/>
                <w:sz w:val="19"/>
              </w:rPr>
              <w:t>Percentage of completed users who correctly understand at least one evidence-supported finding or educational insight and identify an appropriate next step—without believing the system guaranteed a deletion, score increase, or legal outcome.</w:t>
            </w:r>
          </w:p>
        </w:tc>
        <w:trPr>
          <w:tblHeader/>
        </w:trPr>
      </w:tr>
    </w:tbl>
    <w:p>
      <w:pPr>
        <w:spacing w:after="0"/>
      </w:pPr>
    </w:p>
    <w:p>
      <w:pPr>
        <w:pStyle w:val="Heading2"/>
        <w:keepNext/>
      </w:pPr>
      <w:r>
        <w:rPr>
          <w:rFonts w:ascii="Aptos Display" w:hAnsi="Aptos Display"/>
          <w:b/>
          <w:color w:val="245D8C"/>
          <w:sz w:val="26"/>
        </w:rPr>
        <w:t>18.2 Metric framework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Mar>
              <w:top w:w="80" w:type="dxa"/>
              <w:start w:w="90" w:type="dxa"/>
              <w:bottom w:w="80" w:type="dxa"/>
              <w:end w:w="90" w:type="dxa"/>
            </w:tcMar>
            <w:vAlign w:val="center"/>
          </w:tcPr>
          <w:p>
            <w:pPr>
              <w:spacing w:after="0"/>
            </w:pPr>
            <w:r>
              <w:rPr>
                <w:rFonts w:ascii="Aptos" w:hAnsi="Aptos"/>
                <w:b/>
                <w:color w:val="FFFFFF"/>
                <w:sz w:val="16"/>
              </w:rPr>
              <w:t>Dimension</w:t>
            </w:r>
          </w:p>
        </w:tc>
        <w:tc>
          <w:tcPr>
            <w:tcW w:type="dxa" w:w="4968"/>
            <w:shd w:fill="17324D"/>
            <w:tcMar>
              <w:top w:w="80" w:type="dxa"/>
              <w:start w:w="90" w:type="dxa"/>
              <w:bottom w:w="80" w:type="dxa"/>
              <w:end w:w="90" w:type="dxa"/>
            </w:tcMar>
            <w:vAlign w:val="center"/>
          </w:tcPr>
          <w:p>
            <w:pPr>
              <w:spacing w:after="0"/>
            </w:pPr>
            <w:r>
              <w:rPr>
                <w:rFonts w:ascii="Aptos" w:hAnsi="Aptos"/>
                <w:b/>
                <w:color w:val="FFFFFF"/>
                <w:sz w:val="16"/>
              </w:rPr>
              <w:t>Metrics</w:t>
            </w:r>
          </w:p>
        </w:tc>
        <w:tc>
          <w:tcPr>
            <w:tcW w:type="dxa" w:w="3672"/>
            <w:shd w:fill="17324D"/>
            <w:tcMar>
              <w:top w:w="80" w:type="dxa"/>
              <w:start w:w="90" w:type="dxa"/>
              <w:bottom w:w="80" w:type="dxa"/>
              <w:end w:w="90" w:type="dxa"/>
            </w:tcMar>
            <w:vAlign w:val="center"/>
          </w:tcPr>
          <w:p>
            <w:pPr>
              <w:spacing w:after="0"/>
            </w:pPr>
            <w:r>
              <w:rPr>
                <w:rFonts w:ascii="Aptos" w:hAnsi="Aptos"/>
                <w:b/>
                <w:color w:val="FFFFFF"/>
                <w:sz w:val="16"/>
              </w:rPr>
              <w:t>Guardrail</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Activation</w:t>
            </w:r>
          </w:p>
        </w:tc>
        <w:tc>
          <w:tcPr>
            <w:tcW w:type="dxa" w:w="4968"/>
            <w:tcMar>
              <w:top w:w="70" w:type="dxa"/>
              <w:start w:w="90" w:type="dxa"/>
              <w:bottom w:w="70" w:type="dxa"/>
              <w:end w:w="90" w:type="dxa"/>
            </w:tcMar>
          </w:tcPr>
          <w:p>
            <w:pPr>
              <w:spacing w:after="0" w:line="240" w:lineRule="auto"/>
            </w:pPr>
            <w:r>
              <w:rPr>
                <w:rFonts w:ascii="Aptos" w:hAnsi="Aptos"/>
                <w:color w:val="1F2933"/>
                <w:sz w:val="16"/>
              </w:rPr>
              <w:t>Upload completion, parsing completion, data-review completion</w:t>
            </w:r>
          </w:p>
        </w:tc>
        <w:tc>
          <w:tcPr>
            <w:tcW w:type="dxa" w:w="3672"/>
            <w:tcMar>
              <w:top w:w="70" w:type="dxa"/>
              <w:start w:w="90" w:type="dxa"/>
              <w:bottom w:w="70" w:type="dxa"/>
              <w:end w:w="90" w:type="dxa"/>
            </w:tcMar>
          </w:tcPr>
          <w:p>
            <w:pPr>
              <w:spacing w:after="0" w:line="240" w:lineRule="auto"/>
            </w:pPr>
            <w:r>
              <w:rPr>
                <w:rFonts w:ascii="Aptos" w:hAnsi="Aptos"/>
                <w:color w:val="1F2933"/>
                <w:sz w:val="16"/>
              </w:rPr>
              <w:t>Do not pressure users to upload or retain data</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6"/>
              </w:rPr>
              <w:t>Trust and comprehension</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6"/>
              </w:rPr>
              <w:t>Finding comprehension, evidence-link usage, limitation recall, user confidence calibration</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6"/>
              </w:rPr>
              <w:t>Confidence should not rise when findings are weak</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Analysis quality</w:t>
            </w:r>
          </w:p>
        </w:tc>
        <w:tc>
          <w:tcPr>
            <w:tcW w:type="dxa" w:w="4968"/>
            <w:tcMar>
              <w:top w:w="70" w:type="dxa"/>
              <w:start w:w="90" w:type="dxa"/>
              <w:bottom w:w="70" w:type="dxa"/>
              <w:end w:w="90" w:type="dxa"/>
            </w:tcMar>
          </w:tcPr>
          <w:p>
            <w:pPr>
              <w:spacing w:after="0" w:line="240" w:lineRule="auto"/>
            </w:pPr>
            <w:r>
              <w:rPr>
                <w:rFonts w:ascii="Aptos" w:hAnsi="Aptos"/>
                <w:color w:val="1F2933"/>
                <w:sz w:val="16"/>
              </w:rPr>
              <w:t>Precision, false-positive rate, dismissal reasons, expert agreement</w:t>
            </w:r>
          </w:p>
        </w:tc>
        <w:tc>
          <w:tcPr>
            <w:tcW w:type="dxa" w:w="3672"/>
            <w:tcMar>
              <w:top w:w="70" w:type="dxa"/>
              <w:start w:w="90" w:type="dxa"/>
              <w:bottom w:w="70" w:type="dxa"/>
              <w:end w:w="90" w:type="dxa"/>
            </w:tcMar>
          </w:tcPr>
          <w:p>
            <w:pPr>
              <w:spacing w:after="0" w:line="240" w:lineRule="auto"/>
            </w:pPr>
            <w:r>
              <w:rPr>
                <w:rFonts w:ascii="Aptos" w:hAnsi="Aptos"/>
                <w:color w:val="1F2933"/>
                <w:sz w:val="16"/>
              </w:rPr>
              <w:t>Do not optimize for finding count</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6"/>
              </w:rPr>
              <w:t>Education</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6"/>
              </w:rPr>
              <w:t>Module completion, knowledge-check improvement, actionable-plan completion</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6"/>
              </w:rPr>
              <w:t>No gamification around disputes or score obsession</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Operations</w:t>
            </w:r>
          </w:p>
        </w:tc>
        <w:tc>
          <w:tcPr>
            <w:tcW w:type="dxa" w:w="4968"/>
            <w:tcMar>
              <w:top w:w="70" w:type="dxa"/>
              <w:start w:w="90" w:type="dxa"/>
              <w:bottom w:w="70" w:type="dxa"/>
              <w:end w:w="90" w:type="dxa"/>
            </w:tcMar>
          </w:tcPr>
          <w:p>
            <w:pPr>
              <w:spacing w:after="0" w:line="240" w:lineRule="auto"/>
            </w:pPr>
            <w:r>
              <w:rPr>
                <w:rFonts w:ascii="Aptos" w:hAnsi="Aptos"/>
                <w:color w:val="1F2933"/>
                <w:sz w:val="16"/>
              </w:rPr>
              <w:t>Processing success, latency, support rate, provider cost</w:t>
            </w:r>
          </w:p>
        </w:tc>
        <w:tc>
          <w:tcPr>
            <w:tcW w:type="dxa" w:w="3672"/>
            <w:tcMar>
              <w:top w:w="70" w:type="dxa"/>
              <w:start w:w="90" w:type="dxa"/>
              <w:bottom w:w="70" w:type="dxa"/>
              <w:end w:w="90" w:type="dxa"/>
            </w:tcMar>
          </w:tcPr>
          <w:p>
            <w:pPr>
              <w:spacing w:after="0" w:line="240" w:lineRule="auto"/>
            </w:pPr>
            <w:r>
              <w:rPr>
                <w:rFonts w:ascii="Aptos" w:hAnsi="Aptos"/>
                <w:color w:val="1F2933"/>
                <w:sz w:val="16"/>
              </w:rPr>
              <w:t>No shortcut that reduces security or provenance</w:t>
            </w:r>
          </w:p>
        </w:tc>
      </w:tr>
      <w:tr>
        <w:trPr>
          <w:cantSplit/>
        </w:trPr>
        <w:tc>
          <w:tcPr>
            <w:tcW w:type="dxa" w:w="1800"/>
            <w:tcMar>
              <w:top w:w="70" w:type="dxa"/>
              <w:start w:w="90" w:type="dxa"/>
              <w:bottom w:w="70" w:type="dxa"/>
              <w:end w:w="90" w:type="dxa"/>
            </w:tcMar>
            <w:shd w:fill="F5F7FA"/>
          </w:tcPr>
          <w:p>
            <w:pPr>
              <w:spacing w:after="0" w:line="240" w:lineRule="auto"/>
            </w:pPr>
            <w:r>
              <w:rPr>
                <w:rFonts w:ascii="Aptos" w:hAnsi="Aptos"/>
                <w:color w:val="1F2933"/>
                <w:sz w:val="16"/>
              </w:rPr>
              <w:t>Safety/compliance</w:t>
            </w:r>
          </w:p>
        </w:tc>
        <w:tc>
          <w:tcPr>
            <w:tcW w:type="dxa" w:w="4968"/>
            <w:tcMar>
              <w:top w:w="70" w:type="dxa"/>
              <w:start w:w="90" w:type="dxa"/>
              <w:bottom w:w="70" w:type="dxa"/>
              <w:end w:w="90" w:type="dxa"/>
            </w:tcMar>
            <w:shd w:fill="F5F7FA"/>
          </w:tcPr>
          <w:p>
            <w:pPr>
              <w:spacing w:after="0" w:line="240" w:lineRule="auto"/>
            </w:pPr>
            <w:r>
              <w:rPr>
                <w:rFonts w:ascii="Aptos" w:hAnsi="Aptos"/>
                <w:color w:val="1F2933"/>
                <w:sz w:val="16"/>
              </w:rPr>
              <w:t>Prohibited-claim blocks, citation failures, complaints, legal escalations</w:t>
            </w:r>
          </w:p>
        </w:tc>
        <w:tc>
          <w:tcPr>
            <w:tcW w:type="dxa" w:w="3672"/>
            <w:tcMar>
              <w:top w:w="70" w:type="dxa"/>
              <w:start w:w="90" w:type="dxa"/>
              <w:bottom w:w="70" w:type="dxa"/>
              <w:end w:w="90" w:type="dxa"/>
            </w:tcMar>
            <w:shd w:fill="F5F7FA"/>
          </w:tcPr>
          <w:p>
            <w:pPr>
              <w:spacing w:after="0" w:line="240" w:lineRule="auto"/>
            </w:pPr>
            <w:r>
              <w:rPr>
                <w:rFonts w:ascii="Aptos" w:hAnsi="Aptos"/>
                <w:color w:val="1F2933"/>
                <w:sz w:val="16"/>
              </w:rPr>
              <w:t>Any critical safety event may halt release</w:t>
            </w:r>
          </w:p>
        </w:tc>
      </w:tr>
      <w:tr>
        <w:trPr>
          <w:cantSplit/>
        </w:trPr>
        <w:tc>
          <w:tcPr>
            <w:tcW w:type="dxa" w:w="1800"/>
            <w:tcMar>
              <w:top w:w="70" w:type="dxa"/>
              <w:start w:w="90" w:type="dxa"/>
              <w:bottom w:w="70" w:type="dxa"/>
              <w:end w:w="90" w:type="dxa"/>
            </w:tcMar>
          </w:tcPr>
          <w:p>
            <w:pPr>
              <w:spacing w:after="0" w:line="240" w:lineRule="auto"/>
            </w:pPr>
            <w:r>
              <w:rPr>
                <w:rFonts w:ascii="Aptos" w:hAnsi="Aptos"/>
                <w:color w:val="1F2933"/>
                <w:sz w:val="16"/>
              </w:rPr>
              <w:t>Privacy/security</w:t>
            </w:r>
          </w:p>
        </w:tc>
        <w:tc>
          <w:tcPr>
            <w:tcW w:type="dxa" w:w="4968"/>
            <w:tcMar>
              <w:top w:w="70" w:type="dxa"/>
              <w:start w:w="90" w:type="dxa"/>
              <w:bottom w:w="70" w:type="dxa"/>
              <w:end w:w="90" w:type="dxa"/>
            </w:tcMar>
          </w:tcPr>
          <w:p>
            <w:pPr>
              <w:spacing w:after="0" w:line="240" w:lineRule="auto"/>
            </w:pPr>
            <w:r>
              <w:rPr>
                <w:rFonts w:ascii="Aptos" w:hAnsi="Aptos"/>
                <w:color w:val="1F2933"/>
                <w:sz w:val="16"/>
              </w:rPr>
              <w:t>Deletion completion, access anomalies, vendor retention exceptions</w:t>
            </w:r>
          </w:p>
        </w:tc>
        <w:tc>
          <w:tcPr>
            <w:tcW w:type="dxa" w:w="3672"/>
            <w:tcMar>
              <w:top w:w="70" w:type="dxa"/>
              <w:start w:w="90" w:type="dxa"/>
              <w:bottom w:w="70" w:type="dxa"/>
              <w:end w:w="90" w:type="dxa"/>
            </w:tcMar>
          </w:tcPr>
          <w:p>
            <w:pPr>
              <w:spacing w:after="0" w:line="240" w:lineRule="auto"/>
            </w:pPr>
            <w:r>
              <w:rPr>
                <w:rFonts w:ascii="Aptos" w:hAnsi="Aptos"/>
                <w:color w:val="1F2933"/>
                <w:sz w:val="16"/>
              </w:rPr>
              <w:t>No analytics using raw consumer report data</w:t>
            </w:r>
          </w:p>
        </w:tc>
      </w:tr>
    </w:tbl>
    <w:p>
      <w:pPr>
        <w:spacing w:after="20"/>
      </w:pPr>
    </w:p>
    <w:p>
      <w:pPr>
        <w:pStyle w:val="Heading2"/>
        <w:keepNext/>
      </w:pPr>
      <w:r>
        <w:rPr>
          <w:rFonts w:ascii="Aptos Display" w:hAnsi="Aptos Display"/>
          <w:b/>
          <w:color w:val="245D8C"/>
          <w:sz w:val="26"/>
        </w:rPr>
        <w:t>18.3 Privacy-safe analytics</w:t>
      </w:r>
    </w:p>
    <w:p>
      <w:pPr>
        <w:pStyle w:val="ListBullet"/>
        <w:spacing w:after="40" w:line="250" w:lineRule="auto"/>
        <w:ind w:left="0"/>
      </w:pPr>
      <w:r>
        <w:rPr>
          <w:rFonts w:ascii="Aptos" w:hAnsi="Aptos"/>
        </w:rPr>
        <w:t>Product analytics are event-based, minimal, pseudonymous, and separate from report content.</w:t>
      </w:r>
    </w:p>
    <w:p>
      <w:pPr>
        <w:pStyle w:val="ListBullet"/>
        <w:spacing w:after="40" w:line="250" w:lineRule="auto"/>
        <w:ind w:left="0"/>
      </w:pPr>
      <w:r>
        <w:rPr>
          <w:rFonts w:ascii="Aptos" w:hAnsi="Aptos"/>
        </w:rPr>
        <w:t>Do not record creditor names, balances, account statuses, addresses, SSNs, account digits, or report text in analytics.</w:t>
      </w:r>
    </w:p>
    <w:p>
      <w:pPr>
        <w:pStyle w:val="ListBullet"/>
        <w:spacing w:after="40" w:line="250" w:lineRule="auto"/>
        <w:ind w:left="0"/>
      </w:pPr>
      <w:r>
        <w:rPr>
          <w:rFonts w:ascii="Aptos" w:hAnsi="Aptos"/>
        </w:rPr>
        <w:t>Provide required notices and consent/opt-out controls based on applicable privacy law and product configuration.</w:t>
      </w:r>
    </w:p>
    <w:p>
      <w:pPr>
        <w:pStyle w:val="ListBullet"/>
        <w:spacing w:after="40" w:line="250" w:lineRule="auto"/>
        <w:ind w:left="0"/>
      </w:pPr>
      <w:r>
        <w:rPr>
          <w:rFonts w:ascii="Aptos" w:hAnsi="Aptos"/>
        </w:rPr>
        <w:t>Use aggregated quality metrics and controlled research environments for model/parser improvement.</w:t>
      </w:r>
    </w:p>
    <w:p>
      <w:pPr>
        <w:pStyle w:val="Heading1"/>
        <w:pageBreakBefore/>
      </w:pPr>
      <w:r>
        <w:rPr>
          <w:rFonts w:ascii="Aptos Display" w:hAnsi="Aptos Display"/>
          <w:b/>
          <w:color w:val="17324D"/>
          <w:sz w:val="36"/>
        </w:rPr>
        <w:t>19. Delivery Plan and Phased Roadmap</w:t>
      </w:r>
    </w:p>
    <w:p>
      <w:pPr>
        <w:pStyle w:val="Heading2"/>
        <w:keepNext/>
      </w:pPr>
      <w:r>
        <w:rPr>
          <w:rFonts w:ascii="Aptos Display" w:hAnsi="Aptos Display"/>
          <w:b/>
          <w:color w:val="245D8C"/>
          <w:sz w:val="26"/>
        </w:rPr>
        <w:t>19.1 Phase 0 - Foundation and legal architecture</w:t>
      </w:r>
    </w:p>
    <w:p>
      <w:pPr>
        <w:pStyle w:val="ListBullet"/>
        <w:spacing w:after="40" w:line="250" w:lineRule="auto"/>
        <w:ind w:left="0"/>
      </w:pPr>
      <w:r>
        <w:rPr>
          <w:rFonts w:ascii="Aptos" w:hAnsi="Aptos"/>
        </w:rPr>
        <w:t>Approve product boundary, launch state, pricing hypothesis, and counsel engagement.</w:t>
      </w:r>
    </w:p>
    <w:p>
      <w:pPr>
        <w:pStyle w:val="ListBullet"/>
        <w:spacing w:after="40" w:line="250" w:lineRule="auto"/>
        <w:ind w:left="0"/>
      </w:pPr>
      <w:r>
        <w:rPr>
          <w:rFonts w:ascii="Aptos" w:hAnsi="Aptos"/>
        </w:rPr>
        <w:t>Complete data-flow inventory, vendor shortlist, threat model, and synthetic data policy.</w:t>
      </w:r>
    </w:p>
    <w:p>
      <w:pPr>
        <w:pStyle w:val="ListBullet"/>
        <w:spacing w:after="40" w:line="250" w:lineRule="auto"/>
        <w:ind w:left="0"/>
      </w:pPr>
      <w:r>
        <w:rPr>
          <w:rFonts w:ascii="Aptos" w:hAnsi="Aptos"/>
        </w:rPr>
        <w:t>Create monorepo, InsForge environments, migrations, RLS patterns, CI, and deployment controls.</w:t>
      </w:r>
    </w:p>
    <w:p>
      <w:pPr>
        <w:pStyle w:val="ListBullet"/>
        <w:spacing w:after="40" w:line="250" w:lineRule="auto"/>
        <w:ind w:left="0"/>
      </w:pPr>
      <w:r>
        <w:rPr>
          <w:rFonts w:ascii="Aptos" w:hAnsi="Aptos"/>
        </w:rPr>
        <w:t>Finalize canonical schema, rule contract, authority/content schemas, and evaluation methodology.</w:t>
      </w:r>
    </w:p>
    <w:p>
      <w:pPr>
        <w:pStyle w:val="Heading2"/>
        <w:keepNext/>
      </w:pPr>
      <w:r>
        <w:rPr>
          <w:rFonts w:ascii="Aptos Display" w:hAnsi="Aptos Display"/>
          <w:b/>
          <w:color w:val="245D8C"/>
          <w:sz w:val="26"/>
        </w:rPr>
        <w:t>19.2 Phase 1 - Secure ingestion and review</w:t>
      </w:r>
    </w:p>
    <w:p>
      <w:pPr>
        <w:pStyle w:val="ListBullet"/>
        <w:spacing w:after="40" w:line="250" w:lineRule="auto"/>
        <w:ind w:left="0"/>
      </w:pPr>
      <w:r>
        <w:rPr>
          <w:rFonts w:ascii="Aptos" w:hAnsi="Aptos"/>
        </w:rPr>
        <w:t>Authentication, consent, private uploads, malware scan, native PDF/HTML adapters, report status.</w:t>
      </w:r>
    </w:p>
    <w:p>
      <w:pPr>
        <w:pStyle w:val="ListBullet"/>
        <w:spacing w:after="40" w:line="250" w:lineRule="auto"/>
        <w:ind w:left="0"/>
      </w:pPr>
      <w:r>
        <w:rPr>
          <w:rFonts w:ascii="Aptos" w:hAnsi="Aptos"/>
        </w:rPr>
        <w:t>Canonical normalization, source provenance, confidence, user correction, masked evidence viewer.</w:t>
      </w:r>
    </w:p>
    <w:p>
      <w:pPr>
        <w:pStyle w:val="ListBullet"/>
        <w:spacing w:after="40" w:line="250" w:lineRule="auto"/>
        <w:ind w:left="0"/>
      </w:pPr>
      <w:r>
        <w:rPr>
          <w:rFonts w:ascii="Aptos" w:hAnsi="Aptos"/>
        </w:rPr>
        <w:t>No AI analysis required to validate this phase; parser quality is the primary exit criterion.</w:t>
      </w:r>
    </w:p>
    <w:p>
      <w:pPr>
        <w:pStyle w:val="Heading2"/>
        <w:keepNext/>
      </w:pPr>
      <w:r>
        <w:rPr>
          <w:rFonts w:ascii="Aptos Display" w:hAnsi="Aptos Display"/>
          <w:b/>
          <w:color w:val="245D8C"/>
          <w:sz w:val="26"/>
        </w:rPr>
        <w:t>19.3 Phase 2 - Deterministic analysis MVP</w:t>
      </w:r>
    </w:p>
    <w:p>
      <w:pPr>
        <w:pStyle w:val="ListBullet"/>
        <w:spacing w:after="40" w:line="250" w:lineRule="auto"/>
        <w:ind w:left="0"/>
      </w:pPr>
      <w:r>
        <w:rPr>
          <w:rFonts w:ascii="Aptos" w:hAnsi="Aptos"/>
        </w:rPr>
        <w:t>Cross-bureau account matching and user confirmation.</w:t>
      </w:r>
    </w:p>
    <w:p>
      <w:pPr>
        <w:pStyle w:val="ListBullet"/>
        <w:spacing w:after="40" w:line="250" w:lineRule="auto"/>
        <w:ind w:left="0"/>
      </w:pPr>
      <w:r>
        <w:rPr>
          <w:rFonts w:ascii="Aptos" w:hAnsi="Aptos"/>
        </w:rPr>
        <w:t>Initial 20-30 high-confidence rule set with approved federal education.</w:t>
      </w:r>
    </w:p>
    <w:p>
      <w:pPr>
        <w:pStyle w:val="ListBullet"/>
        <w:spacing w:after="40" w:line="250" w:lineRule="auto"/>
        <w:ind w:left="0"/>
      </w:pPr>
      <w:r>
        <w:rPr>
          <w:rFonts w:ascii="Aptos" w:hAnsi="Aptos"/>
        </w:rPr>
        <w:t>Structured findings, deduplication, alternative explanations, and action checklist.</w:t>
      </w:r>
    </w:p>
    <w:p>
      <w:pPr>
        <w:pStyle w:val="ListBullet"/>
        <w:spacing w:after="40" w:line="250" w:lineRule="auto"/>
        <w:ind w:left="0"/>
      </w:pPr>
      <w:r>
        <w:rPr>
          <w:rFonts w:ascii="Aptos" w:hAnsi="Aptos"/>
        </w:rPr>
        <w:t>Admin approval workflow, ruleset publication, and complete analysis audit.</w:t>
      </w:r>
    </w:p>
    <w:p>
      <w:pPr>
        <w:pStyle w:val="Heading2"/>
        <w:keepNext/>
      </w:pPr>
      <w:r>
        <w:rPr>
          <w:rFonts w:ascii="Aptos Display" w:hAnsi="Aptos Display"/>
          <w:b/>
          <w:color w:val="245D8C"/>
          <w:sz w:val="26"/>
        </w:rPr>
        <w:t>19.4 Phase 3 - Controlled AI narration and export</w:t>
      </w:r>
    </w:p>
    <w:p>
      <w:pPr>
        <w:pStyle w:val="ListBullet"/>
        <w:spacing w:after="40" w:line="250" w:lineRule="auto"/>
        <w:ind w:left="0"/>
      </w:pPr>
      <w:r>
        <w:rPr>
          <w:rFonts w:ascii="Aptos" w:hAnsi="Aptos"/>
        </w:rPr>
        <w:t>Approved knowledge retrieval, structured language generation, validation, deterministic fallback.</w:t>
      </w:r>
    </w:p>
    <w:p>
      <w:pPr>
        <w:pStyle w:val="ListBullet"/>
        <w:spacing w:after="40" w:line="250" w:lineRule="auto"/>
        <w:ind w:left="0"/>
      </w:pPr>
      <w:r>
        <w:rPr>
          <w:rFonts w:ascii="Aptos" w:hAnsi="Aptos"/>
        </w:rPr>
        <w:t>Interactive report, evidence navigation, accessibility review, masked export, and deletion workflow.</w:t>
      </w:r>
    </w:p>
    <w:p>
      <w:pPr>
        <w:pStyle w:val="ListBullet"/>
        <w:spacing w:after="40" w:line="250" w:lineRule="auto"/>
        <w:ind w:left="0"/>
      </w:pPr>
      <w:r>
        <w:rPr>
          <w:rFonts w:ascii="Aptos" w:hAnsi="Aptos"/>
        </w:rPr>
        <w:t>Adversarial model and prompt-injection evaluation before consumer pilot.</w:t>
      </w:r>
    </w:p>
    <w:p>
      <w:pPr>
        <w:pStyle w:val="Heading2"/>
        <w:keepNext/>
      </w:pPr>
      <w:r>
        <w:rPr>
          <w:rFonts w:ascii="Aptos Display" w:hAnsi="Aptos Display"/>
          <w:b/>
          <w:color w:val="245D8C"/>
          <w:sz w:val="26"/>
        </w:rPr>
        <w:t>19.5 Phase 4 - Invite-only pilot</w:t>
      </w:r>
    </w:p>
    <w:p>
      <w:pPr>
        <w:pStyle w:val="ListBullet"/>
        <w:spacing w:after="40" w:line="250" w:lineRule="auto"/>
        <w:ind w:left="0"/>
      </w:pPr>
      <w:r>
        <w:rPr>
          <w:rFonts w:ascii="Aptos" w:hAnsi="Aptos"/>
        </w:rPr>
        <w:t>One approved state; native PDF/HTML; limited supported providers; synthetic plus authorized pilot reports.</w:t>
      </w:r>
    </w:p>
    <w:p>
      <w:pPr>
        <w:pStyle w:val="ListBullet"/>
        <w:spacing w:after="40" w:line="250" w:lineRule="auto"/>
        <w:ind w:left="0"/>
      </w:pPr>
      <w:r>
        <w:rPr>
          <w:rFonts w:ascii="Aptos" w:hAnsi="Aptos"/>
        </w:rPr>
        <w:t>Human review sampling, consumer comprehension research, false-positive tracking, security monitoring, and support runbooks.</w:t>
      </w:r>
    </w:p>
    <w:p>
      <w:pPr>
        <w:pStyle w:val="ListBullet"/>
        <w:spacing w:after="40" w:line="250" w:lineRule="auto"/>
        <w:ind w:left="0"/>
      </w:pPr>
      <w:r>
        <w:rPr>
          <w:rFonts w:ascii="Aptos" w:hAnsi="Aptos"/>
        </w:rPr>
        <w:t>No autonomous disputes, score guarantees, or conclusive Metro 2 audits.</w:t>
      </w:r>
    </w:p>
    <w:p>
      <w:pPr>
        <w:pStyle w:val="Heading2"/>
        <w:keepNext/>
      </w:pPr>
      <w:r>
        <w:rPr>
          <w:rFonts w:ascii="Aptos Display" w:hAnsi="Aptos Display"/>
          <w:b/>
          <w:color w:val="245D8C"/>
          <w:sz w:val="26"/>
        </w:rPr>
        <w:t>19.6 Post-MVP candidates</w:t>
      </w:r>
    </w:p>
    <w:p>
      <w:pPr>
        <w:pStyle w:val="ListBullet"/>
        <w:spacing w:after="40" w:line="250" w:lineRule="auto"/>
        <w:ind w:left="0"/>
      </w:pPr>
      <w:r>
        <w:rPr>
          <w:rFonts w:ascii="Aptos" w:hAnsi="Aptos"/>
        </w:rPr>
        <w:t>OCR for scanned reports and broader provider adapters.</w:t>
      </w:r>
    </w:p>
    <w:p>
      <w:pPr>
        <w:pStyle w:val="ListBullet"/>
        <w:spacing w:after="40" w:line="250" w:lineRule="auto"/>
        <w:ind w:left="0"/>
      </w:pPr>
      <w:r>
        <w:rPr>
          <w:rFonts w:ascii="Aptos" w:hAnsi="Aptos"/>
        </w:rPr>
        <w:t>User evidence uploads and dispute-response document analysis.</w:t>
      </w:r>
    </w:p>
    <w:p>
      <w:pPr>
        <w:pStyle w:val="ListBullet"/>
        <w:spacing w:after="40" w:line="250" w:lineRule="auto"/>
        <w:ind w:left="0"/>
      </w:pPr>
      <w:r>
        <w:rPr>
          <w:rFonts w:ascii="Aptos" w:hAnsi="Aptos"/>
        </w:rPr>
        <w:t>User-editable correspondence drafts with explicit factual basis and recipient.</w:t>
      </w:r>
    </w:p>
    <w:p>
      <w:pPr>
        <w:pStyle w:val="ListBullet"/>
        <w:spacing w:after="40" w:line="250" w:lineRule="auto"/>
        <w:ind w:left="0"/>
      </w:pPr>
      <w:r>
        <w:rPr>
          <w:rFonts w:ascii="Aptos" w:hAnsi="Aptos"/>
        </w:rPr>
        <w:t>Identity-theft recovery workflow and official resource integration.</w:t>
      </w:r>
    </w:p>
    <w:p>
      <w:pPr>
        <w:pStyle w:val="ListBullet"/>
        <w:spacing w:after="40" w:line="250" w:lineRule="auto"/>
        <w:ind w:left="0"/>
      </w:pPr>
      <w:r>
        <w:rPr>
          <w:rFonts w:ascii="Aptos" w:hAnsi="Aptos"/>
        </w:rPr>
        <w:t>Additional counsel-approved state modules.</w:t>
      </w:r>
    </w:p>
    <w:p>
      <w:pPr>
        <w:pStyle w:val="ListBullet"/>
        <w:spacing w:after="40" w:line="250" w:lineRule="auto"/>
        <w:ind w:left="0"/>
      </w:pPr>
      <w:r>
        <w:rPr>
          <w:rFonts w:ascii="Aptos" w:hAnsi="Aptos"/>
        </w:rPr>
        <w:t>Professional review queues for attorneys or nonprofit counselors under a separately reviewed product model.</w:t>
      </w:r>
    </w:p>
    <w:p>
      <w:pPr>
        <w:pStyle w:val="ListBullet"/>
        <w:spacing w:after="40" w:line="250" w:lineRule="auto"/>
        <w:ind w:left="0"/>
      </w:pPr>
      <w:r>
        <w:rPr>
          <w:rFonts w:ascii="Aptos" w:hAnsi="Aptos"/>
        </w:rPr>
        <w:t>Licensed Metro 2 logic only if access eligibility, copyright/license, and product-use rights are established.</w:t>
      </w:r>
    </w:p>
    <w:p>
      <w:pPr>
        <w:pStyle w:val="Heading1"/>
        <w:pageBreakBefore/>
      </w:pPr>
      <w:r>
        <w:rPr>
          <w:rFonts w:ascii="Aptos Display" w:hAnsi="Aptos Display"/>
          <w:b/>
          <w:color w:val="17324D"/>
          <w:sz w:val="36"/>
        </w:rPr>
        <w:t>20. Key Risks and Mitigations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864"/>
            <w:shd w:fill="17324D"/>
            <w:tcMar>
              <w:top w:w="80" w:type="dxa"/>
              <w:start w:w="90" w:type="dxa"/>
              <w:bottom w:w="80" w:type="dxa"/>
              <w:end w:w="90" w:type="dxa"/>
            </w:tcMar>
            <w:vAlign w:val="center"/>
          </w:tcPr>
          <w:p>
            <w:pPr>
              <w:spacing w:after="0"/>
            </w:pPr>
            <w:r>
              <w:rPr>
                <w:rFonts w:ascii="Aptos" w:hAnsi="Aptos"/>
                <w:b/>
                <w:color w:val="FFFFFF"/>
                <w:sz w:val="15"/>
              </w:rPr>
              <w:t>ID</w:t>
            </w:r>
          </w:p>
        </w:tc>
        <w:tc>
          <w:tcPr>
            <w:tcW w:type="dxa" w:w="3240"/>
            <w:shd w:fill="17324D"/>
            <w:tcMar>
              <w:top w:w="80" w:type="dxa"/>
              <w:start w:w="90" w:type="dxa"/>
              <w:bottom w:w="80" w:type="dxa"/>
              <w:end w:w="90" w:type="dxa"/>
            </w:tcMar>
            <w:vAlign w:val="center"/>
          </w:tcPr>
          <w:p>
            <w:pPr>
              <w:spacing w:after="0"/>
            </w:pPr>
            <w:r>
              <w:rPr>
                <w:rFonts w:ascii="Aptos" w:hAnsi="Aptos"/>
                <w:b/>
                <w:color w:val="FFFFFF"/>
                <w:sz w:val="15"/>
              </w:rPr>
              <w:t>Risk</w:t>
            </w:r>
          </w:p>
        </w:tc>
        <w:tc>
          <w:tcPr>
            <w:tcW w:type="dxa" w:w="1080"/>
            <w:shd w:fill="17324D"/>
            <w:tcMar>
              <w:top w:w="80" w:type="dxa"/>
              <w:start w:w="90" w:type="dxa"/>
              <w:bottom w:w="80" w:type="dxa"/>
              <w:end w:w="90" w:type="dxa"/>
            </w:tcMar>
            <w:vAlign w:val="center"/>
          </w:tcPr>
          <w:p>
            <w:pPr>
              <w:spacing w:after="0"/>
            </w:pPr>
            <w:r>
              <w:rPr>
                <w:rFonts w:ascii="Aptos" w:hAnsi="Aptos"/>
                <w:b/>
                <w:color w:val="FFFFFF"/>
                <w:sz w:val="15"/>
              </w:rPr>
              <w:t>Level</w:t>
            </w:r>
          </w:p>
        </w:tc>
        <w:tc>
          <w:tcPr>
            <w:tcW w:type="dxa" w:w="5256"/>
            <w:shd w:fill="17324D"/>
            <w:tcMar>
              <w:top w:w="80" w:type="dxa"/>
              <w:start w:w="90" w:type="dxa"/>
              <w:bottom w:w="80" w:type="dxa"/>
              <w:end w:w="90" w:type="dxa"/>
            </w:tcMar>
            <w:vAlign w:val="center"/>
          </w:tcPr>
          <w:p>
            <w:pPr>
              <w:spacing w:after="0"/>
            </w:pPr>
            <w:r>
              <w:rPr>
                <w:rFonts w:ascii="Aptos" w:hAnsi="Aptos"/>
                <w:b/>
                <w:color w:val="FFFFFF"/>
                <w:sz w:val="15"/>
              </w:rPr>
              <w:t>Mitigation</w:t>
            </w:r>
          </w:p>
        </w:tc>
      </w:tr>
      <w:tr>
        <w:trPr>
          <w:cantSplit/>
        </w:trPr>
        <w:tc>
          <w:tcPr>
            <w:tcW w:type="dxa" w:w="864"/>
            <w:tcMar>
              <w:top w:w="70" w:type="dxa"/>
              <w:start w:w="90" w:type="dxa"/>
              <w:bottom w:w="70" w:type="dxa"/>
              <w:end w:w="90" w:type="dxa"/>
            </w:tcMar>
          </w:tcPr>
          <w:p>
            <w:pPr>
              <w:spacing w:after="0" w:line="240" w:lineRule="auto"/>
            </w:pPr>
            <w:r>
              <w:rPr>
                <w:rFonts w:ascii="Aptos" w:hAnsi="Aptos"/>
                <w:color w:val="1F2933"/>
                <w:sz w:val="15"/>
              </w:rPr>
              <w:t>R-01</w:t>
            </w:r>
          </w:p>
        </w:tc>
        <w:tc>
          <w:tcPr>
            <w:tcW w:type="dxa" w:w="3240"/>
            <w:tcMar>
              <w:top w:w="70" w:type="dxa"/>
              <w:start w:w="90" w:type="dxa"/>
              <w:bottom w:w="70" w:type="dxa"/>
              <w:end w:w="90" w:type="dxa"/>
            </w:tcMar>
          </w:tcPr>
          <w:p>
            <w:pPr>
              <w:spacing w:after="0" w:line="240" w:lineRule="auto"/>
            </w:pPr>
            <w:r>
              <w:rPr>
                <w:rFonts w:ascii="Aptos" w:hAnsi="Aptos"/>
                <w:color w:val="1F2933"/>
                <w:sz w:val="15"/>
              </w:rPr>
              <w:t>Parser errors create false findings</w:t>
            </w:r>
          </w:p>
        </w:tc>
        <w:tc>
          <w:tcPr>
            <w:tcW w:type="dxa" w:w="1080"/>
            <w:tcMar>
              <w:top w:w="70" w:type="dxa"/>
              <w:start w:w="90" w:type="dxa"/>
              <w:bottom w:w="70" w:type="dxa"/>
              <w:end w:w="90" w:type="dxa"/>
            </w:tcMar>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tcPr>
          <w:p>
            <w:pPr>
              <w:spacing w:after="0" w:line="240" w:lineRule="auto"/>
            </w:pPr>
            <w:r>
              <w:rPr>
                <w:rFonts w:ascii="Aptos" w:hAnsi="Aptos"/>
                <w:color w:val="1F2933"/>
                <w:sz w:val="15"/>
              </w:rPr>
              <w:t>Provider adapters, confidence thresholds, user review, golden regression corpus, source-linked evidence</w:t>
            </w:r>
          </w:p>
        </w:tc>
      </w:tr>
      <w:tr>
        <w:trPr>
          <w:cantSplit/>
        </w:trPr>
        <w:tc>
          <w:tcPr>
            <w:tcW w:type="dxa" w:w="864"/>
            <w:tcMar>
              <w:top w:w="70" w:type="dxa"/>
              <w:start w:w="90" w:type="dxa"/>
              <w:bottom w:w="70" w:type="dxa"/>
              <w:end w:w="90" w:type="dxa"/>
            </w:tcMar>
            <w:shd w:fill="F5F7FA"/>
          </w:tcPr>
          <w:p>
            <w:pPr>
              <w:spacing w:after="0" w:line="240" w:lineRule="auto"/>
            </w:pPr>
            <w:r>
              <w:rPr>
                <w:rFonts w:ascii="Aptos" w:hAnsi="Aptos"/>
                <w:color w:val="1F2933"/>
                <w:sz w:val="15"/>
              </w:rPr>
              <w:t>R-02</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Product is regulated as credit repair or under state credit-services laws</w:t>
            </w:r>
          </w:p>
        </w:tc>
        <w:tc>
          <w:tcPr>
            <w:tcW w:type="dxa" w:w="1080"/>
            <w:tcMar>
              <w:top w:w="70" w:type="dxa"/>
              <w:start w:w="90" w:type="dxa"/>
              <w:bottom w:w="70" w:type="dxa"/>
              <w:end w:w="90" w:type="dxa"/>
            </w:tcMar>
            <w:shd w:fill="F5F7FA"/>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shd w:fill="F5F7FA"/>
          </w:tcPr>
          <w:p>
            <w:pPr>
              <w:spacing w:after="0" w:line="240" w:lineRule="auto"/>
            </w:pPr>
            <w:r>
              <w:rPr>
                <w:rFonts w:ascii="Aptos" w:hAnsi="Aptos"/>
                <w:color w:val="1F2933"/>
                <w:sz w:val="15"/>
              </w:rPr>
              <w:t>Counsel-led service-model review, approved pricing/contracts/marketing, gated states, no scope drift</w:t>
            </w:r>
          </w:p>
        </w:tc>
      </w:tr>
      <w:tr>
        <w:trPr>
          <w:cantSplit/>
        </w:trPr>
        <w:tc>
          <w:tcPr>
            <w:tcW w:type="dxa" w:w="864"/>
            <w:tcMar>
              <w:top w:w="70" w:type="dxa"/>
              <w:start w:w="90" w:type="dxa"/>
              <w:bottom w:w="70" w:type="dxa"/>
              <w:end w:w="90" w:type="dxa"/>
            </w:tcMar>
          </w:tcPr>
          <w:p>
            <w:pPr>
              <w:spacing w:after="0" w:line="240" w:lineRule="auto"/>
            </w:pPr>
            <w:r>
              <w:rPr>
                <w:rFonts w:ascii="Aptos" w:hAnsi="Aptos"/>
                <w:color w:val="1F2933"/>
                <w:sz w:val="15"/>
              </w:rPr>
              <w:t>R-03</w:t>
            </w:r>
          </w:p>
        </w:tc>
        <w:tc>
          <w:tcPr>
            <w:tcW w:type="dxa" w:w="3240"/>
            <w:tcMar>
              <w:top w:w="70" w:type="dxa"/>
              <w:start w:w="90" w:type="dxa"/>
              <w:bottom w:w="70" w:type="dxa"/>
              <w:end w:w="90" w:type="dxa"/>
            </w:tcMar>
          </w:tcPr>
          <w:p>
            <w:pPr>
              <w:spacing w:after="0" w:line="240" w:lineRule="auto"/>
            </w:pPr>
            <w:r>
              <w:rPr>
                <w:rFonts w:ascii="Aptos" w:hAnsi="Aptos"/>
                <w:color w:val="1F2933"/>
                <w:sz w:val="15"/>
              </w:rPr>
              <w:t>Unsupported legal or Metro 2 conclusions</w:t>
            </w:r>
          </w:p>
        </w:tc>
        <w:tc>
          <w:tcPr>
            <w:tcW w:type="dxa" w:w="1080"/>
            <w:tcMar>
              <w:top w:w="70" w:type="dxa"/>
              <w:start w:w="90" w:type="dxa"/>
              <w:bottom w:w="70" w:type="dxa"/>
              <w:end w:w="90" w:type="dxa"/>
            </w:tcMar>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tcPr>
          <w:p>
            <w:pPr>
              <w:spacing w:after="0" w:line="240" w:lineRule="auto"/>
            </w:pPr>
            <w:r>
              <w:rPr>
                <w:rFonts w:ascii="Aptos" w:hAnsi="Aptos"/>
                <w:color w:val="1F2933"/>
                <w:sz w:val="15"/>
              </w:rPr>
              <w:t>Deterministic taxonomy, licensed sources, authority validation, prohibited-language blocker, reviewer gate</w:t>
            </w:r>
          </w:p>
        </w:tc>
      </w:tr>
      <w:tr>
        <w:trPr>
          <w:cantSplit/>
        </w:trPr>
        <w:tc>
          <w:tcPr>
            <w:tcW w:type="dxa" w:w="864"/>
            <w:tcMar>
              <w:top w:w="70" w:type="dxa"/>
              <w:start w:w="90" w:type="dxa"/>
              <w:bottom w:w="70" w:type="dxa"/>
              <w:end w:w="90" w:type="dxa"/>
            </w:tcMar>
            <w:shd w:fill="F5F7FA"/>
          </w:tcPr>
          <w:p>
            <w:pPr>
              <w:spacing w:after="0" w:line="240" w:lineRule="auto"/>
            </w:pPr>
            <w:r>
              <w:rPr>
                <w:rFonts w:ascii="Aptos" w:hAnsi="Aptos"/>
                <w:color w:val="1F2933"/>
                <w:sz w:val="15"/>
              </w:rPr>
              <w:t>R-04</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Credit report breach or insider misuse</w:t>
            </w:r>
          </w:p>
        </w:tc>
        <w:tc>
          <w:tcPr>
            <w:tcW w:type="dxa" w:w="1080"/>
            <w:tcMar>
              <w:top w:w="70" w:type="dxa"/>
              <w:start w:w="90" w:type="dxa"/>
              <w:bottom w:w="70" w:type="dxa"/>
              <w:end w:w="90" w:type="dxa"/>
            </w:tcMar>
            <w:shd w:fill="F5F7FA"/>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shd w:fill="F5F7FA"/>
          </w:tcPr>
          <w:p>
            <w:pPr>
              <w:spacing w:after="0" w:line="240" w:lineRule="auto"/>
            </w:pPr>
            <w:r>
              <w:rPr>
                <w:rFonts w:ascii="Aptos" w:hAnsi="Aptos"/>
                <w:color w:val="1F2933"/>
                <w:sz w:val="15"/>
              </w:rPr>
              <w:t>Minimization, encryption, RLS, MFA, private storage, masked support, audit, short retention, incident plan</w:t>
            </w:r>
          </w:p>
        </w:tc>
      </w:tr>
      <w:tr>
        <w:trPr>
          <w:cantSplit/>
        </w:trPr>
        <w:tc>
          <w:tcPr>
            <w:tcW w:type="dxa" w:w="864"/>
            <w:tcMar>
              <w:top w:w="70" w:type="dxa"/>
              <w:start w:w="90" w:type="dxa"/>
              <w:bottom w:w="70" w:type="dxa"/>
              <w:end w:w="90" w:type="dxa"/>
            </w:tcMar>
          </w:tcPr>
          <w:p>
            <w:pPr>
              <w:spacing w:after="0" w:line="240" w:lineRule="auto"/>
            </w:pPr>
            <w:r>
              <w:rPr>
                <w:rFonts w:ascii="Aptos" w:hAnsi="Aptos"/>
                <w:color w:val="1F2933"/>
                <w:sz w:val="15"/>
              </w:rPr>
              <w:t>R-05</w:t>
            </w:r>
          </w:p>
        </w:tc>
        <w:tc>
          <w:tcPr>
            <w:tcW w:type="dxa" w:w="3240"/>
            <w:tcMar>
              <w:top w:w="70" w:type="dxa"/>
              <w:start w:w="90" w:type="dxa"/>
              <w:bottom w:w="70" w:type="dxa"/>
              <w:end w:w="90" w:type="dxa"/>
            </w:tcMar>
          </w:tcPr>
          <w:p>
            <w:pPr>
              <w:spacing w:after="0" w:line="240" w:lineRule="auto"/>
            </w:pPr>
            <w:r>
              <w:rPr>
                <w:rFonts w:ascii="Aptos" w:hAnsi="Aptos"/>
                <w:color w:val="1F2933"/>
                <w:sz w:val="15"/>
              </w:rPr>
              <w:t>LLM hallucination or prompt injection</w:t>
            </w:r>
          </w:p>
        </w:tc>
        <w:tc>
          <w:tcPr>
            <w:tcW w:type="dxa" w:w="1080"/>
            <w:tcMar>
              <w:top w:w="70" w:type="dxa"/>
              <w:start w:w="90" w:type="dxa"/>
              <w:bottom w:w="70" w:type="dxa"/>
              <w:end w:w="90" w:type="dxa"/>
            </w:tcMar>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tcPr>
          <w:p>
            <w:pPr>
              <w:spacing w:after="0" w:line="240" w:lineRule="auto"/>
            </w:pPr>
            <w:r>
              <w:rPr>
                <w:rFonts w:ascii="Aptos" w:hAnsi="Aptos"/>
                <w:color w:val="1F2933"/>
                <w:sz w:val="15"/>
              </w:rPr>
              <w:t>Structured inputs/outputs, approved retrieval, no tools from document text, validation, deterministic fallback</w:t>
            </w:r>
          </w:p>
        </w:tc>
      </w:tr>
      <w:tr>
        <w:trPr>
          <w:cantSplit/>
        </w:trPr>
        <w:tc>
          <w:tcPr>
            <w:tcW w:type="dxa" w:w="864"/>
            <w:tcMar>
              <w:top w:w="70" w:type="dxa"/>
              <w:start w:w="90" w:type="dxa"/>
              <w:bottom w:w="70" w:type="dxa"/>
              <w:end w:w="90" w:type="dxa"/>
            </w:tcMar>
            <w:shd w:fill="F5F7FA"/>
          </w:tcPr>
          <w:p>
            <w:pPr>
              <w:spacing w:after="0" w:line="240" w:lineRule="auto"/>
            </w:pPr>
            <w:r>
              <w:rPr>
                <w:rFonts w:ascii="Aptos" w:hAnsi="Aptos"/>
                <w:color w:val="1F2933"/>
                <w:sz w:val="15"/>
              </w:rPr>
              <w:t>R-06</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Normal bureau timing differences treated as errors</w:t>
            </w:r>
          </w:p>
        </w:tc>
        <w:tc>
          <w:tcPr>
            <w:tcW w:type="dxa" w:w="1080"/>
            <w:tcMar>
              <w:top w:w="70" w:type="dxa"/>
              <w:start w:w="90" w:type="dxa"/>
              <w:bottom w:w="70" w:type="dxa"/>
              <w:end w:w="90" w:type="dxa"/>
            </w:tcMar>
            <w:shd w:fill="F5F7FA"/>
          </w:tcPr>
          <w:p>
            <w:pPr>
              <w:spacing w:after="0" w:line="240" w:lineRule="auto"/>
            </w:pPr>
            <w:r>
              <w:rPr>
                <w:rFonts w:ascii="Aptos" w:hAnsi="Aptos"/>
                <w:color w:val="1F2933"/>
                <w:sz w:val="15"/>
              </w:rPr>
              <w:t>Medium</w:t>
            </w:r>
          </w:p>
        </w:tc>
        <w:tc>
          <w:tcPr>
            <w:tcW w:type="dxa" w:w="5256"/>
            <w:tcMar>
              <w:top w:w="70" w:type="dxa"/>
              <w:start w:w="90" w:type="dxa"/>
              <w:bottom w:w="70" w:type="dxa"/>
              <w:end w:w="90" w:type="dxa"/>
            </w:tcMar>
            <w:shd w:fill="F5F7FA"/>
          </w:tcPr>
          <w:p>
            <w:pPr>
              <w:spacing w:after="0" w:line="240" w:lineRule="auto"/>
            </w:pPr>
            <w:r>
              <w:rPr>
                <w:rFonts w:ascii="Aptos" w:hAnsi="Aptos"/>
                <w:color w:val="1F2933"/>
                <w:sz w:val="15"/>
              </w:rPr>
              <w:t>Update-date comparability, date precision, alternative explanations, suppression rules</w:t>
            </w:r>
          </w:p>
        </w:tc>
      </w:tr>
      <w:tr>
        <w:trPr>
          <w:cantSplit/>
        </w:trPr>
        <w:tc>
          <w:tcPr>
            <w:tcW w:type="dxa" w:w="864"/>
            <w:tcMar>
              <w:top w:w="70" w:type="dxa"/>
              <w:start w:w="90" w:type="dxa"/>
              <w:bottom w:w="70" w:type="dxa"/>
              <w:end w:w="90" w:type="dxa"/>
            </w:tcMar>
          </w:tcPr>
          <w:p>
            <w:pPr>
              <w:spacing w:after="0" w:line="240" w:lineRule="auto"/>
            </w:pPr>
            <w:r>
              <w:rPr>
                <w:rFonts w:ascii="Aptos" w:hAnsi="Aptos"/>
                <w:color w:val="1F2933"/>
                <w:sz w:val="15"/>
              </w:rPr>
              <w:t>R-07</w:t>
            </w:r>
          </w:p>
        </w:tc>
        <w:tc>
          <w:tcPr>
            <w:tcW w:type="dxa" w:w="3240"/>
            <w:tcMar>
              <w:top w:w="70" w:type="dxa"/>
              <w:start w:w="90" w:type="dxa"/>
              <w:bottom w:w="70" w:type="dxa"/>
              <w:end w:w="90" w:type="dxa"/>
            </w:tcMar>
          </w:tcPr>
          <w:p>
            <w:pPr>
              <w:spacing w:after="0" w:line="240" w:lineRule="auto"/>
            </w:pPr>
            <w:r>
              <w:rPr>
                <w:rFonts w:ascii="Aptos" w:hAnsi="Aptos"/>
                <w:color w:val="1F2933"/>
                <w:sz w:val="15"/>
              </w:rPr>
              <w:t>Vendor lock-in or immature platform capability</w:t>
            </w:r>
          </w:p>
        </w:tc>
        <w:tc>
          <w:tcPr>
            <w:tcW w:type="dxa" w:w="1080"/>
            <w:tcMar>
              <w:top w:w="70" w:type="dxa"/>
              <w:start w:w="90" w:type="dxa"/>
              <w:bottom w:w="70" w:type="dxa"/>
              <w:end w:w="90" w:type="dxa"/>
            </w:tcMar>
          </w:tcPr>
          <w:p>
            <w:pPr>
              <w:spacing w:after="0" w:line="240" w:lineRule="auto"/>
            </w:pPr>
            <w:r>
              <w:rPr>
                <w:rFonts w:ascii="Aptos" w:hAnsi="Aptos"/>
                <w:color w:val="1F2933"/>
                <w:sz w:val="15"/>
              </w:rPr>
              <w:t>Medium</w:t>
            </w:r>
          </w:p>
        </w:tc>
        <w:tc>
          <w:tcPr>
            <w:tcW w:type="dxa" w:w="5256"/>
            <w:tcMar>
              <w:top w:w="70" w:type="dxa"/>
              <w:start w:w="90" w:type="dxa"/>
              <w:bottom w:w="70" w:type="dxa"/>
              <w:end w:w="90" w:type="dxa"/>
            </w:tcMar>
          </w:tcPr>
          <w:p>
            <w:pPr>
              <w:spacing w:after="0" w:line="240" w:lineRule="auto"/>
            </w:pPr>
            <w:r>
              <w:rPr>
                <w:rFonts w:ascii="Aptos" w:hAnsi="Aptos"/>
                <w:color w:val="1F2933"/>
                <w:sz w:val="15"/>
              </w:rPr>
              <w:t>Portable SQL, adapters, compute containers, no platform-only core logic, exit plan</w:t>
            </w:r>
          </w:p>
        </w:tc>
      </w:tr>
      <w:tr>
        <w:trPr>
          <w:cantSplit/>
        </w:trPr>
        <w:tc>
          <w:tcPr>
            <w:tcW w:type="dxa" w:w="864"/>
            <w:tcMar>
              <w:top w:w="70" w:type="dxa"/>
              <w:start w:w="90" w:type="dxa"/>
              <w:bottom w:w="70" w:type="dxa"/>
              <w:end w:w="90" w:type="dxa"/>
            </w:tcMar>
            <w:shd w:fill="F5F7FA"/>
          </w:tcPr>
          <w:p>
            <w:pPr>
              <w:spacing w:after="0" w:line="240" w:lineRule="auto"/>
            </w:pPr>
            <w:r>
              <w:rPr>
                <w:rFonts w:ascii="Aptos" w:hAnsi="Aptos"/>
                <w:color w:val="1F2933"/>
                <w:sz w:val="15"/>
              </w:rPr>
              <w:t>R-08</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Users over-dispute accurate information</w:t>
            </w:r>
          </w:p>
        </w:tc>
        <w:tc>
          <w:tcPr>
            <w:tcW w:type="dxa" w:w="1080"/>
            <w:tcMar>
              <w:top w:w="70" w:type="dxa"/>
              <w:start w:w="90" w:type="dxa"/>
              <w:bottom w:w="70" w:type="dxa"/>
              <w:end w:w="90" w:type="dxa"/>
            </w:tcMar>
            <w:shd w:fill="F5F7FA"/>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shd w:fill="F5F7FA"/>
          </w:tcPr>
          <w:p>
            <w:pPr>
              <w:spacing w:after="0" w:line="240" w:lineRule="auto"/>
            </w:pPr>
            <w:r>
              <w:rPr>
                <w:rFonts w:ascii="Aptos" w:hAnsi="Aptos"/>
                <w:color w:val="1F2933"/>
                <w:sz w:val="15"/>
              </w:rPr>
              <w:t>Evidence-first flow, explicit accuracy question, education, no mass automation, action guardrails</w:t>
            </w:r>
          </w:p>
        </w:tc>
      </w:tr>
      <w:tr>
        <w:trPr>
          <w:cantSplit/>
        </w:trPr>
        <w:tc>
          <w:tcPr>
            <w:tcW w:type="dxa" w:w="864"/>
            <w:tcMar>
              <w:top w:w="70" w:type="dxa"/>
              <w:start w:w="90" w:type="dxa"/>
              <w:bottom w:w="70" w:type="dxa"/>
              <w:end w:w="90" w:type="dxa"/>
            </w:tcMar>
          </w:tcPr>
          <w:p>
            <w:pPr>
              <w:spacing w:after="0" w:line="240" w:lineRule="auto"/>
            </w:pPr>
            <w:r>
              <w:rPr>
                <w:rFonts w:ascii="Aptos" w:hAnsi="Aptos"/>
                <w:color w:val="1F2933"/>
                <w:sz w:val="15"/>
              </w:rPr>
              <w:t>R-09</w:t>
            </w:r>
          </w:p>
        </w:tc>
        <w:tc>
          <w:tcPr>
            <w:tcW w:type="dxa" w:w="3240"/>
            <w:tcMar>
              <w:top w:w="70" w:type="dxa"/>
              <w:start w:w="90" w:type="dxa"/>
              <w:bottom w:w="70" w:type="dxa"/>
              <w:end w:w="90" w:type="dxa"/>
            </w:tcMar>
          </w:tcPr>
          <w:p>
            <w:pPr>
              <w:spacing w:after="0" w:line="240" w:lineRule="auto"/>
            </w:pPr>
            <w:r>
              <w:rPr>
                <w:rFonts w:ascii="Aptos" w:hAnsi="Aptos"/>
                <w:color w:val="1F2933"/>
                <w:sz w:val="15"/>
              </w:rPr>
              <w:t>State/legal content becomes stale</w:t>
            </w:r>
          </w:p>
        </w:tc>
        <w:tc>
          <w:tcPr>
            <w:tcW w:type="dxa" w:w="1080"/>
            <w:tcMar>
              <w:top w:w="70" w:type="dxa"/>
              <w:start w:w="90" w:type="dxa"/>
              <w:bottom w:w="70" w:type="dxa"/>
              <w:end w:w="90" w:type="dxa"/>
            </w:tcMar>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tcPr>
          <w:p>
            <w:pPr>
              <w:spacing w:after="0" w:line="240" w:lineRule="auto"/>
            </w:pPr>
            <w:r>
              <w:rPr>
                <w:rFonts w:ascii="Aptos" w:hAnsi="Aptos"/>
                <w:color w:val="1F2933"/>
                <w:sz w:val="15"/>
              </w:rPr>
              <w:t>Effective dates, named reviewer, monitoring, emergency disable, periodic recertification</w:t>
            </w:r>
          </w:p>
        </w:tc>
      </w:tr>
      <w:tr>
        <w:trPr>
          <w:cantSplit/>
        </w:trPr>
        <w:tc>
          <w:tcPr>
            <w:tcW w:type="dxa" w:w="864"/>
            <w:tcMar>
              <w:top w:w="70" w:type="dxa"/>
              <w:start w:w="90" w:type="dxa"/>
              <w:bottom w:w="70" w:type="dxa"/>
              <w:end w:w="90" w:type="dxa"/>
            </w:tcMar>
            <w:shd w:fill="F5F7FA"/>
          </w:tcPr>
          <w:p>
            <w:pPr>
              <w:spacing w:after="0" w:line="240" w:lineRule="auto"/>
            </w:pPr>
            <w:r>
              <w:rPr>
                <w:rFonts w:ascii="Aptos" w:hAnsi="Aptos"/>
                <w:color w:val="1F2933"/>
                <w:sz w:val="15"/>
              </w:rPr>
              <w:t>R-10</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Product creates anxiety or deceptive urgency</w:t>
            </w:r>
          </w:p>
        </w:tc>
        <w:tc>
          <w:tcPr>
            <w:tcW w:type="dxa" w:w="1080"/>
            <w:tcMar>
              <w:top w:w="70" w:type="dxa"/>
              <w:start w:w="90" w:type="dxa"/>
              <w:bottom w:w="70" w:type="dxa"/>
              <w:end w:w="90" w:type="dxa"/>
            </w:tcMar>
            <w:shd w:fill="F5F7FA"/>
          </w:tcPr>
          <w:p>
            <w:pPr>
              <w:spacing w:after="0" w:line="240" w:lineRule="auto"/>
            </w:pPr>
            <w:r>
              <w:rPr>
                <w:rFonts w:ascii="Aptos" w:hAnsi="Aptos"/>
                <w:color w:val="1F2933"/>
                <w:sz w:val="15"/>
              </w:rPr>
              <w:t>Medium</w:t>
            </w:r>
          </w:p>
        </w:tc>
        <w:tc>
          <w:tcPr>
            <w:tcW w:type="dxa" w:w="5256"/>
            <w:tcMar>
              <w:top w:w="70" w:type="dxa"/>
              <w:start w:w="90" w:type="dxa"/>
              <w:bottom w:w="70" w:type="dxa"/>
              <w:end w:w="90" w:type="dxa"/>
            </w:tcMar>
            <w:shd w:fill="F5F7FA"/>
          </w:tcPr>
          <w:p>
            <w:pPr>
              <w:spacing w:after="0" w:line="240" w:lineRule="auto"/>
            </w:pPr>
            <w:r>
              <w:rPr>
                <w:rFonts w:ascii="Aptos" w:hAnsi="Aptos"/>
                <w:color w:val="1F2933"/>
                <w:sz w:val="15"/>
              </w:rPr>
              <w:t>Neutral language, severity calibration, no countdowns, user research, escalation resources</w:t>
            </w:r>
          </w:p>
        </w:tc>
      </w:tr>
      <w:tr>
        <w:trPr>
          <w:cantSplit/>
        </w:trPr>
        <w:tc>
          <w:tcPr>
            <w:tcW w:type="dxa" w:w="864"/>
            <w:tcMar>
              <w:top w:w="70" w:type="dxa"/>
              <w:start w:w="90" w:type="dxa"/>
              <w:bottom w:w="70" w:type="dxa"/>
              <w:end w:w="90" w:type="dxa"/>
            </w:tcMar>
          </w:tcPr>
          <w:p>
            <w:pPr>
              <w:spacing w:after="0" w:line="240" w:lineRule="auto"/>
            </w:pPr>
            <w:r>
              <w:rPr>
                <w:rFonts w:ascii="Aptos" w:hAnsi="Aptos"/>
                <w:color w:val="1F2933"/>
                <w:sz w:val="15"/>
              </w:rPr>
              <w:t>R-11</w:t>
            </w:r>
          </w:p>
        </w:tc>
        <w:tc>
          <w:tcPr>
            <w:tcW w:type="dxa" w:w="3240"/>
            <w:tcMar>
              <w:top w:w="70" w:type="dxa"/>
              <w:start w:w="90" w:type="dxa"/>
              <w:bottom w:w="70" w:type="dxa"/>
              <w:end w:w="90" w:type="dxa"/>
            </w:tcMar>
          </w:tcPr>
          <w:p>
            <w:pPr>
              <w:spacing w:after="0" w:line="240" w:lineRule="auto"/>
            </w:pPr>
            <w:r>
              <w:rPr>
                <w:rFonts w:ascii="Aptos" w:hAnsi="Aptos"/>
                <w:color w:val="1F2933"/>
                <w:sz w:val="15"/>
              </w:rPr>
              <w:t>Quality metrics hide subgroup/provider failures</w:t>
            </w:r>
          </w:p>
        </w:tc>
        <w:tc>
          <w:tcPr>
            <w:tcW w:type="dxa" w:w="1080"/>
            <w:tcMar>
              <w:top w:w="70" w:type="dxa"/>
              <w:start w:w="90" w:type="dxa"/>
              <w:bottom w:w="70" w:type="dxa"/>
              <w:end w:w="90" w:type="dxa"/>
            </w:tcMar>
          </w:tcPr>
          <w:p>
            <w:pPr>
              <w:spacing w:after="0" w:line="240" w:lineRule="auto"/>
            </w:pPr>
            <w:r>
              <w:rPr>
                <w:rFonts w:ascii="Aptos" w:hAnsi="Aptos"/>
                <w:color w:val="1F2933"/>
                <w:sz w:val="15"/>
              </w:rPr>
              <w:t>Medium</w:t>
            </w:r>
          </w:p>
        </w:tc>
        <w:tc>
          <w:tcPr>
            <w:tcW w:type="dxa" w:w="5256"/>
            <w:tcMar>
              <w:top w:w="70" w:type="dxa"/>
              <w:start w:w="90" w:type="dxa"/>
              <w:bottom w:w="70" w:type="dxa"/>
              <w:end w:w="90" w:type="dxa"/>
            </w:tcMar>
          </w:tcPr>
          <w:p>
            <w:pPr>
              <w:spacing w:after="0" w:line="240" w:lineRule="auto"/>
            </w:pPr>
            <w:r>
              <w:rPr>
                <w:rFonts w:ascii="Aptos" w:hAnsi="Aptos"/>
                <w:color w:val="1F2933"/>
                <w:sz w:val="15"/>
              </w:rPr>
              <w:t>Stratified evaluation and release thresholds; no aggregate-only approval</w:t>
            </w:r>
          </w:p>
        </w:tc>
      </w:tr>
      <w:tr>
        <w:trPr>
          <w:cantSplit/>
        </w:trPr>
        <w:tc>
          <w:tcPr>
            <w:tcW w:type="dxa" w:w="864"/>
            <w:tcMar>
              <w:top w:w="70" w:type="dxa"/>
              <w:start w:w="90" w:type="dxa"/>
              <w:bottom w:w="70" w:type="dxa"/>
              <w:end w:w="90" w:type="dxa"/>
            </w:tcMar>
            <w:shd w:fill="F5F7FA"/>
          </w:tcPr>
          <w:p>
            <w:pPr>
              <w:spacing w:after="0" w:line="240" w:lineRule="auto"/>
            </w:pPr>
            <w:r>
              <w:rPr>
                <w:rFonts w:ascii="Aptos" w:hAnsi="Aptos"/>
                <w:color w:val="1F2933"/>
                <w:sz w:val="15"/>
              </w:rPr>
              <w:t>R-12</w:t>
            </w:r>
          </w:p>
        </w:tc>
        <w:tc>
          <w:tcPr>
            <w:tcW w:type="dxa" w:w="3240"/>
            <w:tcMar>
              <w:top w:w="70" w:type="dxa"/>
              <w:start w:w="90" w:type="dxa"/>
              <w:bottom w:w="70" w:type="dxa"/>
              <w:end w:w="90" w:type="dxa"/>
            </w:tcMar>
            <w:shd w:fill="F5F7FA"/>
          </w:tcPr>
          <w:p>
            <w:pPr>
              <w:spacing w:after="0" w:line="240" w:lineRule="auto"/>
            </w:pPr>
            <w:r>
              <w:rPr>
                <w:rFonts w:ascii="Aptos" w:hAnsi="Aptos"/>
                <w:color w:val="1F2933"/>
                <w:sz w:val="15"/>
              </w:rPr>
              <w:t>Deletion does not reach derived/vendor systems</w:t>
            </w:r>
          </w:p>
        </w:tc>
        <w:tc>
          <w:tcPr>
            <w:tcW w:type="dxa" w:w="1080"/>
            <w:tcMar>
              <w:top w:w="70" w:type="dxa"/>
              <w:start w:w="90" w:type="dxa"/>
              <w:bottom w:w="70" w:type="dxa"/>
              <w:end w:w="90" w:type="dxa"/>
            </w:tcMar>
            <w:shd w:fill="F5F7FA"/>
          </w:tcPr>
          <w:p>
            <w:pPr>
              <w:spacing w:after="0" w:line="240" w:lineRule="auto"/>
            </w:pPr>
            <w:r>
              <w:rPr>
                <w:rFonts w:ascii="Aptos" w:hAnsi="Aptos"/>
                <w:color w:val="1F2933"/>
                <w:sz w:val="15"/>
              </w:rPr>
              <w:t>High</w:t>
            </w:r>
          </w:p>
        </w:tc>
        <w:tc>
          <w:tcPr>
            <w:tcW w:type="dxa" w:w="5256"/>
            <w:tcMar>
              <w:top w:w="70" w:type="dxa"/>
              <w:start w:w="90" w:type="dxa"/>
              <w:bottom w:w="70" w:type="dxa"/>
              <w:end w:w="90" w:type="dxa"/>
            </w:tcMar>
            <w:shd w:fill="F5F7FA"/>
          </w:tcPr>
          <w:p>
            <w:pPr>
              <w:spacing w:after="0" w:line="240" w:lineRule="auto"/>
            </w:pPr>
            <w:r>
              <w:rPr>
                <w:rFonts w:ascii="Aptos" w:hAnsi="Aptos"/>
                <w:color w:val="1F2933"/>
                <w:sz w:val="15"/>
              </w:rPr>
              <w:t>Data lineage, deletion orchestrator, provider contracts, evidence log, recurring drills</w:t>
            </w:r>
          </w:p>
        </w:tc>
      </w:tr>
    </w:tbl>
    <w:p>
      <w:pPr>
        <w:spacing w:after="20"/>
      </w:pPr>
    </w:p>
    <w:p>
      <w:pPr>
        <w:pStyle w:val="Heading1"/>
        <w:pageBreakBefore/>
      </w:pPr>
      <w:r>
        <w:rPr>
          <w:rFonts w:ascii="Aptos Display" w:hAnsi="Aptos Display"/>
          <w:b/>
          <w:color w:val="17324D"/>
          <w:sz w:val="36"/>
        </w:rPr>
        <w:t>21. Open Decisions, Definition of Done, and Launch Checklist</w:t>
      </w:r>
    </w:p>
    <w:p>
      <w:pPr>
        <w:pStyle w:val="Heading2"/>
        <w:keepNext/>
      </w:pPr>
      <w:r>
        <w:rPr>
          <w:rFonts w:ascii="Aptos Display" w:hAnsi="Aptos Display"/>
          <w:b/>
          <w:color w:val="245D8C"/>
          <w:sz w:val="26"/>
        </w:rPr>
        <w:t>21.1 Decisions required before build commitment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7324D"/>
            <w:tcMar>
              <w:top w:w="80" w:type="dxa"/>
              <w:start w:w="90" w:type="dxa"/>
              <w:bottom w:w="80" w:type="dxa"/>
              <w:end w:w="90" w:type="dxa"/>
            </w:tcMar>
            <w:vAlign w:val="center"/>
          </w:tcPr>
          <w:p>
            <w:pPr>
              <w:spacing w:after="0"/>
            </w:pPr>
            <w:r>
              <w:rPr>
                <w:rFonts w:ascii="Aptos" w:hAnsi="Aptos"/>
                <w:b/>
                <w:color w:val="FFFFFF"/>
                <w:sz w:val="16"/>
              </w:rPr>
              <w:t>ID</w:t>
            </w:r>
          </w:p>
        </w:tc>
        <w:tc>
          <w:tcPr>
            <w:tcW w:type="dxa" w:w="6480"/>
            <w:shd w:fill="17324D"/>
            <w:tcMar>
              <w:top w:w="80" w:type="dxa"/>
              <w:start w:w="90" w:type="dxa"/>
              <w:bottom w:w="80" w:type="dxa"/>
              <w:end w:w="90" w:type="dxa"/>
            </w:tcMar>
            <w:vAlign w:val="center"/>
          </w:tcPr>
          <w:p>
            <w:pPr>
              <w:spacing w:after="0"/>
            </w:pPr>
            <w:r>
              <w:rPr>
                <w:rFonts w:ascii="Aptos" w:hAnsi="Aptos"/>
                <w:b/>
                <w:color w:val="FFFFFF"/>
                <w:sz w:val="16"/>
              </w:rPr>
              <w:t>Decision</w:t>
            </w:r>
          </w:p>
        </w:tc>
        <w:tc>
          <w:tcPr>
            <w:tcW w:type="dxa" w:w="3024"/>
            <w:shd w:fill="17324D"/>
            <w:tcMar>
              <w:top w:w="80" w:type="dxa"/>
              <w:start w:w="90" w:type="dxa"/>
              <w:bottom w:w="80" w:type="dxa"/>
              <w:end w:w="90" w:type="dxa"/>
            </w:tcMar>
            <w:vAlign w:val="center"/>
          </w:tcPr>
          <w:p>
            <w:pPr>
              <w:spacing w:after="0"/>
            </w:pPr>
            <w:r>
              <w:rPr>
                <w:rFonts w:ascii="Aptos" w:hAnsi="Aptos"/>
                <w:b/>
                <w:color w:val="FFFFFF"/>
                <w:sz w:val="16"/>
              </w:rPr>
              <w:t>Owner</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D-01</w:t>
            </w:r>
          </w:p>
        </w:tc>
        <w:tc>
          <w:tcPr>
            <w:tcW w:type="dxa" w:w="6480"/>
            <w:tcMar>
              <w:top w:w="70" w:type="dxa"/>
              <w:start w:w="90" w:type="dxa"/>
              <w:bottom w:w="70" w:type="dxa"/>
              <w:end w:w="90" w:type="dxa"/>
            </w:tcMar>
          </w:tcPr>
          <w:p>
            <w:pPr>
              <w:spacing w:after="0" w:line="240" w:lineRule="auto"/>
            </w:pPr>
            <w:r>
              <w:rPr>
                <w:rFonts w:ascii="Aptos" w:hAnsi="Aptos"/>
                <w:color w:val="1F2933"/>
                <w:sz w:val="16"/>
              </w:rPr>
              <w:t>Working product name and brand claims</w:t>
            </w:r>
          </w:p>
        </w:tc>
        <w:tc>
          <w:tcPr>
            <w:tcW w:type="dxa" w:w="3024"/>
            <w:tcMar>
              <w:top w:w="70" w:type="dxa"/>
              <w:start w:w="90" w:type="dxa"/>
              <w:bottom w:w="70" w:type="dxa"/>
              <w:end w:w="90" w:type="dxa"/>
            </w:tcMar>
          </w:tcPr>
          <w:p>
            <w:pPr>
              <w:spacing w:after="0" w:line="240" w:lineRule="auto"/>
            </w:pPr>
            <w:r>
              <w:rPr>
                <w:rFonts w:ascii="Aptos" w:hAnsi="Aptos"/>
                <w:color w:val="1F2933"/>
                <w:sz w:val="16"/>
              </w:rPr>
              <w:t>Founder / marketing / counsel</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D-02</w:t>
            </w:r>
          </w:p>
        </w:tc>
        <w:tc>
          <w:tcPr>
            <w:tcW w:type="dxa" w:w="6480"/>
            <w:tcMar>
              <w:top w:w="70" w:type="dxa"/>
              <w:start w:w="90" w:type="dxa"/>
              <w:bottom w:w="70" w:type="dxa"/>
              <w:end w:w="90" w:type="dxa"/>
            </w:tcMar>
            <w:shd w:fill="F5F7FA"/>
          </w:tcPr>
          <w:p>
            <w:pPr>
              <w:spacing w:after="0" w:line="240" w:lineRule="auto"/>
            </w:pPr>
            <w:r>
              <w:rPr>
                <w:rFonts w:ascii="Aptos" w:hAnsi="Aptos"/>
                <w:color w:val="1F2933"/>
                <w:sz w:val="16"/>
              </w:rPr>
              <w:t>First launch state and states blocked at signup</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6"/>
              </w:rPr>
              <w:t>Founder / counsel</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D-03</w:t>
            </w:r>
          </w:p>
        </w:tc>
        <w:tc>
          <w:tcPr>
            <w:tcW w:type="dxa" w:w="6480"/>
            <w:tcMar>
              <w:top w:w="70" w:type="dxa"/>
              <w:start w:w="90" w:type="dxa"/>
              <w:bottom w:w="70" w:type="dxa"/>
              <w:end w:w="90" w:type="dxa"/>
            </w:tcMar>
          </w:tcPr>
          <w:p>
            <w:pPr>
              <w:spacing w:after="0" w:line="240" w:lineRule="auto"/>
            </w:pPr>
            <w:r>
              <w:rPr>
                <w:rFonts w:ascii="Aptos" w:hAnsi="Aptos"/>
                <w:color w:val="1F2933"/>
                <w:sz w:val="16"/>
              </w:rPr>
              <w:t>Free, subscription, one-time analysis, or other pricing model</w:t>
            </w:r>
          </w:p>
        </w:tc>
        <w:tc>
          <w:tcPr>
            <w:tcW w:type="dxa" w:w="3024"/>
            <w:tcMar>
              <w:top w:w="70" w:type="dxa"/>
              <w:start w:w="90" w:type="dxa"/>
              <w:bottom w:w="70" w:type="dxa"/>
              <w:end w:w="90" w:type="dxa"/>
            </w:tcMar>
          </w:tcPr>
          <w:p>
            <w:pPr>
              <w:spacing w:after="0" w:line="240" w:lineRule="auto"/>
            </w:pPr>
            <w:r>
              <w:rPr>
                <w:rFonts w:ascii="Aptos" w:hAnsi="Aptos"/>
                <w:color w:val="1F2933"/>
                <w:sz w:val="16"/>
              </w:rPr>
              <w:t>Founder / finance / counsel</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D-04</w:t>
            </w:r>
          </w:p>
        </w:tc>
        <w:tc>
          <w:tcPr>
            <w:tcW w:type="dxa" w:w="6480"/>
            <w:tcMar>
              <w:top w:w="70" w:type="dxa"/>
              <w:start w:w="90" w:type="dxa"/>
              <w:bottom w:w="70" w:type="dxa"/>
              <w:end w:w="90" w:type="dxa"/>
            </w:tcMar>
            <w:shd w:fill="F5F7FA"/>
          </w:tcPr>
          <w:p>
            <w:pPr>
              <w:spacing w:after="0" w:line="240" w:lineRule="auto"/>
            </w:pPr>
            <w:r>
              <w:rPr>
                <w:rFonts w:ascii="Aptos" w:hAnsi="Aptos"/>
                <w:color w:val="1F2933"/>
                <w:sz w:val="16"/>
              </w:rPr>
              <w:t>Whether any personalized letter drafting is included in MVP</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6"/>
              </w:rPr>
              <w:t>Product / counsel</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D-05</w:t>
            </w:r>
          </w:p>
        </w:tc>
        <w:tc>
          <w:tcPr>
            <w:tcW w:type="dxa" w:w="6480"/>
            <w:tcMar>
              <w:top w:w="70" w:type="dxa"/>
              <w:start w:w="90" w:type="dxa"/>
              <w:bottom w:w="70" w:type="dxa"/>
              <w:end w:w="90" w:type="dxa"/>
            </w:tcMar>
          </w:tcPr>
          <w:p>
            <w:pPr>
              <w:spacing w:after="0" w:line="240" w:lineRule="auto"/>
            </w:pPr>
            <w:r>
              <w:rPr>
                <w:rFonts w:ascii="Aptos" w:hAnsi="Aptos"/>
                <w:color w:val="1F2933"/>
                <w:sz w:val="16"/>
              </w:rPr>
              <w:t>Managed InsForge versus self-hosting and production-region requirements</w:t>
            </w:r>
          </w:p>
        </w:tc>
        <w:tc>
          <w:tcPr>
            <w:tcW w:type="dxa" w:w="3024"/>
            <w:tcMar>
              <w:top w:w="70" w:type="dxa"/>
              <w:start w:w="90" w:type="dxa"/>
              <w:bottom w:w="70" w:type="dxa"/>
              <w:end w:w="90" w:type="dxa"/>
            </w:tcMar>
          </w:tcPr>
          <w:p>
            <w:pPr>
              <w:spacing w:after="0" w:line="240" w:lineRule="auto"/>
            </w:pPr>
            <w:r>
              <w:rPr>
                <w:rFonts w:ascii="Aptos" w:hAnsi="Aptos"/>
                <w:color w:val="1F2933"/>
                <w:sz w:val="16"/>
              </w:rPr>
              <w:t>Engineering / security / privacy</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D-06</w:t>
            </w:r>
          </w:p>
        </w:tc>
        <w:tc>
          <w:tcPr>
            <w:tcW w:type="dxa" w:w="6480"/>
            <w:tcMar>
              <w:top w:w="70" w:type="dxa"/>
              <w:start w:w="90" w:type="dxa"/>
              <w:bottom w:w="70" w:type="dxa"/>
              <w:end w:w="90" w:type="dxa"/>
            </w:tcMar>
            <w:shd w:fill="F5F7FA"/>
          </w:tcPr>
          <w:p>
            <w:pPr>
              <w:spacing w:after="0" w:line="240" w:lineRule="auto"/>
            </w:pPr>
            <w:r>
              <w:rPr>
                <w:rFonts w:ascii="Aptos" w:hAnsi="Aptos"/>
                <w:color w:val="1F2933"/>
                <w:sz w:val="16"/>
              </w:rPr>
              <w:t>OCR and model providers, retention terms, and contractual zero-training controls</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6"/>
              </w:rPr>
              <w:t>Engineering / security / legal</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D-07</w:t>
            </w:r>
          </w:p>
        </w:tc>
        <w:tc>
          <w:tcPr>
            <w:tcW w:type="dxa" w:w="6480"/>
            <w:tcMar>
              <w:top w:w="70" w:type="dxa"/>
              <w:start w:w="90" w:type="dxa"/>
              <w:bottom w:w="70" w:type="dxa"/>
              <w:end w:w="90" w:type="dxa"/>
            </w:tcMar>
          </w:tcPr>
          <w:p>
            <w:pPr>
              <w:spacing w:after="0" w:line="240" w:lineRule="auto"/>
            </w:pPr>
            <w:r>
              <w:rPr>
                <w:rFonts w:ascii="Aptos" w:hAnsi="Aptos"/>
                <w:color w:val="1F2933"/>
                <w:sz w:val="16"/>
              </w:rPr>
              <w:t>Final original/normalized/audit retention periods</w:t>
            </w:r>
          </w:p>
        </w:tc>
        <w:tc>
          <w:tcPr>
            <w:tcW w:type="dxa" w:w="3024"/>
            <w:tcMar>
              <w:top w:w="70" w:type="dxa"/>
              <w:start w:w="90" w:type="dxa"/>
              <w:bottom w:w="70" w:type="dxa"/>
              <w:end w:w="90" w:type="dxa"/>
            </w:tcMar>
          </w:tcPr>
          <w:p>
            <w:pPr>
              <w:spacing w:after="0" w:line="240" w:lineRule="auto"/>
            </w:pPr>
            <w:r>
              <w:rPr>
                <w:rFonts w:ascii="Aptos" w:hAnsi="Aptos"/>
                <w:color w:val="1F2933"/>
                <w:sz w:val="16"/>
              </w:rPr>
              <w:t>Privacy / security / counsel</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D-08</w:t>
            </w:r>
          </w:p>
        </w:tc>
        <w:tc>
          <w:tcPr>
            <w:tcW w:type="dxa" w:w="6480"/>
            <w:tcMar>
              <w:top w:w="70" w:type="dxa"/>
              <w:start w:w="90" w:type="dxa"/>
              <w:bottom w:w="70" w:type="dxa"/>
              <w:end w:w="90" w:type="dxa"/>
            </w:tcMar>
            <w:shd w:fill="F5F7FA"/>
          </w:tcPr>
          <w:p>
            <w:pPr>
              <w:spacing w:after="0" w:line="240" w:lineRule="auto"/>
            </w:pPr>
            <w:r>
              <w:rPr>
                <w:rFonts w:ascii="Aptos" w:hAnsi="Aptos"/>
                <w:color w:val="1F2933"/>
                <w:sz w:val="16"/>
              </w:rPr>
              <w:t>Authorized evaluation corpus and consent process</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6"/>
              </w:rPr>
              <w:t>Product / legal / research</w:t>
            </w:r>
          </w:p>
        </w:tc>
      </w:tr>
      <w:tr>
        <w:trPr>
          <w:cantSplit/>
        </w:trPr>
        <w:tc>
          <w:tcPr>
            <w:tcW w:type="dxa" w:w="936"/>
            <w:tcMar>
              <w:top w:w="70" w:type="dxa"/>
              <w:start w:w="90" w:type="dxa"/>
              <w:bottom w:w="70" w:type="dxa"/>
              <w:end w:w="90" w:type="dxa"/>
            </w:tcMar>
          </w:tcPr>
          <w:p>
            <w:pPr>
              <w:spacing w:after="0" w:line="240" w:lineRule="auto"/>
            </w:pPr>
            <w:r>
              <w:rPr>
                <w:rFonts w:ascii="Aptos" w:hAnsi="Aptos"/>
                <w:color w:val="1F2933"/>
                <w:sz w:val="16"/>
              </w:rPr>
              <w:t>D-09</w:t>
            </w:r>
          </w:p>
        </w:tc>
        <w:tc>
          <w:tcPr>
            <w:tcW w:type="dxa" w:w="6480"/>
            <w:tcMar>
              <w:top w:w="70" w:type="dxa"/>
              <w:start w:w="90" w:type="dxa"/>
              <w:bottom w:w="70" w:type="dxa"/>
              <w:end w:w="90" w:type="dxa"/>
            </w:tcMar>
          </w:tcPr>
          <w:p>
            <w:pPr>
              <w:spacing w:after="0" w:line="240" w:lineRule="auto"/>
            </w:pPr>
            <w:r>
              <w:rPr>
                <w:rFonts w:ascii="Aptos" w:hAnsi="Aptos"/>
                <w:color w:val="1F2933"/>
                <w:sz w:val="16"/>
              </w:rPr>
              <w:t>Meaning and intended scope of “CSDA”</w:t>
            </w:r>
          </w:p>
        </w:tc>
        <w:tc>
          <w:tcPr>
            <w:tcW w:type="dxa" w:w="3024"/>
            <w:tcMar>
              <w:top w:w="70" w:type="dxa"/>
              <w:start w:w="90" w:type="dxa"/>
              <w:bottom w:w="70" w:type="dxa"/>
              <w:end w:w="90" w:type="dxa"/>
            </w:tcMar>
          </w:tcPr>
          <w:p>
            <w:pPr>
              <w:spacing w:after="0" w:line="240" w:lineRule="auto"/>
            </w:pPr>
            <w:r>
              <w:rPr>
                <w:rFonts w:ascii="Aptos" w:hAnsi="Aptos"/>
                <w:color w:val="1F2933"/>
                <w:sz w:val="16"/>
              </w:rPr>
              <w:t>Counsel / founder</w:t>
            </w:r>
          </w:p>
        </w:tc>
      </w:tr>
      <w:tr>
        <w:trPr>
          <w:cantSplit/>
        </w:trPr>
        <w:tc>
          <w:tcPr>
            <w:tcW w:type="dxa" w:w="936"/>
            <w:tcMar>
              <w:top w:w="70" w:type="dxa"/>
              <w:start w:w="90" w:type="dxa"/>
              <w:bottom w:w="70" w:type="dxa"/>
              <w:end w:w="90" w:type="dxa"/>
            </w:tcMar>
            <w:shd w:fill="F5F7FA"/>
          </w:tcPr>
          <w:p>
            <w:pPr>
              <w:spacing w:after="0" w:line="240" w:lineRule="auto"/>
            </w:pPr>
            <w:r>
              <w:rPr>
                <w:rFonts w:ascii="Aptos" w:hAnsi="Aptos"/>
                <w:color w:val="1F2933"/>
                <w:sz w:val="16"/>
              </w:rPr>
              <w:t>D-10</w:t>
            </w:r>
          </w:p>
        </w:tc>
        <w:tc>
          <w:tcPr>
            <w:tcW w:type="dxa" w:w="6480"/>
            <w:tcMar>
              <w:top w:w="70" w:type="dxa"/>
              <w:start w:w="90" w:type="dxa"/>
              <w:bottom w:w="70" w:type="dxa"/>
              <w:end w:w="90" w:type="dxa"/>
            </w:tcMar>
            <w:shd w:fill="F5F7FA"/>
          </w:tcPr>
          <w:p>
            <w:pPr>
              <w:spacing w:after="0" w:line="240" w:lineRule="auto"/>
            </w:pPr>
            <w:r>
              <w:rPr>
                <w:rFonts w:ascii="Aptos" w:hAnsi="Aptos"/>
                <w:color w:val="1F2933"/>
                <w:sz w:val="16"/>
              </w:rPr>
              <w:t>Metro 2 eligibility, license, and whether it is deferred entirely</w:t>
            </w:r>
          </w:p>
        </w:tc>
        <w:tc>
          <w:tcPr>
            <w:tcW w:type="dxa" w:w="3024"/>
            <w:tcMar>
              <w:top w:w="70" w:type="dxa"/>
              <w:start w:w="90" w:type="dxa"/>
              <w:bottom w:w="70" w:type="dxa"/>
              <w:end w:w="90" w:type="dxa"/>
            </w:tcMar>
            <w:shd w:fill="F5F7FA"/>
          </w:tcPr>
          <w:p>
            <w:pPr>
              <w:spacing w:after="0" w:line="240" w:lineRule="auto"/>
            </w:pPr>
            <w:r>
              <w:rPr>
                <w:rFonts w:ascii="Aptos" w:hAnsi="Aptos"/>
                <w:color w:val="1F2933"/>
                <w:sz w:val="16"/>
              </w:rPr>
              <w:t>Founder / counsel / Metro 2 SME</w:t>
            </w:r>
          </w:p>
        </w:tc>
      </w:tr>
    </w:tbl>
    <w:p>
      <w:pPr>
        <w:spacing w:after="20"/>
      </w:pPr>
    </w:p>
    <w:p>
      <w:pPr>
        <w:pStyle w:val="Heading2"/>
        <w:keepNext/>
      </w:pPr>
      <w:r>
        <w:rPr>
          <w:rFonts w:ascii="Aptos Display" w:hAnsi="Aptos Display"/>
          <w:b/>
          <w:color w:val="245D8C"/>
          <w:sz w:val="26"/>
        </w:rPr>
        <w:t>21.2 MVP definition of done</w:t>
      </w:r>
    </w:p>
    <w:p>
      <w:pPr>
        <w:pStyle w:val="ListBullet"/>
        <w:spacing w:after="40" w:line="250" w:lineRule="auto"/>
        <w:ind w:left="0"/>
      </w:pPr>
      <w:r>
        <w:rPr>
          <w:rFonts w:ascii="Aptos" w:hAnsi="Aptos"/>
        </w:rPr>
        <w:t>A supported user can upload a native PDF or static HTML report, review the extracted fields with evidence, correct uncertain data, and complete analysis.</w:t>
      </w:r>
    </w:p>
    <w:p>
      <w:pPr>
        <w:pStyle w:val="ListBullet"/>
        <w:spacing w:after="40" w:line="250" w:lineRule="auto"/>
        <w:ind w:left="0"/>
      </w:pPr>
      <w:r>
        <w:rPr>
          <w:rFonts w:ascii="Aptos" w:hAnsi="Aptos"/>
        </w:rPr>
        <w:t>The first approved ruleset produces reproducible, source-linked findings and suppresses unsupported conclusions.</w:t>
      </w:r>
    </w:p>
    <w:p>
      <w:pPr>
        <w:pStyle w:val="ListBullet"/>
        <w:spacing w:after="40" w:line="250" w:lineRule="auto"/>
        <w:ind w:left="0"/>
      </w:pPr>
      <w:r>
        <w:rPr>
          <w:rFonts w:ascii="Aptos" w:hAnsi="Aptos"/>
        </w:rPr>
        <w:t>The generated report includes limitations, alternative explanations, education, and a practical checklist; no prohibited guarantees or legal verdicts appear.</w:t>
      </w:r>
    </w:p>
    <w:p>
      <w:pPr>
        <w:pStyle w:val="ListBullet"/>
        <w:spacing w:after="40" w:line="250" w:lineRule="auto"/>
        <w:ind w:left="0"/>
      </w:pPr>
      <w:r>
        <w:rPr>
          <w:rFonts w:ascii="Aptos" w:hAnsi="Aptos"/>
        </w:rPr>
        <w:t>Federal and launch-state service model, content, marketing, pricing, terms, and disclosures have written legal approval.</w:t>
      </w:r>
    </w:p>
    <w:p>
      <w:pPr>
        <w:pStyle w:val="ListBullet"/>
        <w:spacing w:after="40" w:line="250" w:lineRule="auto"/>
        <w:ind w:left="0"/>
      </w:pPr>
      <w:r>
        <w:rPr>
          <w:rFonts w:ascii="Aptos" w:hAnsi="Aptos"/>
        </w:rPr>
        <w:t>RLS, private storage, malware handling, prompt-injection, model-data redaction, privileged access, incident response, and deletion have passed launch tests.</w:t>
      </w:r>
    </w:p>
    <w:p>
      <w:pPr>
        <w:pStyle w:val="ListBullet"/>
        <w:spacing w:after="40" w:line="250" w:lineRule="auto"/>
        <w:ind w:left="0"/>
      </w:pPr>
      <w:r>
        <w:rPr>
          <w:rFonts w:ascii="Aptos" w:hAnsi="Aptos"/>
        </w:rPr>
        <w:t>Parser, account-matching, finding-quality, citation-validity, accessibility, and deletion targets meet the release gates.</w:t>
      </w:r>
    </w:p>
    <w:p>
      <w:pPr>
        <w:pStyle w:val="ListBullet"/>
        <w:spacing w:after="40" w:line="250" w:lineRule="auto"/>
        <w:ind w:left="0"/>
      </w:pPr>
      <w:r>
        <w:rPr>
          <w:rFonts w:ascii="Aptos" w:hAnsi="Aptos"/>
        </w:rPr>
        <w:t>Operations can detect, triage, disable, roll back, and reproduce any analysis using its recorded versions.</w:t>
      </w:r>
    </w:p>
    <w:p>
      <w:pPr>
        <w:pStyle w:val="Heading2"/>
        <w:keepNext/>
        <w:pageBreakBefore/>
      </w:pPr>
      <w:r>
        <w:rPr>
          <w:rFonts w:ascii="Aptos Display" w:hAnsi="Aptos Display"/>
          <w:b/>
          <w:color w:val="245D8C"/>
          <w:sz w:val="26"/>
        </w:rPr>
        <w:t>21.3 Founder approval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648"/>
            <w:shd w:fill="17324D"/>
            <w:tcMar>
              <w:top w:w="80" w:type="dxa"/>
              <w:start w:w="90" w:type="dxa"/>
              <w:bottom w:w="80" w:type="dxa"/>
              <w:end w:w="90" w:type="dxa"/>
            </w:tcMar>
            <w:vAlign w:val="center"/>
          </w:tcPr>
          <w:p>
            <w:pPr>
              <w:spacing w:after="0"/>
            </w:pPr>
            <w:r>
              <w:rPr>
                <w:rFonts w:ascii="Aptos" w:hAnsi="Aptos"/>
                <w:b/>
                <w:color w:val="FFFFFF"/>
                <w:sz w:val="17"/>
              </w:rPr>
            </w:r>
          </w:p>
        </w:tc>
        <w:tc>
          <w:tcPr>
            <w:tcW w:type="dxa" w:w="9792"/>
            <w:shd w:fill="17324D"/>
            <w:tcMar>
              <w:top w:w="80" w:type="dxa"/>
              <w:start w:w="90" w:type="dxa"/>
              <w:bottom w:w="80" w:type="dxa"/>
              <w:end w:w="90" w:type="dxa"/>
            </w:tcMar>
            <w:vAlign w:val="center"/>
          </w:tcPr>
          <w:p>
            <w:pPr>
              <w:spacing w:after="0"/>
            </w:pPr>
            <w:r>
              <w:rPr>
                <w:rFonts w:ascii="Aptos" w:hAnsi="Aptos"/>
                <w:b/>
                <w:color w:val="FFFFFF"/>
                <w:sz w:val="17"/>
              </w:rPr>
              <w:t>Approval item</w:t>
            </w:r>
          </w:p>
        </w:tc>
      </w:tr>
      <w:tr>
        <w:trPr>
          <w:cantSplit/>
        </w:trPr>
        <w:tc>
          <w:tcPr>
            <w:tcW w:type="dxa" w:w="648"/>
            <w:tcMar>
              <w:top w:w="70" w:type="dxa"/>
              <w:start w:w="90" w:type="dxa"/>
              <w:bottom w:w="70" w:type="dxa"/>
              <w:end w:w="90" w:type="dxa"/>
            </w:tcMar>
          </w:tcPr>
          <w:p>
            <w:pPr>
              <w:spacing w:after="0" w:line="240" w:lineRule="auto"/>
            </w:pPr>
            <w:r>
              <w:rPr>
                <w:rFonts w:ascii="Aptos" w:hAnsi="Aptos"/>
                <w:color w:val="1F2933"/>
                <w:sz w:val="17"/>
              </w:rPr>
              <w:t>☐</w:t>
            </w:r>
          </w:p>
        </w:tc>
        <w:tc>
          <w:tcPr>
            <w:tcW w:type="dxa" w:w="9792"/>
            <w:tcMar>
              <w:top w:w="70" w:type="dxa"/>
              <w:start w:w="90" w:type="dxa"/>
              <w:bottom w:w="70" w:type="dxa"/>
              <w:end w:w="90" w:type="dxa"/>
            </w:tcMar>
          </w:tcPr>
          <w:p>
            <w:pPr>
              <w:spacing w:after="0" w:line="240" w:lineRule="auto"/>
            </w:pPr>
            <w:r>
              <w:rPr>
                <w:rFonts w:ascii="Aptos" w:hAnsi="Aptos"/>
                <w:color w:val="1F2933"/>
                <w:sz w:val="17"/>
              </w:rPr>
              <w:t>Approve consumer-directed educational product boundary</w:t>
            </w:r>
          </w:p>
        </w:tc>
      </w:tr>
      <w:tr>
        <w:trPr>
          <w:cantSplit/>
        </w:trPr>
        <w:tc>
          <w:tcPr>
            <w:tcW w:type="dxa" w:w="648"/>
            <w:tcMar>
              <w:top w:w="70" w:type="dxa"/>
              <w:start w:w="90" w:type="dxa"/>
              <w:bottom w:w="70" w:type="dxa"/>
              <w:end w:w="90" w:type="dxa"/>
            </w:tcMar>
            <w:shd w:fill="F5F7FA"/>
          </w:tcPr>
          <w:p>
            <w:pPr>
              <w:spacing w:after="0" w:line="240" w:lineRule="auto"/>
            </w:pPr>
            <w:r>
              <w:rPr>
                <w:rFonts w:ascii="Aptos" w:hAnsi="Aptos"/>
                <w:color w:val="1F2933"/>
                <w:sz w:val="17"/>
              </w:rPr>
              <w:t>☐</w:t>
            </w:r>
          </w:p>
        </w:tc>
        <w:tc>
          <w:tcPr>
            <w:tcW w:type="dxa" w:w="9792"/>
            <w:tcMar>
              <w:top w:w="70" w:type="dxa"/>
              <w:start w:w="90" w:type="dxa"/>
              <w:bottom w:w="70" w:type="dxa"/>
              <w:end w:w="90" w:type="dxa"/>
            </w:tcMar>
            <w:shd w:fill="F5F7FA"/>
          </w:tcPr>
          <w:p>
            <w:pPr>
              <w:spacing w:after="0" w:line="240" w:lineRule="auto"/>
            </w:pPr>
            <w:r>
              <w:rPr>
                <w:rFonts w:ascii="Aptos" w:hAnsi="Aptos"/>
                <w:color w:val="1F2933"/>
                <w:sz w:val="17"/>
              </w:rPr>
              <w:t>Select launch state and counsel</w:t>
            </w:r>
          </w:p>
        </w:tc>
      </w:tr>
      <w:tr>
        <w:trPr>
          <w:cantSplit/>
        </w:trPr>
        <w:tc>
          <w:tcPr>
            <w:tcW w:type="dxa" w:w="648"/>
            <w:tcMar>
              <w:top w:w="70" w:type="dxa"/>
              <w:start w:w="90" w:type="dxa"/>
              <w:bottom w:w="70" w:type="dxa"/>
              <w:end w:w="90" w:type="dxa"/>
            </w:tcMar>
          </w:tcPr>
          <w:p>
            <w:pPr>
              <w:spacing w:after="0" w:line="240" w:lineRule="auto"/>
            </w:pPr>
            <w:r>
              <w:rPr>
                <w:rFonts w:ascii="Aptos" w:hAnsi="Aptos"/>
                <w:color w:val="1F2933"/>
                <w:sz w:val="17"/>
              </w:rPr>
              <w:t>☐</w:t>
            </w:r>
          </w:p>
        </w:tc>
        <w:tc>
          <w:tcPr>
            <w:tcW w:type="dxa" w:w="9792"/>
            <w:tcMar>
              <w:top w:w="70" w:type="dxa"/>
              <w:start w:w="90" w:type="dxa"/>
              <w:bottom w:w="70" w:type="dxa"/>
              <w:end w:w="90" w:type="dxa"/>
            </w:tcMar>
          </w:tcPr>
          <w:p>
            <w:pPr>
              <w:spacing w:after="0" w:line="240" w:lineRule="auto"/>
            </w:pPr>
            <w:r>
              <w:rPr>
                <w:rFonts w:ascii="Aptos" w:hAnsi="Aptos"/>
                <w:color w:val="1F2933"/>
                <w:sz w:val="17"/>
              </w:rPr>
              <w:t>Approve pricing hypothesis subject to legal review</w:t>
            </w:r>
          </w:p>
        </w:tc>
      </w:tr>
      <w:tr>
        <w:trPr>
          <w:cantSplit/>
        </w:trPr>
        <w:tc>
          <w:tcPr>
            <w:tcW w:type="dxa" w:w="648"/>
            <w:tcMar>
              <w:top w:w="70" w:type="dxa"/>
              <w:start w:w="90" w:type="dxa"/>
              <w:bottom w:w="70" w:type="dxa"/>
              <w:end w:w="90" w:type="dxa"/>
            </w:tcMar>
            <w:shd w:fill="F5F7FA"/>
          </w:tcPr>
          <w:p>
            <w:pPr>
              <w:spacing w:after="0" w:line="240" w:lineRule="auto"/>
            </w:pPr>
            <w:r>
              <w:rPr>
                <w:rFonts w:ascii="Aptos" w:hAnsi="Aptos"/>
                <w:color w:val="1F2933"/>
                <w:sz w:val="17"/>
              </w:rPr>
              <w:t>☐</w:t>
            </w:r>
          </w:p>
        </w:tc>
        <w:tc>
          <w:tcPr>
            <w:tcW w:type="dxa" w:w="9792"/>
            <w:tcMar>
              <w:top w:w="70" w:type="dxa"/>
              <w:start w:w="90" w:type="dxa"/>
              <w:bottom w:w="70" w:type="dxa"/>
              <w:end w:w="90" w:type="dxa"/>
            </w:tcMar>
            <w:shd w:fill="F5F7FA"/>
          </w:tcPr>
          <w:p>
            <w:pPr>
              <w:spacing w:after="0" w:line="240" w:lineRule="auto"/>
            </w:pPr>
            <w:r>
              <w:rPr>
                <w:rFonts w:ascii="Aptos" w:hAnsi="Aptos"/>
                <w:color w:val="1F2933"/>
                <w:sz w:val="17"/>
              </w:rPr>
              <w:t>Approve TypeScript + InsForge + Bun/Node reference stack</w:t>
            </w:r>
          </w:p>
        </w:tc>
      </w:tr>
      <w:tr>
        <w:trPr>
          <w:cantSplit/>
        </w:trPr>
        <w:tc>
          <w:tcPr>
            <w:tcW w:type="dxa" w:w="648"/>
            <w:tcMar>
              <w:top w:w="70" w:type="dxa"/>
              <w:start w:w="90" w:type="dxa"/>
              <w:bottom w:w="70" w:type="dxa"/>
              <w:end w:w="90" w:type="dxa"/>
            </w:tcMar>
          </w:tcPr>
          <w:p>
            <w:pPr>
              <w:spacing w:after="0" w:line="240" w:lineRule="auto"/>
            </w:pPr>
            <w:r>
              <w:rPr>
                <w:rFonts w:ascii="Aptos" w:hAnsi="Aptos"/>
                <w:color w:val="1F2933"/>
                <w:sz w:val="17"/>
              </w:rPr>
              <w:t>☐</w:t>
            </w:r>
          </w:p>
        </w:tc>
        <w:tc>
          <w:tcPr>
            <w:tcW w:type="dxa" w:w="9792"/>
            <w:tcMar>
              <w:top w:w="70" w:type="dxa"/>
              <w:start w:w="90" w:type="dxa"/>
              <w:bottom w:w="70" w:type="dxa"/>
              <w:end w:w="90" w:type="dxa"/>
            </w:tcMar>
          </w:tcPr>
          <w:p>
            <w:pPr>
              <w:spacing w:after="0" w:line="240" w:lineRule="auto"/>
            </w:pPr>
            <w:r>
              <w:rPr>
                <w:rFonts w:ascii="Aptos" w:hAnsi="Aptos"/>
                <w:color w:val="1F2933"/>
                <w:sz w:val="17"/>
              </w:rPr>
              <w:t>Approve native PDF/HTML MVP and defer OCR unless required</w:t>
            </w:r>
          </w:p>
        </w:tc>
      </w:tr>
      <w:tr>
        <w:trPr>
          <w:cantSplit/>
        </w:trPr>
        <w:tc>
          <w:tcPr>
            <w:tcW w:type="dxa" w:w="648"/>
            <w:tcMar>
              <w:top w:w="70" w:type="dxa"/>
              <w:start w:w="90" w:type="dxa"/>
              <w:bottom w:w="70" w:type="dxa"/>
              <w:end w:w="90" w:type="dxa"/>
            </w:tcMar>
            <w:shd w:fill="F5F7FA"/>
          </w:tcPr>
          <w:p>
            <w:pPr>
              <w:spacing w:after="0" w:line="240" w:lineRule="auto"/>
            </w:pPr>
            <w:r>
              <w:rPr>
                <w:rFonts w:ascii="Aptos" w:hAnsi="Aptos"/>
                <w:color w:val="1F2933"/>
                <w:sz w:val="17"/>
              </w:rPr>
              <w:t>☐</w:t>
            </w:r>
          </w:p>
        </w:tc>
        <w:tc>
          <w:tcPr>
            <w:tcW w:type="dxa" w:w="9792"/>
            <w:tcMar>
              <w:top w:w="70" w:type="dxa"/>
              <w:start w:w="90" w:type="dxa"/>
              <w:bottom w:w="70" w:type="dxa"/>
              <w:end w:w="90" w:type="dxa"/>
            </w:tcMar>
            <w:shd w:fill="F5F7FA"/>
          </w:tcPr>
          <w:p>
            <w:pPr>
              <w:spacing w:after="0" w:line="240" w:lineRule="auto"/>
            </w:pPr>
            <w:r>
              <w:rPr>
                <w:rFonts w:ascii="Aptos" w:hAnsi="Aptos"/>
                <w:color w:val="1F2933"/>
                <w:sz w:val="17"/>
              </w:rPr>
              <w:t>Approve deterministic rules as the source of findings</w:t>
            </w:r>
          </w:p>
        </w:tc>
      </w:tr>
      <w:tr>
        <w:trPr>
          <w:cantSplit/>
        </w:trPr>
        <w:tc>
          <w:tcPr>
            <w:tcW w:type="dxa" w:w="648"/>
            <w:tcMar>
              <w:top w:w="70" w:type="dxa"/>
              <w:start w:w="90" w:type="dxa"/>
              <w:bottom w:w="70" w:type="dxa"/>
              <w:end w:w="90" w:type="dxa"/>
            </w:tcMar>
          </w:tcPr>
          <w:p>
            <w:pPr>
              <w:spacing w:after="0" w:line="240" w:lineRule="auto"/>
            </w:pPr>
            <w:r>
              <w:rPr>
                <w:rFonts w:ascii="Aptos" w:hAnsi="Aptos"/>
                <w:color w:val="1F2933"/>
                <w:sz w:val="17"/>
              </w:rPr>
              <w:t>☐</w:t>
            </w:r>
          </w:p>
        </w:tc>
        <w:tc>
          <w:tcPr>
            <w:tcW w:type="dxa" w:w="9792"/>
            <w:tcMar>
              <w:top w:w="70" w:type="dxa"/>
              <w:start w:w="90" w:type="dxa"/>
              <w:bottom w:w="70" w:type="dxa"/>
              <w:end w:w="90" w:type="dxa"/>
            </w:tcMar>
          </w:tcPr>
          <w:p>
            <w:pPr>
              <w:spacing w:after="0" w:line="240" w:lineRule="auto"/>
            </w:pPr>
            <w:r>
              <w:rPr>
                <w:rFonts w:ascii="Aptos" w:hAnsi="Aptos"/>
                <w:color w:val="1F2933"/>
                <w:sz w:val="17"/>
              </w:rPr>
              <w:t>Approve no automatic disputes or score guarantees</w:t>
            </w:r>
          </w:p>
        </w:tc>
      </w:tr>
      <w:tr>
        <w:trPr>
          <w:cantSplit/>
        </w:trPr>
        <w:tc>
          <w:tcPr>
            <w:tcW w:type="dxa" w:w="648"/>
            <w:tcMar>
              <w:top w:w="70" w:type="dxa"/>
              <w:start w:w="90" w:type="dxa"/>
              <w:bottom w:w="70" w:type="dxa"/>
              <w:end w:w="90" w:type="dxa"/>
            </w:tcMar>
            <w:shd w:fill="F5F7FA"/>
          </w:tcPr>
          <w:p>
            <w:pPr>
              <w:spacing w:after="0" w:line="240" w:lineRule="auto"/>
            </w:pPr>
            <w:r>
              <w:rPr>
                <w:rFonts w:ascii="Aptos" w:hAnsi="Aptos"/>
                <w:color w:val="1F2933"/>
                <w:sz w:val="17"/>
              </w:rPr>
              <w:t>☐</w:t>
            </w:r>
          </w:p>
        </w:tc>
        <w:tc>
          <w:tcPr>
            <w:tcW w:type="dxa" w:w="9792"/>
            <w:tcMar>
              <w:top w:w="70" w:type="dxa"/>
              <w:start w:w="90" w:type="dxa"/>
              <w:bottom w:w="70" w:type="dxa"/>
              <w:end w:w="90" w:type="dxa"/>
            </w:tcMar>
            <w:shd w:fill="F5F7FA"/>
          </w:tcPr>
          <w:p>
            <w:pPr>
              <w:spacing w:after="0" w:line="240" w:lineRule="auto"/>
            </w:pPr>
            <w:r>
              <w:rPr>
                <w:rFonts w:ascii="Aptos" w:hAnsi="Aptos"/>
                <w:color w:val="1F2933"/>
                <w:sz w:val="17"/>
              </w:rPr>
              <w:t>Approve security/vendor gate before real reports</w:t>
            </w:r>
          </w:p>
        </w:tc>
      </w:tr>
      <w:tr>
        <w:trPr>
          <w:cantSplit/>
        </w:trPr>
        <w:tc>
          <w:tcPr>
            <w:tcW w:type="dxa" w:w="648"/>
            <w:tcMar>
              <w:top w:w="70" w:type="dxa"/>
              <w:start w:w="90" w:type="dxa"/>
              <w:bottom w:w="70" w:type="dxa"/>
              <w:end w:w="90" w:type="dxa"/>
            </w:tcMar>
          </w:tcPr>
          <w:p>
            <w:pPr>
              <w:spacing w:after="0" w:line="240" w:lineRule="auto"/>
            </w:pPr>
            <w:r>
              <w:rPr>
                <w:rFonts w:ascii="Aptos" w:hAnsi="Aptos"/>
                <w:color w:val="1F2933"/>
                <w:sz w:val="17"/>
              </w:rPr>
              <w:t>☐</w:t>
            </w:r>
          </w:p>
        </w:tc>
        <w:tc>
          <w:tcPr>
            <w:tcW w:type="dxa" w:w="9792"/>
            <w:tcMar>
              <w:top w:w="70" w:type="dxa"/>
              <w:start w:w="90" w:type="dxa"/>
              <w:bottom w:w="70" w:type="dxa"/>
              <w:end w:w="90" w:type="dxa"/>
            </w:tcMar>
          </w:tcPr>
          <w:p>
            <w:pPr>
              <w:spacing w:after="0" w:line="240" w:lineRule="auto"/>
            </w:pPr>
            <w:r>
              <w:rPr>
                <w:rFonts w:ascii="Aptos" w:hAnsi="Aptos"/>
                <w:color w:val="1F2933"/>
                <w:sz w:val="17"/>
              </w:rPr>
              <w:t>Assign product, engineering, security, compliance, and legal owners</w:t>
            </w:r>
          </w:p>
        </w:tc>
      </w:tr>
      <w:tr>
        <w:trPr>
          <w:cantSplit/>
        </w:trPr>
        <w:tc>
          <w:tcPr>
            <w:tcW w:type="dxa" w:w="648"/>
            <w:tcMar>
              <w:top w:w="70" w:type="dxa"/>
              <w:start w:w="90" w:type="dxa"/>
              <w:bottom w:w="70" w:type="dxa"/>
              <w:end w:w="90" w:type="dxa"/>
            </w:tcMar>
            <w:shd w:fill="F5F7FA"/>
          </w:tcPr>
          <w:p>
            <w:pPr>
              <w:spacing w:after="0" w:line="240" w:lineRule="auto"/>
            </w:pPr>
            <w:r>
              <w:rPr>
                <w:rFonts w:ascii="Aptos" w:hAnsi="Aptos"/>
                <w:color w:val="1F2933"/>
                <w:sz w:val="17"/>
              </w:rPr>
              <w:t>☐</w:t>
            </w:r>
          </w:p>
        </w:tc>
        <w:tc>
          <w:tcPr>
            <w:tcW w:type="dxa" w:w="9792"/>
            <w:tcMar>
              <w:top w:w="70" w:type="dxa"/>
              <w:start w:w="90" w:type="dxa"/>
              <w:bottom w:w="70" w:type="dxa"/>
              <w:end w:w="90" w:type="dxa"/>
            </w:tcMar>
            <w:shd w:fill="F5F7FA"/>
          </w:tcPr>
          <w:p>
            <w:pPr>
              <w:spacing w:after="0" w:line="240" w:lineRule="auto"/>
            </w:pPr>
            <w:r>
              <w:rPr>
                <w:rFonts w:ascii="Aptos" w:hAnsi="Aptos"/>
                <w:color w:val="1F2933"/>
                <w:sz w:val="17"/>
              </w:rPr>
              <w:t>Authorize creation of schema, rules catalog, wireframes, and implementation backlog</w:t>
            </w:r>
          </w:p>
        </w:tc>
      </w:tr>
    </w:tbl>
    <w:p>
      <w:pPr>
        <w:spacing w:after="20"/>
      </w:pPr>
    </w:p>
    <w:p>
      <w:pPr>
        <w:pStyle w:val="Heading1"/>
        <w:pageBreakBefore/>
      </w:pPr>
      <w:r>
        <w:rPr>
          <w:rFonts w:ascii="Aptos Display" w:hAnsi="Aptos Display"/>
          <w:b/>
          <w:color w:val="17324D"/>
          <w:sz w:val="36"/>
        </w:rPr>
        <w:t>A. Appendix A - Initial Epics and Build Backlog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shd w:fill="17324D"/>
            <w:tcMar>
              <w:top w:w="80" w:type="dxa"/>
              <w:start w:w="90" w:type="dxa"/>
              <w:bottom w:w="80" w:type="dxa"/>
              <w:end w:w="90" w:type="dxa"/>
            </w:tcMar>
            <w:vAlign w:val="center"/>
          </w:tcPr>
          <w:p>
            <w:pPr>
              <w:spacing w:after="0"/>
            </w:pPr>
            <w:r>
              <w:rPr>
                <w:rFonts w:ascii="Aptos" w:hAnsi="Aptos"/>
                <w:b/>
                <w:color w:val="FFFFFF"/>
                <w:sz w:val="16"/>
              </w:rPr>
              <w:t>Epic</w:t>
            </w:r>
          </w:p>
        </w:tc>
        <w:tc>
          <w:tcPr>
            <w:tcW w:type="dxa" w:w="5544"/>
            <w:shd w:fill="17324D"/>
            <w:tcMar>
              <w:top w:w="80" w:type="dxa"/>
              <w:start w:w="90" w:type="dxa"/>
              <w:bottom w:w="80" w:type="dxa"/>
              <w:end w:w="90" w:type="dxa"/>
            </w:tcMar>
            <w:vAlign w:val="center"/>
          </w:tcPr>
          <w:p>
            <w:pPr>
              <w:spacing w:after="0"/>
            </w:pPr>
            <w:r>
              <w:rPr>
                <w:rFonts w:ascii="Aptos" w:hAnsi="Aptos"/>
                <w:b/>
                <w:color w:val="FFFFFF"/>
                <w:sz w:val="16"/>
              </w:rPr>
              <w:t>Name</w:t>
            </w:r>
          </w:p>
        </w:tc>
        <w:tc>
          <w:tcPr>
            <w:tcW w:type="dxa" w:w="1152"/>
            <w:shd w:fill="17324D"/>
            <w:tcMar>
              <w:top w:w="80" w:type="dxa"/>
              <w:start w:w="90" w:type="dxa"/>
              <w:bottom w:w="80" w:type="dxa"/>
              <w:end w:w="90" w:type="dxa"/>
            </w:tcMar>
            <w:vAlign w:val="center"/>
          </w:tcPr>
          <w:p>
            <w:pPr>
              <w:spacing w:after="0"/>
            </w:pPr>
            <w:r>
              <w:rPr>
                <w:rFonts w:ascii="Aptos" w:hAnsi="Aptos"/>
                <w:b/>
                <w:color w:val="FFFFFF"/>
                <w:sz w:val="16"/>
              </w:rPr>
              <w:t>Priority</w:t>
            </w:r>
          </w:p>
        </w:tc>
        <w:tc>
          <w:tcPr>
            <w:tcW w:type="dxa" w:w="2592"/>
            <w:shd w:fill="17324D"/>
            <w:tcMar>
              <w:top w:w="80" w:type="dxa"/>
              <w:start w:w="90" w:type="dxa"/>
              <w:bottom w:w="80" w:type="dxa"/>
              <w:end w:w="90" w:type="dxa"/>
            </w:tcMar>
            <w:vAlign w:val="center"/>
          </w:tcPr>
          <w:p>
            <w:pPr>
              <w:spacing w:after="0"/>
            </w:pPr>
            <w:r>
              <w:rPr>
                <w:rFonts w:ascii="Aptos" w:hAnsi="Aptos"/>
                <w:b/>
                <w:color w:val="FFFFFF"/>
                <w:sz w:val="16"/>
              </w:rPr>
              <w:t>Traceability</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EP-01</w:t>
            </w:r>
          </w:p>
        </w:tc>
        <w:tc>
          <w:tcPr>
            <w:tcW w:type="dxa" w:w="5544"/>
            <w:tcMar>
              <w:top w:w="70" w:type="dxa"/>
              <w:start w:w="90" w:type="dxa"/>
              <w:bottom w:w="70" w:type="dxa"/>
              <w:end w:w="90" w:type="dxa"/>
            </w:tcMar>
          </w:tcPr>
          <w:p>
            <w:pPr>
              <w:spacing w:after="0" w:line="240" w:lineRule="auto"/>
            </w:pPr>
            <w:r>
              <w:rPr>
                <w:rFonts w:ascii="Aptos" w:hAnsi="Aptos"/>
                <w:color w:val="1F2933"/>
                <w:sz w:val="16"/>
              </w:rPr>
              <w:t>Identity, consent, jurisdiction, and account security</w:t>
            </w:r>
          </w:p>
        </w:tc>
        <w:tc>
          <w:tcPr>
            <w:tcW w:type="dxa" w:w="1152"/>
            <w:tcMar>
              <w:top w:w="70" w:type="dxa"/>
              <w:start w:w="90" w:type="dxa"/>
              <w:bottom w:w="70" w:type="dxa"/>
              <w:end w:w="90" w:type="dxa"/>
            </w:tcMar>
          </w:tcPr>
          <w:p>
            <w:pPr>
              <w:spacing w:after="0" w:line="240" w:lineRule="auto"/>
            </w:pPr>
            <w:r>
              <w:rPr>
                <w:rFonts w:ascii="Aptos" w:hAnsi="Aptos"/>
                <w:color w:val="1F2933"/>
                <w:sz w:val="16"/>
              </w:rPr>
              <w:t>P0</w:t>
            </w:r>
          </w:p>
        </w:tc>
        <w:tc>
          <w:tcPr>
            <w:tcW w:type="dxa" w:w="2592"/>
            <w:tcMar>
              <w:top w:w="70" w:type="dxa"/>
              <w:start w:w="90" w:type="dxa"/>
              <w:bottom w:w="70" w:type="dxa"/>
              <w:end w:w="90" w:type="dxa"/>
            </w:tcMar>
          </w:tcPr>
          <w:p>
            <w:pPr>
              <w:spacing w:after="0" w:line="240" w:lineRule="auto"/>
            </w:pPr>
            <w:r>
              <w:rPr>
                <w:rFonts w:ascii="Aptos" w:hAnsi="Aptos"/>
                <w:color w:val="1F2933"/>
                <w:sz w:val="16"/>
              </w:rPr>
              <w:t>FR-001-FR-006</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EP-02</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Private upload, malware scan, and document lifecycle</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FR-010-FR-017</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EP-03</w:t>
            </w:r>
          </w:p>
        </w:tc>
        <w:tc>
          <w:tcPr>
            <w:tcW w:type="dxa" w:w="5544"/>
            <w:tcMar>
              <w:top w:w="70" w:type="dxa"/>
              <w:start w:w="90" w:type="dxa"/>
              <w:bottom w:w="70" w:type="dxa"/>
              <w:end w:w="90" w:type="dxa"/>
            </w:tcMar>
          </w:tcPr>
          <w:p>
            <w:pPr>
              <w:spacing w:after="0" w:line="240" w:lineRule="auto"/>
            </w:pPr>
            <w:r>
              <w:rPr>
                <w:rFonts w:ascii="Aptos" w:hAnsi="Aptos"/>
                <w:color w:val="1F2933"/>
                <w:sz w:val="16"/>
              </w:rPr>
              <w:t>PDF/HTML parsing adapters and provenance</w:t>
            </w:r>
          </w:p>
        </w:tc>
        <w:tc>
          <w:tcPr>
            <w:tcW w:type="dxa" w:w="1152"/>
            <w:tcMar>
              <w:top w:w="70" w:type="dxa"/>
              <w:start w:w="90" w:type="dxa"/>
              <w:bottom w:w="70" w:type="dxa"/>
              <w:end w:w="90" w:type="dxa"/>
            </w:tcMar>
          </w:tcPr>
          <w:p>
            <w:pPr>
              <w:spacing w:after="0" w:line="240" w:lineRule="auto"/>
            </w:pPr>
            <w:r>
              <w:rPr>
                <w:rFonts w:ascii="Aptos" w:hAnsi="Aptos"/>
                <w:color w:val="1F2933"/>
                <w:sz w:val="16"/>
              </w:rPr>
              <w:t>P0</w:t>
            </w:r>
          </w:p>
        </w:tc>
        <w:tc>
          <w:tcPr>
            <w:tcW w:type="dxa" w:w="2592"/>
            <w:tcMar>
              <w:top w:w="70" w:type="dxa"/>
              <w:start w:w="90" w:type="dxa"/>
              <w:bottom w:w="70" w:type="dxa"/>
              <w:end w:w="90" w:type="dxa"/>
            </w:tcMar>
          </w:tcPr>
          <w:p>
            <w:pPr>
              <w:spacing w:after="0" w:line="240" w:lineRule="auto"/>
            </w:pPr>
            <w:r>
              <w:rPr>
                <w:rFonts w:ascii="Aptos" w:hAnsi="Aptos"/>
                <w:color w:val="1F2933"/>
                <w:sz w:val="16"/>
              </w:rPr>
              <w:t>FR-020-FR-029</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EP-04</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Canonical schema and user review interface</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FR-022-FR-029</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EP-05</w:t>
            </w:r>
          </w:p>
        </w:tc>
        <w:tc>
          <w:tcPr>
            <w:tcW w:type="dxa" w:w="5544"/>
            <w:tcMar>
              <w:top w:w="70" w:type="dxa"/>
              <w:start w:w="90" w:type="dxa"/>
              <w:bottom w:w="70" w:type="dxa"/>
              <w:end w:w="90" w:type="dxa"/>
            </w:tcMar>
          </w:tcPr>
          <w:p>
            <w:pPr>
              <w:spacing w:after="0" w:line="240" w:lineRule="auto"/>
            </w:pPr>
            <w:r>
              <w:rPr>
                <w:rFonts w:ascii="Aptos" w:hAnsi="Aptos"/>
                <w:color w:val="1F2933"/>
                <w:sz w:val="16"/>
              </w:rPr>
              <w:t>Cross-bureau matching and confirmation questions</w:t>
            </w:r>
          </w:p>
        </w:tc>
        <w:tc>
          <w:tcPr>
            <w:tcW w:type="dxa" w:w="1152"/>
            <w:tcMar>
              <w:top w:w="70" w:type="dxa"/>
              <w:start w:w="90" w:type="dxa"/>
              <w:bottom w:w="70" w:type="dxa"/>
              <w:end w:w="90" w:type="dxa"/>
            </w:tcMar>
          </w:tcPr>
          <w:p>
            <w:pPr>
              <w:spacing w:after="0" w:line="240" w:lineRule="auto"/>
            </w:pPr>
            <w:r>
              <w:rPr>
                <w:rFonts w:ascii="Aptos" w:hAnsi="Aptos"/>
                <w:color w:val="1F2933"/>
                <w:sz w:val="16"/>
              </w:rPr>
              <w:t>P0</w:t>
            </w:r>
          </w:p>
        </w:tc>
        <w:tc>
          <w:tcPr>
            <w:tcW w:type="dxa" w:w="2592"/>
            <w:tcMar>
              <w:top w:w="70" w:type="dxa"/>
              <w:start w:w="90" w:type="dxa"/>
              <w:bottom w:w="70" w:type="dxa"/>
              <w:end w:w="90" w:type="dxa"/>
            </w:tcMar>
          </w:tcPr>
          <w:p>
            <w:pPr>
              <w:spacing w:after="0" w:line="240" w:lineRule="auto"/>
            </w:pPr>
            <w:r>
              <w:rPr>
                <w:rFonts w:ascii="Aptos" w:hAnsi="Aptos"/>
                <w:color w:val="1F2933"/>
                <w:sz w:val="16"/>
              </w:rPr>
              <w:t>FR-030-FR-035</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EP-06</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Deterministic rules engine and first ruleset</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FR-040-FR-049</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EP-07</w:t>
            </w:r>
          </w:p>
        </w:tc>
        <w:tc>
          <w:tcPr>
            <w:tcW w:type="dxa" w:w="5544"/>
            <w:tcMar>
              <w:top w:w="70" w:type="dxa"/>
              <w:start w:w="90" w:type="dxa"/>
              <w:bottom w:w="70" w:type="dxa"/>
              <w:end w:w="90" w:type="dxa"/>
            </w:tcMar>
          </w:tcPr>
          <w:p>
            <w:pPr>
              <w:spacing w:after="0" w:line="240" w:lineRule="auto"/>
            </w:pPr>
            <w:r>
              <w:rPr>
                <w:rFonts w:ascii="Aptos" w:hAnsi="Aptos"/>
                <w:color w:val="1F2933"/>
                <w:sz w:val="16"/>
              </w:rPr>
              <w:t>Approved knowledge and educational content</w:t>
            </w:r>
          </w:p>
        </w:tc>
        <w:tc>
          <w:tcPr>
            <w:tcW w:type="dxa" w:w="1152"/>
            <w:tcMar>
              <w:top w:w="70" w:type="dxa"/>
              <w:start w:w="90" w:type="dxa"/>
              <w:bottom w:w="70" w:type="dxa"/>
              <w:end w:w="90" w:type="dxa"/>
            </w:tcMar>
          </w:tcPr>
          <w:p>
            <w:pPr>
              <w:spacing w:after="0" w:line="240" w:lineRule="auto"/>
            </w:pPr>
            <w:r>
              <w:rPr>
                <w:rFonts w:ascii="Aptos" w:hAnsi="Aptos"/>
                <w:color w:val="1F2933"/>
                <w:sz w:val="16"/>
              </w:rPr>
              <w:t>P0</w:t>
            </w:r>
          </w:p>
        </w:tc>
        <w:tc>
          <w:tcPr>
            <w:tcW w:type="dxa" w:w="2592"/>
            <w:tcMar>
              <w:top w:w="70" w:type="dxa"/>
              <w:start w:w="90" w:type="dxa"/>
              <w:bottom w:w="70" w:type="dxa"/>
              <w:end w:w="90" w:type="dxa"/>
            </w:tcMar>
          </w:tcPr>
          <w:p>
            <w:pPr>
              <w:spacing w:after="0" w:line="240" w:lineRule="auto"/>
            </w:pPr>
            <w:r>
              <w:rPr>
                <w:rFonts w:ascii="Aptos" w:hAnsi="Aptos"/>
                <w:color w:val="1F2933"/>
                <w:sz w:val="16"/>
              </w:rPr>
              <w:t>FR-050-FR-058, FR-060</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EP-08</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Structured AI narration and output validation</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Section 10</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EP-09</w:t>
            </w:r>
          </w:p>
        </w:tc>
        <w:tc>
          <w:tcPr>
            <w:tcW w:type="dxa" w:w="5544"/>
            <w:tcMar>
              <w:top w:w="70" w:type="dxa"/>
              <w:start w:w="90" w:type="dxa"/>
              <w:bottom w:w="70" w:type="dxa"/>
              <w:end w:w="90" w:type="dxa"/>
            </w:tcMar>
          </w:tcPr>
          <w:p>
            <w:pPr>
              <w:spacing w:after="0" w:line="240" w:lineRule="auto"/>
            </w:pPr>
            <w:r>
              <w:rPr>
                <w:rFonts w:ascii="Aptos" w:hAnsi="Aptos"/>
                <w:color w:val="1F2933"/>
                <w:sz w:val="16"/>
              </w:rPr>
              <w:t>Interactive report, action checklist, and export</w:t>
            </w:r>
          </w:p>
        </w:tc>
        <w:tc>
          <w:tcPr>
            <w:tcW w:type="dxa" w:w="1152"/>
            <w:tcMar>
              <w:top w:w="70" w:type="dxa"/>
              <w:start w:w="90" w:type="dxa"/>
              <w:bottom w:w="70" w:type="dxa"/>
              <w:end w:w="90" w:type="dxa"/>
            </w:tcMar>
          </w:tcPr>
          <w:p>
            <w:pPr>
              <w:spacing w:after="0" w:line="240" w:lineRule="auto"/>
            </w:pPr>
            <w:r>
              <w:rPr>
                <w:rFonts w:ascii="Aptos" w:hAnsi="Aptos"/>
                <w:color w:val="1F2933"/>
                <w:sz w:val="16"/>
              </w:rPr>
              <w:t>P0</w:t>
            </w:r>
          </w:p>
        </w:tc>
        <w:tc>
          <w:tcPr>
            <w:tcW w:type="dxa" w:w="2592"/>
            <w:tcMar>
              <w:top w:w="70" w:type="dxa"/>
              <w:start w:w="90" w:type="dxa"/>
              <w:bottom w:w="70" w:type="dxa"/>
              <w:end w:w="90" w:type="dxa"/>
            </w:tcMar>
          </w:tcPr>
          <w:p>
            <w:pPr>
              <w:spacing w:after="0" w:line="240" w:lineRule="auto"/>
            </w:pPr>
            <w:r>
              <w:rPr>
                <w:rFonts w:ascii="Aptos" w:hAnsi="Aptos"/>
                <w:color w:val="1F2933"/>
                <w:sz w:val="16"/>
              </w:rPr>
              <w:t>Section 11</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EP-10</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Admin compliance and rules publication</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FR-060-FR-065</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EP-11</w:t>
            </w:r>
          </w:p>
        </w:tc>
        <w:tc>
          <w:tcPr>
            <w:tcW w:type="dxa" w:w="5544"/>
            <w:tcMar>
              <w:top w:w="70" w:type="dxa"/>
              <w:start w:w="90" w:type="dxa"/>
              <w:bottom w:w="70" w:type="dxa"/>
              <w:end w:w="90" w:type="dxa"/>
            </w:tcMar>
          </w:tcPr>
          <w:p>
            <w:pPr>
              <w:spacing w:after="0" w:line="240" w:lineRule="auto"/>
            </w:pPr>
            <w:r>
              <w:rPr>
                <w:rFonts w:ascii="Aptos" w:hAnsi="Aptos"/>
                <w:color w:val="1F2933"/>
                <w:sz w:val="16"/>
              </w:rPr>
              <w:t>Security, privacy, deletion, and audit</w:t>
            </w:r>
          </w:p>
        </w:tc>
        <w:tc>
          <w:tcPr>
            <w:tcW w:type="dxa" w:w="1152"/>
            <w:tcMar>
              <w:top w:w="70" w:type="dxa"/>
              <w:start w:w="90" w:type="dxa"/>
              <w:bottom w:w="70" w:type="dxa"/>
              <w:end w:w="90" w:type="dxa"/>
            </w:tcMar>
          </w:tcPr>
          <w:p>
            <w:pPr>
              <w:spacing w:after="0" w:line="240" w:lineRule="auto"/>
            </w:pPr>
            <w:r>
              <w:rPr>
                <w:rFonts w:ascii="Aptos" w:hAnsi="Aptos"/>
                <w:color w:val="1F2933"/>
                <w:sz w:val="16"/>
              </w:rPr>
              <w:t>P0</w:t>
            </w:r>
          </w:p>
        </w:tc>
        <w:tc>
          <w:tcPr>
            <w:tcW w:type="dxa" w:w="2592"/>
            <w:tcMar>
              <w:top w:w="70" w:type="dxa"/>
              <w:start w:w="90" w:type="dxa"/>
              <w:bottom w:w="70" w:type="dxa"/>
              <w:end w:w="90" w:type="dxa"/>
            </w:tcMar>
          </w:tcPr>
          <w:p>
            <w:pPr>
              <w:spacing w:after="0" w:line="240" w:lineRule="auto"/>
            </w:pPr>
            <w:r>
              <w:rPr>
                <w:rFonts w:ascii="Aptos" w:hAnsi="Aptos"/>
                <w:color w:val="1F2933"/>
                <w:sz w:val="16"/>
              </w:rPr>
              <w:t>Section 13</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EP-12</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Observability, operations, and incident readiness</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P0</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Section 17</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EP-13</w:t>
            </w:r>
          </w:p>
        </w:tc>
        <w:tc>
          <w:tcPr>
            <w:tcW w:type="dxa" w:w="5544"/>
            <w:tcMar>
              <w:top w:w="70" w:type="dxa"/>
              <w:start w:w="90" w:type="dxa"/>
              <w:bottom w:w="70" w:type="dxa"/>
              <w:end w:w="90" w:type="dxa"/>
            </w:tcMar>
          </w:tcPr>
          <w:p>
            <w:pPr>
              <w:spacing w:after="0" w:line="240" w:lineRule="auto"/>
            </w:pPr>
            <w:r>
              <w:rPr>
                <w:rFonts w:ascii="Aptos" w:hAnsi="Aptos"/>
                <w:color w:val="1F2933"/>
                <w:sz w:val="16"/>
              </w:rPr>
              <w:t>OCR and scanned reports</w:t>
            </w:r>
          </w:p>
        </w:tc>
        <w:tc>
          <w:tcPr>
            <w:tcW w:type="dxa" w:w="1152"/>
            <w:tcMar>
              <w:top w:w="70" w:type="dxa"/>
              <w:start w:w="90" w:type="dxa"/>
              <w:bottom w:w="70" w:type="dxa"/>
              <w:end w:w="90" w:type="dxa"/>
            </w:tcMar>
          </w:tcPr>
          <w:p>
            <w:pPr>
              <w:spacing w:after="0" w:line="240" w:lineRule="auto"/>
            </w:pPr>
            <w:r>
              <w:rPr>
                <w:rFonts w:ascii="Aptos" w:hAnsi="Aptos"/>
                <w:color w:val="1F2933"/>
                <w:sz w:val="16"/>
              </w:rPr>
              <w:t>P1</w:t>
            </w:r>
          </w:p>
        </w:tc>
        <w:tc>
          <w:tcPr>
            <w:tcW w:type="dxa" w:w="2592"/>
            <w:tcMar>
              <w:top w:w="70" w:type="dxa"/>
              <w:start w:w="90" w:type="dxa"/>
              <w:bottom w:w="70" w:type="dxa"/>
              <w:end w:w="90" w:type="dxa"/>
            </w:tcMar>
          </w:tcPr>
          <w:p>
            <w:pPr>
              <w:spacing w:after="0" w:line="240" w:lineRule="auto"/>
            </w:pPr>
            <w:r>
              <w:rPr>
                <w:rFonts w:ascii="Aptos" w:hAnsi="Aptos"/>
                <w:color w:val="1F2933"/>
                <w:sz w:val="16"/>
              </w:rPr>
              <w:t>FR-015</w:t>
            </w:r>
          </w:p>
        </w:tc>
      </w:tr>
      <w:tr>
        <w:trPr>
          <w:cantSplit/>
        </w:trPr>
        <w:tc>
          <w:tcPr>
            <w:tcW w:type="dxa" w:w="1152"/>
            <w:tcMar>
              <w:top w:w="70" w:type="dxa"/>
              <w:start w:w="90" w:type="dxa"/>
              <w:bottom w:w="70" w:type="dxa"/>
              <w:end w:w="90" w:type="dxa"/>
            </w:tcMar>
            <w:shd w:fill="F5F7FA"/>
          </w:tcPr>
          <w:p>
            <w:pPr>
              <w:spacing w:after="0" w:line="240" w:lineRule="auto"/>
            </w:pPr>
            <w:r>
              <w:rPr>
                <w:rFonts w:ascii="Aptos" w:hAnsi="Aptos"/>
                <w:color w:val="1F2933"/>
                <w:sz w:val="16"/>
              </w:rPr>
              <w:t>EP-14</w:t>
            </w:r>
          </w:p>
        </w:tc>
        <w:tc>
          <w:tcPr>
            <w:tcW w:type="dxa" w:w="5544"/>
            <w:tcMar>
              <w:top w:w="70" w:type="dxa"/>
              <w:start w:w="90" w:type="dxa"/>
              <w:bottom w:w="70" w:type="dxa"/>
              <w:end w:w="90" w:type="dxa"/>
            </w:tcMar>
            <w:shd w:fill="F5F7FA"/>
          </w:tcPr>
          <w:p>
            <w:pPr>
              <w:spacing w:after="0" w:line="240" w:lineRule="auto"/>
            </w:pPr>
            <w:r>
              <w:rPr>
                <w:rFonts w:ascii="Aptos" w:hAnsi="Aptos"/>
                <w:color w:val="1F2933"/>
                <w:sz w:val="16"/>
              </w:rPr>
              <w:t>Evidence uploads and correspondence drafting</w:t>
            </w:r>
          </w:p>
        </w:tc>
        <w:tc>
          <w:tcPr>
            <w:tcW w:type="dxa" w:w="1152"/>
            <w:tcMar>
              <w:top w:w="70" w:type="dxa"/>
              <w:start w:w="90" w:type="dxa"/>
              <w:bottom w:w="70" w:type="dxa"/>
              <w:end w:w="90" w:type="dxa"/>
            </w:tcMar>
            <w:shd w:fill="F5F7FA"/>
          </w:tcPr>
          <w:p>
            <w:pPr>
              <w:spacing w:after="0" w:line="240" w:lineRule="auto"/>
            </w:pPr>
            <w:r>
              <w:rPr>
                <w:rFonts w:ascii="Aptos" w:hAnsi="Aptos"/>
                <w:color w:val="1F2933"/>
                <w:sz w:val="16"/>
              </w:rPr>
              <w:t>P1</w:t>
            </w:r>
          </w:p>
        </w:tc>
        <w:tc>
          <w:tcPr>
            <w:tcW w:type="dxa" w:w="2592"/>
            <w:tcMar>
              <w:top w:w="70" w:type="dxa"/>
              <w:start w:w="90" w:type="dxa"/>
              <w:bottom w:w="70" w:type="dxa"/>
              <w:end w:w="90" w:type="dxa"/>
            </w:tcMar>
            <w:shd w:fill="F5F7FA"/>
          </w:tcPr>
          <w:p>
            <w:pPr>
              <w:spacing w:after="0" w:line="240" w:lineRule="auto"/>
            </w:pPr>
            <w:r>
              <w:rPr>
                <w:rFonts w:ascii="Aptos" w:hAnsi="Aptos"/>
                <w:color w:val="1F2933"/>
                <w:sz w:val="16"/>
              </w:rPr>
              <w:t>FR-057</w:t>
            </w:r>
          </w:p>
        </w:tc>
      </w:tr>
      <w:tr>
        <w:trPr>
          <w:cantSplit/>
        </w:trPr>
        <w:tc>
          <w:tcPr>
            <w:tcW w:type="dxa" w:w="1152"/>
            <w:tcMar>
              <w:top w:w="70" w:type="dxa"/>
              <w:start w:w="90" w:type="dxa"/>
              <w:bottom w:w="70" w:type="dxa"/>
              <w:end w:w="90" w:type="dxa"/>
            </w:tcMar>
          </w:tcPr>
          <w:p>
            <w:pPr>
              <w:spacing w:after="0" w:line="240" w:lineRule="auto"/>
            </w:pPr>
            <w:r>
              <w:rPr>
                <w:rFonts w:ascii="Aptos" w:hAnsi="Aptos"/>
                <w:color w:val="1F2933"/>
                <w:sz w:val="16"/>
              </w:rPr>
              <w:t>EP-15</w:t>
            </w:r>
          </w:p>
        </w:tc>
        <w:tc>
          <w:tcPr>
            <w:tcW w:type="dxa" w:w="5544"/>
            <w:tcMar>
              <w:top w:w="70" w:type="dxa"/>
              <w:start w:w="90" w:type="dxa"/>
              <w:bottom w:w="70" w:type="dxa"/>
              <w:end w:w="90" w:type="dxa"/>
            </w:tcMar>
          </w:tcPr>
          <w:p>
            <w:pPr>
              <w:spacing w:after="0" w:line="240" w:lineRule="auto"/>
            </w:pPr>
            <w:r>
              <w:rPr>
                <w:rFonts w:ascii="Aptos" w:hAnsi="Aptos"/>
                <w:color w:val="1F2933"/>
                <w:sz w:val="16"/>
              </w:rPr>
              <w:t>Additional state modules and professional review</w:t>
            </w:r>
          </w:p>
        </w:tc>
        <w:tc>
          <w:tcPr>
            <w:tcW w:type="dxa" w:w="1152"/>
            <w:tcMar>
              <w:top w:w="70" w:type="dxa"/>
              <w:start w:w="90" w:type="dxa"/>
              <w:bottom w:w="70" w:type="dxa"/>
              <w:end w:w="90" w:type="dxa"/>
            </w:tcMar>
          </w:tcPr>
          <w:p>
            <w:pPr>
              <w:spacing w:after="0" w:line="240" w:lineRule="auto"/>
            </w:pPr>
            <w:r>
              <w:rPr>
                <w:rFonts w:ascii="Aptos" w:hAnsi="Aptos"/>
                <w:color w:val="1F2933"/>
                <w:sz w:val="16"/>
              </w:rPr>
              <w:t>P1/P2</w:t>
            </w:r>
          </w:p>
        </w:tc>
        <w:tc>
          <w:tcPr>
            <w:tcW w:type="dxa" w:w="2592"/>
            <w:tcMar>
              <w:top w:w="70" w:type="dxa"/>
              <w:start w:w="90" w:type="dxa"/>
              <w:bottom w:w="70" w:type="dxa"/>
              <w:end w:w="90" w:type="dxa"/>
            </w:tcMar>
          </w:tcPr>
          <w:p>
            <w:pPr>
              <w:spacing w:after="0" w:line="240" w:lineRule="auto"/>
            </w:pPr>
            <w:r>
              <w:rPr>
                <w:rFonts w:ascii="Aptos" w:hAnsi="Aptos"/>
                <w:color w:val="1F2933"/>
                <w:sz w:val="16"/>
              </w:rPr>
              <w:t>Post-MVP</w:t>
            </w:r>
          </w:p>
        </w:tc>
      </w:tr>
    </w:tbl>
    <w:p>
      <w:pPr>
        <w:spacing w:after="20"/>
      </w:pPr>
    </w:p>
    <w:p>
      <w:pPr>
        <w:pStyle w:val="Heading1"/>
        <w:pageBreakBefore/>
      </w:pPr>
      <w:r>
        <w:rPr>
          <w:rFonts w:ascii="Aptos Display" w:hAnsi="Aptos Display"/>
          <w:b/>
          <w:color w:val="17324D"/>
          <w:sz w:val="36"/>
        </w:rPr>
        <w:t>B. Appendix B - Sample Finding Specification</w:t>
      </w:r>
    </w:p>
    <w:tbl>
      <w:tblPr>
        <w:tblW w:type="auto" w:w="0"/>
        <w:tblLook w:firstColumn="1" w:firstRow="1" w:lastColumn="0" w:lastRow="0" w:noHBand="0" w:noVBand="1" w:val="04A0"/>
      </w:tblPr>
      <w:tblGrid>
        <w:gridCol w:w="10166"/>
      </w:tblGrid>
      <w:tr>
        <w:tc>
          <w:tcPr>
            <w:tcW w:type="dxa" w:w="10166"/>
            <w:shd w:fill="F0F3F6"/>
            <w:tcMar>
              <w:top w:w="120" w:type="dxa"/>
              <w:start w:w="140" w:type="dxa"/>
              <w:bottom w:w="120" w:type="dxa"/>
              <w:end w:w="140" w:type="dxa"/>
            </w:tcMar>
          </w:tcPr>
          <w:p>
            <w:pPr>
              <w:spacing w:after="0"/>
            </w:pPr>
            <w:r>
              <w:rPr>
                <w:rFonts w:ascii="Liberation Mono" w:hAnsi="Liberation Mono"/>
                <w:color w:val="263238"/>
                <w:sz w:val="16"/>
              </w:rPr>
              <w:t>{</w:t>
            </w:r>
            <w:r>
              <w:br/>
            </w:r>
            <w:r>
              <w:rPr>
                <w:rFonts w:ascii="Liberation Mono" w:hAnsi="Liberation Mono"/>
                <w:color w:val="263238"/>
                <w:sz w:val="16"/>
              </w:rPr>
              <w:t xml:space="preserve">  "findingId": "fnd_019",</w:t>
            </w:r>
            <w:r>
              <w:br/>
            </w:r>
            <w:r>
              <w:rPr>
                <w:rFonts w:ascii="Liberation Mono" w:hAnsi="Liberation Mono"/>
                <w:color w:val="263238"/>
                <w:sz w:val="16"/>
              </w:rPr>
              <w:t xml:space="preserve">  "ruleId": "DATE_SEQUENCE_001",</w:t>
            </w:r>
            <w:r>
              <w:br/>
            </w:r>
            <w:r>
              <w:rPr>
                <w:rFonts w:ascii="Liberation Mono" w:hAnsi="Liberation Mono"/>
                <w:color w:val="263238"/>
                <w:sz w:val="16"/>
              </w:rPr>
              <w:t xml:space="preserve">  "ruleVersion": "1.0.0",</w:t>
            </w:r>
            <w:r>
              <w:br/>
            </w:r>
            <w:r>
              <w:rPr>
                <w:rFonts w:ascii="Liberation Mono" w:hAnsi="Liberation Mono"/>
                <w:color w:val="263238"/>
                <w:sz w:val="16"/>
              </w:rPr>
              <w:t xml:space="preserve">  "classification": "potential_error",</w:t>
            </w:r>
            <w:r>
              <w:br/>
            </w:r>
            <w:r>
              <w:rPr>
                <w:rFonts w:ascii="Liberation Mono" w:hAnsi="Liberation Mono"/>
                <w:color w:val="263238"/>
                <w:sz w:val="16"/>
              </w:rPr>
              <w:t xml:space="preserve">  "severity": "medium",</w:t>
            </w:r>
            <w:r>
              <w:br/>
            </w:r>
            <w:r>
              <w:rPr>
                <w:rFonts w:ascii="Liberation Mono" w:hAnsi="Liberation Mono"/>
                <w:color w:val="263238"/>
                <w:sz w:val="16"/>
              </w:rPr>
              <w:t xml:space="preserve">  "ruleConfidence": "high",</w:t>
            </w:r>
            <w:r>
              <w:br/>
            </w:r>
            <w:r>
              <w:rPr>
                <w:rFonts w:ascii="Liberation Mono" w:hAnsi="Liberation Mono"/>
                <w:color w:val="263238"/>
                <w:sz w:val="16"/>
              </w:rPr>
              <w:t xml:space="preserve">  "title": "Displayed payment history may precede the account open date",</w:t>
            </w:r>
            <w:r>
              <w:br/>
            </w:r>
            <w:r>
              <w:rPr>
                <w:rFonts w:ascii="Liberation Mono" w:hAnsi="Liberation Mono"/>
                <w:color w:val="263238"/>
                <w:sz w:val="16"/>
              </w:rPr>
              <w:t xml:space="preserve">  "evidence": [</w:t>
            </w:r>
            <w:r>
              <w:br/>
            </w:r>
            <w:r>
              <w:rPr>
                <w:rFonts w:ascii="Liberation Mono" w:hAnsi="Liberation Mono"/>
                <w:color w:val="263238"/>
                <w:sz w:val="16"/>
              </w:rPr>
              <w:t xml:space="preserve">    { "field": "openDate", "value": "2021-08", "page": 6 },</w:t>
            </w:r>
            <w:r>
              <w:br/>
            </w:r>
            <w:r>
              <w:rPr>
                <w:rFonts w:ascii="Liberation Mono" w:hAnsi="Liberation Mono"/>
                <w:color w:val="263238"/>
                <w:sz w:val="16"/>
              </w:rPr>
              <w:t xml:space="preserve">    { "field": "paymentHistory.2021-05", "value": "30 days late", "page": 6 }</w:t>
            </w:r>
            <w:r>
              <w:br/>
            </w:r>
            <w:r>
              <w:rPr>
                <w:rFonts w:ascii="Liberation Mono" w:hAnsi="Liberation Mono"/>
                <w:color w:val="263238"/>
                <w:sz w:val="16"/>
              </w:rPr>
              <w:t xml:space="preserve">  ],</w:t>
            </w:r>
            <w:r>
              <w:br/>
            </w:r>
            <w:r>
              <w:rPr>
                <w:rFonts w:ascii="Liberation Mono" w:hAnsi="Liberation Mono"/>
                <w:color w:val="263238"/>
                <w:sz w:val="16"/>
              </w:rPr>
              <w:t xml:space="preserve">  "alternativeExplanations": [</w:t>
            </w:r>
            <w:r>
              <w:br/>
            </w:r>
            <w:r>
              <w:rPr>
                <w:rFonts w:ascii="Liberation Mono" w:hAnsi="Liberation Mono"/>
                <w:color w:val="263238"/>
                <w:sz w:val="16"/>
              </w:rPr>
              <w:t xml:space="preserve">    "The displayed open date may represent a transfer or reissued account.",</w:t>
            </w:r>
            <w:r>
              <w:br/>
            </w:r>
            <w:r>
              <w:rPr>
                <w:rFonts w:ascii="Liberation Mono" w:hAnsi="Liberation Mono"/>
                <w:color w:val="263238"/>
                <w:sz w:val="16"/>
              </w:rPr>
              <w:t xml:space="preserve">    "The parser may have mapped the report label incorrectly."</w:t>
            </w:r>
            <w:r>
              <w:br/>
            </w:r>
            <w:r>
              <w:rPr>
                <w:rFonts w:ascii="Liberation Mono" w:hAnsi="Liberation Mono"/>
                <w:color w:val="263238"/>
                <w:sz w:val="16"/>
              </w:rPr>
              <w:t xml:space="preserve">  ],</w:t>
            </w:r>
            <w:r>
              <w:br/>
            </w:r>
            <w:r>
              <w:rPr>
                <w:rFonts w:ascii="Liberation Mono" w:hAnsi="Liberation Mono"/>
                <w:color w:val="263238"/>
                <w:sz w:val="16"/>
              </w:rPr>
              <w:t xml:space="preserve">  "documentsToCheck": ["Original account agreement", "Statements around May-August 2021"],</w:t>
            </w:r>
            <w:r>
              <w:br/>
            </w:r>
            <w:r>
              <w:rPr>
                <w:rFonts w:ascii="Liberation Mono" w:hAnsi="Liberation Mono"/>
                <w:color w:val="263238"/>
                <w:sz w:val="16"/>
              </w:rPr>
              <w:t xml:space="preserve">  "limitations": ["The report alone does not establish a legal violation."],</w:t>
            </w:r>
            <w:r>
              <w:br/>
            </w:r>
            <w:r>
              <w:rPr>
                <w:rFonts w:ascii="Liberation Mono" w:hAnsi="Liberation Mono"/>
                <w:color w:val="263238"/>
                <w:sz w:val="16"/>
              </w:rPr>
              <w:t xml:space="preserve">  "authorityIds": [],</w:t>
            </w:r>
            <w:r>
              <w:br/>
            </w:r>
            <w:r>
              <w:rPr>
                <w:rFonts w:ascii="Liberation Mono" w:hAnsi="Liberation Mono"/>
                <w:color w:val="263238"/>
                <w:sz w:val="16"/>
              </w:rPr>
              <w:t xml:space="preserve">  "educationalModuleIds": ["EDU_ACCOUNT_DATES_01"]</w:t>
            </w:r>
            <w:r>
              <w:br/>
            </w:r>
            <w:r>
              <w:rPr>
                <w:rFonts w:ascii="Liberation Mono" w:hAnsi="Liberation Mono"/>
                <w:color w:val="263238"/>
                <w:sz w:val="16"/>
              </w:rPr>
              <w:t>}</w:t>
            </w:r>
          </w:p>
        </w:tc>
        <w:trPr>
          <w:tblHeader/>
        </w:trPr>
      </w:tr>
    </w:tbl>
    <w:p>
      <w:pPr>
        <w:spacing w:after="0"/>
      </w:pPr>
    </w:p>
    <w:p>
      <w:pPr>
        <w:pStyle w:val="Heading1"/>
        <w:pageBreakBefore/>
      </w:pPr>
      <w:r>
        <w:rPr>
          <w:rFonts w:ascii="Aptos Display" w:hAnsi="Aptos Display"/>
          <w:b/>
          <w:color w:val="17324D"/>
          <w:sz w:val="36"/>
        </w:rPr>
        <w:t>C. Appendix C -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24D"/>
            <w:tcMar>
              <w:top w:w="80" w:type="dxa"/>
              <w:start w:w="90" w:type="dxa"/>
              <w:bottom w:w="80" w:type="dxa"/>
              <w:end w:w="90" w:type="dxa"/>
            </w:tcMar>
            <w:vAlign w:val="center"/>
          </w:tcPr>
          <w:p>
            <w:pPr>
              <w:spacing w:after="0"/>
            </w:pPr>
            <w:r>
              <w:rPr>
                <w:rFonts w:ascii="Aptos" w:hAnsi="Aptos"/>
                <w:b/>
                <w:color w:val="FFFFFF"/>
                <w:sz w:val="16"/>
              </w:rPr>
              <w:t>Term</w:t>
            </w:r>
          </w:p>
        </w:tc>
        <w:tc>
          <w:tcPr>
            <w:tcW w:type="dxa" w:w="7992"/>
            <w:shd w:fill="17324D"/>
            <w:tcMar>
              <w:top w:w="80" w:type="dxa"/>
              <w:start w:w="90" w:type="dxa"/>
              <w:bottom w:w="80" w:type="dxa"/>
              <w:end w:w="90" w:type="dxa"/>
            </w:tcMar>
            <w:vAlign w:val="center"/>
          </w:tcPr>
          <w:p>
            <w:pPr>
              <w:spacing w:after="0"/>
            </w:pPr>
            <w:r>
              <w:rPr>
                <w:rFonts w:ascii="Aptos" w:hAnsi="Aptos"/>
                <w:b/>
                <w:color w:val="FFFFFF"/>
                <w:sz w:val="16"/>
              </w:rPr>
              <w:t>Definition</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Consumer reporting agency (CRA)</w:t>
            </w:r>
          </w:p>
        </w:tc>
        <w:tc>
          <w:tcPr>
            <w:tcW w:type="dxa" w:w="7992"/>
            <w:tcMar>
              <w:top w:w="70" w:type="dxa"/>
              <w:start w:w="90" w:type="dxa"/>
              <w:bottom w:w="70" w:type="dxa"/>
              <w:end w:w="90" w:type="dxa"/>
            </w:tcMar>
          </w:tcPr>
          <w:p>
            <w:pPr>
              <w:spacing w:after="0" w:line="240" w:lineRule="auto"/>
            </w:pPr>
            <w:r>
              <w:rPr>
                <w:rFonts w:ascii="Aptos" w:hAnsi="Aptos"/>
                <w:color w:val="1F2933"/>
                <w:sz w:val="16"/>
              </w:rPr>
              <w:t>An organization that assembles or evaluates consumer information for consumer reports under applicable law; product counsel must assess whether any platform mode implicates this definition.</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Furnisher</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An entity that provides information about consumers to a consumer reporting agency.</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Tradeline</w:t>
            </w:r>
          </w:p>
        </w:tc>
        <w:tc>
          <w:tcPr>
            <w:tcW w:type="dxa" w:w="7992"/>
            <w:tcMar>
              <w:top w:w="70" w:type="dxa"/>
              <w:start w:w="90" w:type="dxa"/>
              <w:bottom w:w="70" w:type="dxa"/>
              <w:end w:w="90" w:type="dxa"/>
            </w:tcMar>
          </w:tcPr>
          <w:p>
            <w:pPr>
              <w:spacing w:after="0" w:line="240" w:lineRule="auto"/>
            </w:pPr>
            <w:r>
              <w:rPr>
                <w:rFonts w:ascii="Aptos" w:hAnsi="Aptos"/>
                <w:color w:val="1F2933"/>
                <w:sz w:val="16"/>
              </w:rPr>
              <w:t>A credit account record displayed on a consumer report.</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Canonical schema</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The platform’s provider-independent structured representation of report information.</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Provenance</w:t>
            </w:r>
          </w:p>
        </w:tc>
        <w:tc>
          <w:tcPr>
            <w:tcW w:type="dxa" w:w="7992"/>
            <w:tcMar>
              <w:top w:w="70" w:type="dxa"/>
              <w:start w:w="90" w:type="dxa"/>
              <w:bottom w:w="70" w:type="dxa"/>
              <w:end w:w="90" w:type="dxa"/>
            </w:tcMar>
          </w:tcPr>
          <w:p>
            <w:pPr>
              <w:spacing w:after="0" w:line="240" w:lineRule="auto"/>
            </w:pPr>
            <w:r>
              <w:rPr>
                <w:rFonts w:ascii="Aptos" w:hAnsi="Aptos"/>
                <w:color w:val="1F2933"/>
                <w:sz w:val="16"/>
              </w:rPr>
              <w:t>Metadata linking a normalized value or finding to the exact source document location or user confirmation.</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Ruleset</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An immutable versioned collection of approved deterministic analysis rules.</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Finding</w:t>
            </w:r>
          </w:p>
        </w:tc>
        <w:tc>
          <w:tcPr>
            <w:tcW w:type="dxa" w:w="7992"/>
            <w:tcMar>
              <w:top w:w="70" w:type="dxa"/>
              <w:start w:w="90" w:type="dxa"/>
              <w:bottom w:w="70" w:type="dxa"/>
              <w:end w:w="90" w:type="dxa"/>
            </w:tcMar>
          </w:tcPr>
          <w:p>
            <w:pPr>
              <w:spacing w:after="0" w:line="240" w:lineRule="auto"/>
            </w:pPr>
            <w:r>
              <w:rPr>
                <w:rFonts w:ascii="Aptos" w:hAnsi="Aptos"/>
                <w:color w:val="1F2933"/>
                <w:sz w:val="16"/>
              </w:rPr>
              <w:t>A structured rule output containing evidence, classification, limitations, and action guidance.</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Metro 2</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The credit reporting industry’s standardized electronic furnishing format maintained by CDIA.</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CRRG</w:t>
            </w:r>
          </w:p>
        </w:tc>
        <w:tc>
          <w:tcPr>
            <w:tcW w:type="dxa" w:w="7992"/>
            <w:tcMar>
              <w:top w:w="70" w:type="dxa"/>
              <w:start w:w="90" w:type="dxa"/>
              <w:bottom w:w="70" w:type="dxa"/>
              <w:end w:w="90" w:type="dxa"/>
            </w:tcMar>
          </w:tcPr>
          <w:p>
            <w:pPr>
              <w:spacing w:after="0" w:line="240" w:lineRule="auto"/>
            </w:pPr>
            <w:r>
              <w:rPr>
                <w:rFonts w:ascii="Aptos" w:hAnsi="Aptos"/>
                <w:color w:val="1F2933"/>
                <w:sz w:val="16"/>
              </w:rPr>
              <w:t>Credit Reporting Resource Guide; access and use are governed by CDIA policy and applicable license.</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RAG</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Retrieval-augmented generation; here, retrieval of approved educational/legal content to help explain already-determined findings.</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RLS</w:t>
            </w:r>
          </w:p>
        </w:tc>
        <w:tc>
          <w:tcPr>
            <w:tcW w:type="dxa" w:w="7992"/>
            <w:tcMar>
              <w:top w:w="70" w:type="dxa"/>
              <w:start w:w="90" w:type="dxa"/>
              <w:bottom w:w="70" w:type="dxa"/>
              <w:end w:w="90" w:type="dxa"/>
            </w:tcMar>
          </w:tcPr>
          <w:p>
            <w:pPr>
              <w:spacing w:after="0" w:line="240" w:lineRule="auto"/>
            </w:pPr>
            <w:r>
              <w:rPr>
                <w:rFonts w:ascii="Aptos" w:hAnsi="Aptos"/>
                <w:color w:val="1F2933"/>
                <w:sz w:val="16"/>
              </w:rPr>
              <w:t>PostgreSQL row-level security used to enforce tenant/user data access policies.</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Break-glass access</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Exceptional, approved, time-limited administrative access with heightened logging and review.</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Positive predictive value</w:t>
            </w:r>
          </w:p>
        </w:tc>
        <w:tc>
          <w:tcPr>
            <w:tcW w:type="dxa" w:w="7992"/>
            <w:tcMar>
              <w:top w:w="70" w:type="dxa"/>
              <w:start w:w="90" w:type="dxa"/>
              <w:bottom w:w="70" w:type="dxa"/>
              <w:end w:w="90" w:type="dxa"/>
            </w:tcMar>
          </w:tcPr>
          <w:p>
            <w:pPr>
              <w:spacing w:after="0" w:line="240" w:lineRule="auto"/>
            </w:pPr>
            <w:r>
              <w:rPr>
                <w:rFonts w:ascii="Aptos" w:hAnsi="Aptos"/>
                <w:color w:val="1F2933"/>
                <w:sz w:val="16"/>
              </w:rPr>
              <w:t>The proportion of published findings judged correct/relevant by the approved reference standard.</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Prompt injection</w:t>
            </w:r>
          </w:p>
        </w:tc>
        <w:tc>
          <w:tcPr>
            <w:tcW w:type="dxa" w:w="7992"/>
            <w:tcMar>
              <w:top w:w="70" w:type="dxa"/>
              <w:start w:w="90" w:type="dxa"/>
              <w:bottom w:w="70" w:type="dxa"/>
              <w:end w:w="90" w:type="dxa"/>
            </w:tcMar>
            <w:shd w:fill="F5F7FA"/>
          </w:tcPr>
          <w:p>
            <w:pPr>
              <w:spacing w:after="0" w:line="240" w:lineRule="auto"/>
            </w:pPr>
            <w:r>
              <w:rPr>
                <w:rFonts w:ascii="Aptos" w:hAnsi="Aptos"/>
                <w:color w:val="1F2933"/>
                <w:sz w:val="16"/>
              </w:rPr>
              <w:t>Untrusted content designed to manipulate an AI system’s instructions or behavior.</w:t>
            </w:r>
          </w:p>
        </w:tc>
      </w:tr>
    </w:tbl>
    <w:p>
      <w:pPr>
        <w:spacing w:after="20"/>
      </w:pPr>
    </w:p>
    <w:p>
      <w:pPr>
        <w:pStyle w:val="Heading1"/>
        <w:pageBreakBefore/>
      </w:pPr>
      <w:r>
        <w:rPr>
          <w:rFonts w:ascii="Aptos Display" w:hAnsi="Aptos Display"/>
          <w:b/>
          <w:color w:val="17324D"/>
          <w:sz w:val="36"/>
        </w:rPr>
        <w:t>D. Appendix D - Authoritative References</w:t>
      </w:r>
    </w:p>
    <w:p>
      <w:pPr>
        <w:keepNext w:val="0"/>
        <w:spacing w:after="80" w:line="259" w:lineRule="auto"/>
      </w:pPr>
      <w:r>
        <w:rPr>
          <w:rFonts w:ascii="Aptos" w:hAnsi="Aptos"/>
        </w:rPr>
        <w:t>References were reviewed for this draft on July 26, 2026. Legal and technical sources must be revalidated before implementation and launch. Links are provided for product planning and do not replace legal advice or licensed standards.</w:t>
      </w:r>
    </w:p>
    <w:p>
      <w:pPr>
        <w:spacing w:after="80"/>
      </w:pPr>
      <w:r>
        <w:rPr>
          <w:rFonts w:ascii="Aptos" w:hAnsi="Aptos"/>
          <w:color w:val="1F2933"/>
          <w:sz w:val="16"/>
        </w:rPr>
        <w:t xml:space="preserve">[1] Consumer Financial Protection Bureau, “What are common credit report errors that I should look for on my credit report?”. </w:t>
      </w:r>
      <w:hyperlink r:id="rId13">
        <w:r>
          <w:rPr>
            <w:color w:val="245D8C"/>
            <w:u w:val="single"/>
          </w:rPr>
          <w:t>https://www.consumerfinance.gov/ask-cfpb/what-are-common-credit-report-errors-that-i-should-look-for-on-my-credit-report-en-313/</w:t>
        </w:r>
      </w:hyperlink>
    </w:p>
    <w:p>
      <w:pPr>
        <w:spacing w:after="80"/>
      </w:pPr>
      <w:r>
        <w:rPr>
          <w:rFonts w:ascii="Aptos" w:hAnsi="Aptos"/>
          <w:color w:val="1F2933"/>
          <w:sz w:val="16"/>
        </w:rPr>
        <w:t xml:space="preserve">[2] Consumer Financial Protection Bureau, “How do I dispute an error on my credit report?”. </w:t>
      </w:r>
      <w:hyperlink r:id="rId14">
        <w:r>
          <w:rPr>
            <w:color w:val="245D8C"/>
            <w:u w:val="single"/>
          </w:rPr>
          <w:t>https://www.consumerfinance.gov/ask-cfpb/how-do-i-dispute-an-error-on-my-credit-report-en-314/</w:t>
        </w:r>
      </w:hyperlink>
    </w:p>
    <w:p>
      <w:pPr>
        <w:spacing w:after="80"/>
      </w:pPr>
      <w:r>
        <w:rPr>
          <w:rFonts w:ascii="Aptos" w:hAnsi="Aptos"/>
          <w:color w:val="1F2933"/>
          <w:sz w:val="16"/>
        </w:rPr>
        <w:t xml:space="preserve">[3] 15 U.S.C. § 1681i, Procedure in case of disputed accuracy. </w:t>
      </w:r>
      <w:hyperlink r:id="rId15">
        <w:r>
          <w:rPr>
            <w:color w:val="245D8C"/>
            <w:u w:val="single"/>
          </w:rPr>
          <w:t>https://www.law.cornell.edu/uscode/text/15/1681i</w:t>
        </w:r>
      </w:hyperlink>
    </w:p>
    <w:p>
      <w:pPr>
        <w:spacing w:after="80"/>
      </w:pPr>
      <w:r>
        <w:rPr>
          <w:rFonts w:ascii="Aptos" w:hAnsi="Aptos"/>
          <w:color w:val="1F2933"/>
          <w:sz w:val="16"/>
        </w:rPr>
        <w:t xml:space="preserve">[4] 15 U.S.C. § 1681s-2, Responsibilities of furnishers. </w:t>
      </w:r>
      <w:hyperlink r:id="rId16">
        <w:r>
          <w:rPr>
            <w:color w:val="245D8C"/>
            <w:u w:val="single"/>
          </w:rPr>
          <w:t>https://www.law.cornell.edu/uscode/text/15/1681s-2</w:t>
        </w:r>
      </w:hyperlink>
    </w:p>
    <w:p>
      <w:pPr>
        <w:spacing w:after="80"/>
      </w:pPr>
      <w:r>
        <w:rPr>
          <w:rFonts w:ascii="Aptos" w:hAnsi="Aptos"/>
          <w:color w:val="1F2933"/>
          <w:sz w:val="16"/>
        </w:rPr>
        <w:t xml:space="preserve">[5] 15 U.S.C. § 1681c, Requirements relating to information contained in consumer reports. </w:t>
      </w:r>
      <w:hyperlink r:id="rId17">
        <w:r>
          <w:rPr>
            <w:color w:val="245D8C"/>
            <w:u w:val="single"/>
          </w:rPr>
          <w:t>https://www.law.cornell.edu/uscode/text/15/1681c</w:t>
        </w:r>
      </w:hyperlink>
    </w:p>
    <w:p>
      <w:pPr>
        <w:spacing w:after="80"/>
      </w:pPr>
      <w:r>
        <w:rPr>
          <w:rFonts w:ascii="Aptos" w:hAnsi="Aptos"/>
          <w:color w:val="1F2933"/>
          <w:sz w:val="16"/>
        </w:rPr>
        <w:t xml:space="preserve">[6] 12 C.F.R. Part 1022, Regulation V; Subpart E - Duties of Furnishers. </w:t>
      </w:r>
      <w:hyperlink r:id="rId18">
        <w:r>
          <w:rPr>
            <w:color w:val="245D8C"/>
            <w:u w:val="single"/>
          </w:rPr>
          <w:t>https://www.ecfr.gov/current/title-12/chapter-X/part-1022/subpart-E</w:t>
        </w:r>
      </w:hyperlink>
    </w:p>
    <w:p>
      <w:pPr>
        <w:spacing w:after="80"/>
      </w:pPr>
      <w:r>
        <w:rPr>
          <w:rFonts w:ascii="Aptos" w:hAnsi="Aptos"/>
          <w:color w:val="1F2933"/>
          <w:sz w:val="16"/>
        </w:rPr>
        <w:t xml:space="preserve">[7] Federal Trade Commission, Credit Repair Organizations Act overview. </w:t>
      </w:r>
      <w:hyperlink r:id="rId19">
        <w:r>
          <w:rPr>
            <w:color w:val="245D8C"/>
            <w:u w:val="single"/>
          </w:rPr>
          <w:t>https://www.ftc.gov/legal-library/browse/statutes/credit-repair-organizations-act</w:t>
        </w:r>
      </w:hyperlink>
    </w:p>
    <w:p>
      <w:pPr>
        <w:spacing w:after="80"/>
      </w:pPr>
      <w:r>
        <w:rPr>
          <w:rFonts w:ascii="Aptos" w:hAnsi="Aptos"/>
          <w:color w:val="1F2933"/>
          <w:sz w:val="16"/>
        </w:rPr>
        <w:t xml:space="preserve">[8] Consumer Data Industry Association, Metro 2 Format for Credit Reporting. </w:t>
      </w:r>
      <w:hyperlink r:id="rId20">
        <w:r>
          <w:rPr>
            <w:color w:val="245D8C"/>
            <w:u w:val="single"/>
          </w:rPr>
          <w:t>https://www.cdiaonline.org/resources/furnishers-of-data-overview/metro2-information/</w:t>
        </w:r>
      </w:hyperlink>
    </w:p>
    <w:p>
      <w:pPr>
        <w:spacing w:after="80"/>
      </w:pPr>
      <w:r>
        <w:rPr>
          <w:rFonts w:ascii="Aptos" w:hAnsi="Aptos"/>
          <w:color w:val="1F2933"/>
          <w:sz w:val="16"/>
        </w:rPr>
        <w:t xml:space="preserve">[9] Federal Trade Commission, Protecting Personal Information: A Guide for Business. </w:t>
      </w:r>
      <w:hyperlink r:id="rId21">
        <w:r>
          <w:rPr>
            <w:color w:val="245D8C"/>
            <w:u w:val="single"/>
          </w:rPr>
          <w:t>https://www.ftc.gov/business-guidance/resources/protecting-personal-information-guide-business</w:t>
        </w:r>
      </w:hyperlink>
    </w:p>
    <w:p>
      <w:pPr>
        <w:spacing w:after="80"/>
      </w:pPr>
      <w:r>
        <w:rPr>
          <w:rFonts w:ascii="Aptos" w:hAnsi="Aptos"/>
          <w:color w:val="1F2933"/>
          <w:sz w:val="16"/>
        </w:rPr>
        <w:t xml:space="preserve">[10] Federal Trade Commission, Safeguards Rule: What Your Business Needs to Know. </w:t>
      </w:r>
      <w:hyperlink r:id="rId22">
        <w:r>
          <w:rPr>
            <w:color w:val="245D8C"/>
            <w:u w:val="single"/>
          </w:rPr>
          <w:t>https://www.ftc.gov/business-guidance/resources/ftc-safeguards-rule-what-your-business-needs-know</w:t>
        </w:r>
      </w:hyperlink>
    </w:p>
    <w:p>
      <w:pPr>
        <w:spacing w:after="80"/>
      </w:pPr>
      <w:r>
        <w:rPr>
          <w:rFonts w:ascii="Aptos" w:hAnsi="Aptos"/>
          <w:color w:val="1F2933"/>
          <w:sz w:val="16"/>
        </w:rPr>
        <w:t xml:space="preserve">[11] NIST, AI Risk Management Framework. </w:t>
      </w:r>
      <w:hyperlink r:id="rId23">
        <w:r>
          <w:rPr>
            <w:color w:val="245D8C"/>
            <w:u w:val="single"/>
          </w:rPr>
          <w:t>https://www.nist.gov/itl/ai-risk-management-framework</w:t>
        </w:r>
      </w:hyperlink>
    </w:p>
    <w:p>
      <w:pPr>
        <w:spacing w:after="80"/>
      </w:pPr>
      <w:r>
        <w:rPr>
          <w:rFonts w:ascii="Aptos" w:hAnsi="Aptos"/>
          <w:color w:val="1F2933"/>
          <w:sz w:val="16"/>
        </w:rPr>
        <w:t xml:space="preserve">[12] NIST, Generative Artificial Intelligence Profile. </w:t>
      </w:r>
      <w:hyperlink r:id="rId24">
        <w:r>
          <w:rPr>
            <w:color w:val="245D8C"/>
            <w:u w:val="single"/>
          </w:rPr>
          <w:t>https://www.nist.gov/publications/artificial-intelligence-risk-management-framework-generative-artificial-intelligence</w:t>
        </w:r>
      </w:hyperlink>
    </w:p>
    <w:p>
      <w:pPr>
        <w:spacing w:after="80"/>
      </w:pPr>
      <w:r>
        <w:rPr>
          <w:rFonts w:ascii="Aptos" w:hAnsi="Aptos"/>
          <w:color w:val="1F2933"/>
          <w:sz w:val="16"/>
        </w:rPr>
        <w:t xml:space="preserve">[13] InsForge Documentation, Platform Overview. </w:t>
      </w:r>
      <w:hyperlink r:id="rId25">
        <w:r>
          <w:rPr>
            <w:color w:val="245D8C"/>
            <w:u w:val="single"/>
          </w:rPr>
          <w:t>https://docs.insforge.dev/introduction</w:t>
        </w:r>
      </w:hyperlink>
    </w:p>
    <w:p>
      <w:pPr>
        <w:spacing w:after="80"/>
      </w:pPr>
      <w:r>
        <w:rPr>
          <w:rFonts w:ascii="Aptos" w:hAnsi="Aptos"/>
          <w:color w:val="1F2933"/>
          <w:sz w:val="16"/>
        </w:rPr>
        <w:t xml:space="preserve">[14] InsForge Documentation, Database and pgvector. </w:t>
      </w:r>
      <w:hyperlink r:id="rId26">
        <w:r>
          <w:rPr>
            <w:color w:val="245D8C"/>
            <w:u w:val="single"/>
          </w:rPr>
          <w:t>https://docs.insforge.dev/core-concepts/database/overview</w:t>
        </w:r>
      </w:hyperlink>
    </w:p>
    <w:p>
      <w:pPr>
        <w:spacing w:after="80"/>
      </w:pPr>
      <w:r>
        <w:rPr>
          <w:rFonts w:ascii="Aptos" w:hAnsi="Aptos"/>
          <w:color w:val="1F2933"/>
          <w:sz w:val="16"/>
        </w:rPr>
        <w:t xml:space="preserve">[15] InsForge Documentation, Storage. </w:t>
      </w:r>
      <w:hyperlink r:id="rId27">
        <w:r>
          <w:rPr>
            <w:color w:val="245D8C"/>
            <w:u w:val="single"/>
          </w:rPr>
          <w:t>https://docs.insforge.dev/core-concepts/storage/overview</w:t>
        </w:r>
      </w:hyperlink>
    </w:p>
    <w:p>
      <w:pPr>
        <w:spacing w:after="80"/>
      </w:pPr>
      <w:r>
        <w:rPr>
          <w:rFonts w:ascii="Aptos" w:hAnsi="Aptos"/>
          <w:color w:val="1F2933"/>
          <w:sz w:val="16"/>
        </w:rPr>
        <w:t xml:space="preserve">[16] InsForge Documentation, Edge Functions. </w:t>
      </w:r>
      <w:hyperlink r:id="rId28">
        <w:r>
          <w:rPr>
            <w:color w:val="245D8C"/>
            <w:u w:val="single"/>
          </w:rPr>
          <w:t>https://docs.insforge.dev/core-concepts/functions/overview</w:t>
        </w:r>
      </w:hyperlink>
    </w:p>
    <w:p>
      <w:pPr>
        <w:spacing w:after="80"/>
      </w:pPr>
      <w:r>
        <w:rPr>
          <w:rFonts w:ascii="Aptos" w:hAnsi="Aptos"/>
          <w:color w:val="1F2933"/>
          <w:sz w:val="16"/>
        </w:rPr>
        <w:t xml:space="preserve">[17] InsForge Documentation, Sites / Compute boundary. </w:t>
      </w:r>
      <w:hyperlink r:id="rId29">
        <w:r>
          <w:rPr>
            <w:color w:val="245D8C"/>
            <w:u w:val="single"/>
          </w:rPr>
          <w:t>https://docs.insforge.dev/core-concepts/sites/overview</w:t>
        </w:r>
      </w:hyperlink>
    </w:p>
    <w:p>
      <w:pPr>
        <w:spacing w:after="80"/>
      </w:pPr>
      <w:r>
        <w:rPr>
          <w:rFonts w:ascii="Aptos" w:hAnsi="Aptos"/>
          <w:color w:val="1F2933"/>
          <w:sz w:val="16"/>
        </w:rPr>
        <w:t xml:space="preserve">[18] Bun Documentation, Package Manager and Workspaces. </w:t>
      </w:r>
      <w:hyperlink r:id="rId30">
        <w:r>
          <w:rPr>
            <w:color w:val="245D8C"/>
            <w:u w:val="single"/>
          </w:rPr>
          <w:t>https://bun.sh/docs/pm/workspaces</w:t>
        </w:r>
      </w:hyperlink>
    </w:p>
    <w:p>
      <w:pPr>
        <w:spacing w:after="80"/>
      </w:pPr>
      <w:r>
        <w:rPr>
          <w:rFonts w:ascii="Aptos" w:hAnsi="Aptos"/>
          <w:color w:val="1F2933"/>
          <w:sz w:val="16"/>
        </w:rPr>
        <w:t xml:space="preserve">[19] Bun Documentation, Node.js Compatibility. </w:t>
      </w:r>
      <w:hyperlink r:id="rId31">
        <w:r>
          <w:rPr>
            <w:color w:val="245D8C"/>
            <w:u w:val="single"/>
          </w:rPr>
          <w:t>https://bun.sh/docs/runtime/nodejs-compat</w:t>
        </w:r>
      </w:hyperlink>
    </w:p>
    <w:p>
      <w:pPr>
        <w:spacing w:after="80"/>
      </w:pPr>
      <w:r>
        <w:rPr>
          <w:rFonts w:ascii="Aptos" w:hAnsi="Aptos"/>
          <w:color w:val="1F2933"/>
          <w:sz w:val="16"/>
        </w:rPr>
        <w:t xml:space="preserve">[20] Node.js, Release Policy and LTS Guidance. </w:t>
      </w:r>
      <w:hyperlink r:id="rId32">
        <w:r>
          <w:rPr>
            <w:color w:val="245D8C"/>
            <w:u w:val="single"/>
          </w:rPr>
          <w:t>https://nodejs.org/en/about/previous-releases</w:t>
        </w:r>
      </w:hyperlink>
    </w:p>
    <w:p>
      <w:pPr>
        <w:pStyle w:val="Heading1"/>
        <w:pageBreakBefore/>
      </w:pPr>
      <w:r>
        <w:rPr>
          <w:rFonts w:ascii="Aptos Display" w:hAnsi="Aptos Display"/>
          <w:b/>
          <w:color w:val="17324D"/>
          <w:sz w:val="36"/>
        </w:rPr>
        <w:t>E. Appendix E - Compliance and Control Traceability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7324D"/>
            <w:tcMar>
              <w:top w:w="80" w:type="dxa"/>
              <w:start w:w="90" w:type="dxa"/>
              <w:bottom w:w="80" w:type="dxa"/>
              <w:end w:w="90" w:type="dxa"/>
            </w:tcMar>
            <w:vAlign w:val="center"/>
          </w:tcPr>
          <w:p>
            <w:pPr>
              <w:spacing w:after="0"/>
            </w:pPr>
            <w:r>
              <w:rPr>
                <w:rFonts w:ascii="Aptos" w:hAnsi="Aptos"/>
                <w:b/>
                <w:color w:val="FFFFFF"/>
                <w:sz w:val="16"/>
              </w:rPr>
              <w:t>Control objective</w:t>
            </w:r>
          </w:p>
        </w:tc>
        <w:tc>
          <w:tcPr>
            <w:tcW w:type="dxa" w:w="3816"/>
            <w:shd w:fill="17324D"/>
            <w:tcMar>
              <w:top w:w="80" w:type="dxa"/>
              <w:start w:w="90" w:type="dxa"/>
              <w:bottom w:w="80" w:type="dxa"/>
              <w:end w:w="90" w:type="dxa"/>
            </w:tcMar>
            <w:vAlign w:val="center"/>
          </w:tcPr>
          <w:p>
            <w:pPr>
              <w:spacing w:after="0"/>
            </w:pPr>
            <w:r>
              <w:rPr>
                <w:rFonts w:ascii="Aptos" w:hAnsi="Aptos"/>
                <w:b/>
                <w:color w:val="FFFFFF"/>
                <w:sz w:val="16"/>
              </w:rPr>
              <w:t>PRD trace</w:t>
            </w:r>
          </w:p>
        </w:tc>
        <w:tc>
          <w:tcPr>
            <w:tcW w:type="dxa" w:w="4176"/>
            <w:shd w:fill="17324D"/>
            <w:tcMar>
              <w:top w:w="80" w:type="dxa"/>
              <w:start w:w="90" w:type="dxa"/>
              <w:bottom w:w="80" w:type="dxa"/>
              <w:end w:w="90" w:type="dxa"/>
            </w:tcMar>
            <w:vAlign w:val="center"/>
          </w:tcPr>
          <w:p>
            <w:pPr>
              <w:spacing w:after="0"/>
            </w:pPr>
            <w:r>
              <w:rPr>
                <w:rFonts w:ascii="Aptos" w:hAnsi="Aptos"/>
                <w:b/>
                <w:color w:val="FFFFFF"/>
                <w:sz w:val="16"/>
              </w:rPr>
              <w:t>Verification</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Evidence traceability</w:t>
            </w:r>
          </w:p>
        </w:tc>
        <w:tc>
          <w:tcPr>
            <w:tcW w:type="dxa" w:w="3816"/>
            <w:tcMar>
              <w:top w:w="70" w:type="dxa"/>
              <w:start w:w="90" w:type="dxa"/>
              <w:bottom w:w="70" w:type="dxa"/>
              <w:end w:w="90" w:type="dxa"/>
            </w:tcMar>
          </w:tcPr>
          <w:p>
            <w:pPr>
              <w:spacing w:after="0" w:line="240" w:lineRule="auto"/>
            </w:pPr>
            <w:r>
              <w:rPr>
                <w:rFonts w:ascii="Aptos" w:hAnsi="Aptos"/>
                <w:color w:val="1F2933"/>
                <w:sz w:val="16"/>
              </w:rPr>
              <w:t>FR-021, FR-042, FR-044; Sections 8-11</w:t>
            </w:r>
          </w:p>
        </w:tc>
        <w:tc>
          <w:tcPr>
            <w:tcW w:type="dxa" w:w="4176"/>
            <w:tcMar>
              <w:top w:w="70" w:type="dxa"/>
              <w:start w:w="90" w:type="dxa"/>
              <w:bottom w:w="70" w:type="dxa"/>
              <w:end w:w="90" w:type="dxa"/>
            </w:tcMar>
          </w:tcPr>
          <w:p>
            <w:pPr>
              <w:spacing w:after="0" w:line="240" w:lineRule="auto"/>
            </w:pPr>
            <w:r>
              <w:rPr>
                <w:rFonts w:ascii="Aptos" w:hAnsi="Aptos"/>
                <w:color w:val="1F2933"/>
                <w:sz w:val="16"/>
              </w:rPr>
              <w:t>No finding without source/user-fact link; output validation</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No unsupported legal verdict</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FR-041, FR-046; Sections 9, 10, 12</w:t>
            </w:r>
          </w:p>
        </w:tc>
        <w:tc>
          <w:tcPr>
            <w:tcW w:type="dxa" w:w="4176"/>
            <w:tcMar>
              <w:top w:w="70" w:type="dxa"/>
              <w:start w:w="90" w:type="dxa"/>
              <w:bottom w:w="70" w:type="dxa"/>
              <w:end w:w="90" w:type="dxa"/>
            </w:tcMar>
            <w:shd w:fill="F5F7FA"/>
          </w:tcPr>
          <w:p>
            <w:pPr>
              <w:spacing w:after="0" w:line="240" w:lineRule="auto"/>
            </w:pPr>
            <w:r>
              <w:rPr>
                <w:rFonts w:ascii="Aptos" w:hAnsi="Aptos"/>
                <w:color w:val="1F2933"/>
                <w:sz w:val="16"/>
              </w:rPr>
              <w:t>Taxonomy schema, prohibited-language blocker, counsel gate</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Metro 2 limitation</w:t>
            </w:r>
          </w:p>
        </w:tc>
        <w:tc>
          <w:tcPr>
            <w:tcW w:type="dxa" w:w="3816"/>
            <w:tcMar>
              <w:top w:w="70" w:type="dxa"/>
              <w:start w:w="90" w:type="dxa"/>
              <w:bottom w:w="70" w:type="dxa"/>
              <w:end w:w="90" w:type="dxa"/>
            </w:tcMar>
          </w:tcPr>
          <w:p>
            <w:pPr>
              <w:spacing w:after="0" w:line="240" w:lineRule="auto"/>
            </w:pPr>
            <w:r>
              <w:rPr>
                <w:rFonts w:ascii="Aptos" w:hAnsi="Aptos"/>
                <w:color w:val="1F2933"/>
                <w:sz w:val="16"/>
              </w:rPr>
              <w:t>Section 9.6, 12.8, 19.6</w:t>
            </w:r>
          </w:p>
        </w:tc>
        <w:tc>
          <w:tcPr>
            <w:tcW w:type="dxa" w:w="4176"/>
            <w:tcMar>
              <w:top w:w="70" w:type="dxa"/>
              <w:start w:w="90" w:type="dxa"/>
              <w:bottom w:w="70" w:type="dxa"/>
              <w:end w:w="90" w:type="dxa"/>
            </w:tcMar>
          </w:tcPr>
          <w:p>
            <w:pPr>
              <w:spacing w:after="0" w:line="240" w:lineRule="auto"/>
            </w:pPr>
            <w:r>
              <w:rPr>
                <w:rFonts w:ascii="Aptos" w:hAnsi="Aptos"/>
                <w:color w:val="1F2933"/>
                <w:sz w:val="16"/>
              </w:rPr>
              <w:t>No field-level conclusion; access/license approval required</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CROA/state service model</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Sections 12.3-12.4, release gates</w:t>
            </w:r>
          </w:p>
        </w:tc>
        <w:tc>
          <w:tcPr>
            <w:tcW w:type="dxa" w:w="4176"/>
            <w:tcMar>
              <w:top w:w="70" w:type="dxa"/>
              <w:start w:w="90" w:type="dxa"/>
              <w:bottom w:w="70" w:type="dxa"/>
              <w:end w:w="90" w:type="dxa"/>
            </w:tcMar>
            <w:shd w:fill="F5F7FA"/>
          </w:tcPr>
          <w:p>
            <w:pPr>
              <w:spacing w:after="0" w:line="240" w:lineRule="auto"/>
            </w:pPr>
            <w:r>
              <w:rPr>
                <w:rFonts w:ascii="Aptos" w:hAnsi="Aptos"/>
                <w:color w:val="1F2933"/>
                <w:sz w:val="16"/>
              </w:rPr>
              <w:t>Pricing, contracts, marketing, states require counsel approval</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Tenant isolation</w:t>
            </w:r>
          </w:p>
        </w:tc>
        <w:tc>
          <w:tcPr>
            <w:tcW w:type="dxa" w:w="3816"/>
            <w:tcMar>
              <w:top w:w="70" w:type="dxa"/>
              <w:start w:w="90" w:type="dxa"/>
              <w:bottom w:w="70" w:type="dxa"/>
              <w:end w:w="90" w:type="dxa"/>
            </w:tcMar>
          </w:tcPr>
          <w:p>
            <w:pPr>
              <w:spacing w:after="0" w:line="240" w:lineRule="auto"/>
            </w:pPr>
            <w:r>
              <w:rPr>
                <w:rFonts w:ascii="Aptos" w:hAnsi="Aptos"/>
                <w:color w:val="1F2933"/>
                <w:sz w:val="16"/>
              </w:rPr>
              <w:t>FR-004; SEC-002/003; Section 14</w:t>
            </w:r>
          </w:p>
        </w:tc>
        <w:tc>
          <w:tcPr>
            <w:tcW w:type="dxa" w:w="4176"/>
            <w:tcMar>
              <w:top w:w="70" w:type="dxa"/>
              <w:start w:w="90" w:type="dxa"/>
              <w:bottom w:w="70" w:type="dxa"/>
              <w:end w:w="90" w:type="dxa"/>
            </w:tcMar>
          </w:tcPr>
          <w:p>
            <w:pPr>
              <w:spacing w:after="0" w:line="240" w:lineRule="auto"/>
            </w:pPr>
            <w:r>
              <w:rPr>
                <w:rFonts w:ascii="Aptos" w:hAnsi="Aptos"/>
                <w:color w:val="1F2933"/>
                <w:sz w:val="16"/>
              </w:rPr>
              <w:t>RLS, private storage, automated cross-tenant tests</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Sensitive-data minimization</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FR-027; Sections 10.4 and 13</w:t>
            </w:r>
          </w:p>
        </w:tc>
        <w:tc>
          <w:tcPr>
            <w:tcW w:type="dxa" w:w="4176"/>
            <w:tcMar>
              <w:top w:w="70" w:type="dxa"/>
              <w:start w:w="90" w:type="dxa"/>
              <w:bottom w:w="70" w:type="dxa"/>
              <w:end w:w="90" w:type="dxa"/>
            </w:tcMar>
            <w:shd w:fill="F5F7FA"/>
          </w:tcPr>
          <w:p>
            <w:pPr>
              <w:spacing w:after="0" w:line="240" w:lineRule="auto"/>
            </w:pPr>
            <w:r>
              <w:rPr>
                <w:rFonts w:ascii="Aptos" w:hAnsi="Aptos"/>
                <w:color w:val="1F2933"/>
                <w:sz w:val="16"/>
              </w:rPr>
              <w:t>Masking, provider payload controls, retention/deletion</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AI factual grounding</w:t>
            </w:r>
          </w:p>
        </w:tc>
        <w:tc>
          <w:tcPr>
            <w:tcW w:type="dxa" w:w="3816"/>
            <w:tcMar>
              <w:top w:w="70" w:type="dxa"/>
              <w:start w:w="90" w:type="dxa"/>
              <w:bottom w:w="70" w:type="dxa"/>
              <w:end w:w="90" w:type="dxa"/>
            </w:tcMar>
          </w:tcPr>
          <w:p>
            <w:pPr>
              <w:spacing w:after="0" w:line="240" w:lineRule="auto"/>
            </w:pPr>
            <w:r>
              <w:rPr>
                <w:rFonts w:ascii="Aptos" w:hAnsi="Aptos"/>
                <w:color w:val="1F2933"/>
                <w:sz w:val="16"/>
              </w:rPr>
              <w:t>Section 10</w:t>
            </w:r>
          </w:p>
        </w:tc>
        <w:tc>
          <w:tcPr>
            <w:tcW w:type="dxa" w:w="4176"/>
            <w:tcMar>
              <w:top w:w="70" w:type="dxa"/>
              <w:start w:w="90" w:type="dxa"/>
              <w:bottom w:w="70" w:type="dxa"/>
              <w:end w:w="90" w:type="dxa"/>
            </w:tcMar>
          </w:tcPr>
          <w:p>
            <w:pPr>
              <w:spacing w:after="0" w:line="240" w:lineRule="auto"/>
            </w:pPr>
            <w:r>
              <w:rPr>
                <w:rFonts w:ascii="Aptos" w:hAnsi="Aptos"/>
                <w:color w:val="1F2933"/>
                <w:sz w:val="16"/>
              </w:rPr>
              <w:t>Structured inputs/outputs, authority validation, deterministic fallback</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User control</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FR-028, FR-034, FR-054, FR-057</w:t>
            </w:r>
          </w:p>
        </w:tc>
        <w:tc>
          <w:tcPr>
            <w:tcW w:type="dxa" w:w="4176"/>
            <w:tcMar>
              <w:top w:w="70" w:type="dxa"/>
              <w:start w:w="90" w:type="dxa"/>
              <w:bottom w:w="70" w:type="dxa"/>
              <w:end w:w="90" w:type="dxa"/>
            </w:tcMar>
            <w:shd w:fill="F5F7FA"/>
          </w:tcPr>
          <w:p>
            <w:pPr>
              <w:spacing w:after="0" w:line="240" w:lineRule="auto"/>
            </w:pPr>
            <w:r>
              <w:rPr>
                <w:rFonts w:ascii="Aptos" w:hAnsi="Aptos"/>
                <w:color w:val="1F2933"/>
                <w:sz w:val="16"/>
              </w:rPr>
              <w:t>Corrections, “I do not know,” checklist, no automatic sending</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Reproducibility</w:t>
            </w:r>
          </w:p>
        </w:tc>
        <w:tc>
          <w:tcPr>
            <w:tcW w:type="dxa" w:w="3816"/>
            <w:tcMar>
              <w:top w:w="70" w:type="dxa"/>
              <w:start w:w="90" w:type="dxa"/>
              <w:bottom w:w="70" w:type="dxa"/>
              <w:end w:w="90" w:type="dxa"/>
            </w:tcMar>
          </w:tcPr>
          <w:p>
            <w:pPr>
              <w:spacing w:after="0" w:line="240" w:lineRule="auto"/>
            </w:pPr>
            <w:r>
              <w:rPr>
                <w:rFonts w:ascii="Aptos" w:hAnsi="Aptos"/>
                <w:color w:val="1F2933"/>
                <w:sz w:val="16"/>
              </w:rPr>
              <w:t>FR-040, FR-045, FR-065</w:t>
            </w:r>
          </w:p>
        </w:tc>
        <w:tc>
          <w:tcPr>
            <w:tcW w:type="dxa" w:w="4176"/>
            <w:tcMar>
              <w:top w:w="70" w:type="dxa"/>
              <w:start w:w="90" w:type="dxa"/>
              <w:bottom w:w="70" w:type="dxa"/>
              <w:end w:w="90" w:type="dxa"/>
            </w:tcMar>
          </w:tcPr>
          <w:p>
            <w:pPr>
              <w:spacing w:after="0" w:line="240" w:lineRule="auto"/>
            </w:pPr>
            <w:r>
              <w:rPr>
                <w:rFonts w:ascii="Aptos" w:hAnsi="Aptos"/>
                <w:color w:val="1F2933"/>
                <w:sz w:val="16"/>
              </w:rPr>
              <w:t>Immutable inputs and versions; evaluated-rule audit</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Legal updates</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FR-060-FR-065</w:t>
            </w:r>
          </w:p>
        </w:tc>
        <w:tc>
          <w:tcPr>
            <w:tcW w:type="dxa" w:w="4176"/>
            <w:tcMar>
              <w:top w:w="70" w:type="dxa"/>
              <w:start w:w="90" w:type="dxa"/>
              <w:bottom w:w="70" w:type="dxa"/>
              <w:end w:w="90" w:type="dxa"/>
            </w:tcMar>
            <w:shd w:fill="F5F7FA"/>
          </w:tcPr>
          <w:p>
            <w:pPr>
              <w:spacing w:after="0" w:line="240" w:lineRule="auto"/>
            </w:pPr>
            <w:r>
              <w:rPr>
                <w:rFonts w:ascii="Aptos" w:hAnsi="Aptos"/>
                <w:color w:val="1F2933"/>
                <w:sz w:val="16"/>
              </w:rPr>
              <w:t>Approval, effective dates, emergency disable, reanalysis</w:t>
            </w:r>
          </w:p>
        </w:tc>
      </w:tr>
      <w:tr>
        <w:trPr>
          <w:cantSplit/>
        </w:trPr>
        <w:tc>
          <w:tcPr>
            <w:tcW w:type="dxa" w:w="2448"/>
            <w:tcMar>
              <w:top w:w="70" w:type="dxa"/>
              <w:start w:w="90" w:type="dxa"/>
              <w:bottom w:w="70" w:type="dxa"/>
              <w:end w:w="90" w:type="dxa"/>
            </w:tcMar>
          </w:tcPr>
          <w:p>
            <w:pPr>
              <w:spacing w:after="0" w:line="240" w:lineRule="auto"/>
            </w:pPr>
            <w:r>
              <w:rPr>
                <w:rFonts w:ascii="Aptos" w:hAnsi="Aptos"/>
                <w:color w:val="1F2933"/>
                <w:sz w:val="16"/>
              </w:rPr>
              <w:t>Security incident readiness</w:t>
            </w:r>
          </w:p>
        </w:tc>
        <w:tc>
          <w:tcPr>
            <w:tcW w:type="dxa" w:w="3816"/>
            <w:tcMar>
              <w:top w:w="70" w:type="dxa"/>
              <w:start w:w="90" w:type="dxa"/>
              <w:bottom w:w="70" w:type="dxa"/>
              <w:end w:w="90" w:type="dxa"/>
            </w:tcMar>
          </w:tcPr>
          <w:p>
            <w:pPr>
              <w:spacing w:after="0" w:line="240" w:lineRule="auto"/>
            </w:pPr>
            <w:r>
              <w:rPr>
                <w:rFonts w:ascii="Aptos" w:hAnsi="Aptos"/>
                <w:color w:val="1F2933"/>
                <w:sz w:val="16"/>
              </w:rPr>
              <w:t>SEC-012; Sections 13 and 17</w:t>
            </w:r>
          </w:p>
        </w:tc>
        <w:tc>
          <w:tcPr>
            <w:tcW w:type="dxa" w:w="4176"/>
            <w:tcMar>
              <w:top w:w="70" w:type="dxa"/>
              <w:start w:w="90" w:type="dxa"/>
              <w:bottom w:w="70" w:type="dxa"/>
              <w:end w:w="90" w:type="dxa"/>
            </w:tcMar>
          </w:tcPr>
          <w:p>
            <w:pPr>
              <w:spacing w:after="0" w:line="240" w:lineRule="auto"/>
            </w:pPr>
            <w:r>
              <w:rPr>
                <w:rFonts w:ascii="Aptos" w:hAnsi="Aptos"/>
                <w:color w:val="1F2933"/>
                <w:sz w:val="16"/>
              </w:rPr>
              <w:t>Runbooks, alerts, tabletop, vendor notification review</w:t>
            </w:r>
          </w:p>
        </w:tc>
      </w:tr>
      <w:tr>
        <w:trPr>
          <w:cantSplit/>
        </w:trPr>
        <w:tc>
          <w:tcPr>
            <w:tcW w:type="dxa" w:w="2448"/>
            <w:tcMar>
              <w:top w:w="70" w:type="dxa"/>
              <w:start w:w="90" w:type="dxa"/>
              <w:bottom w:w="70" w:type="dxa"/>
              <w:end w:w="90" w:type="dxa"/>
            </w:tcMar>
            <w:shd w:fill="F5F7FA"/>
          </w:tcPr>
          <w:p>
            <w:pPr>
              <w:spacing w:after="0" w:line="240" w:lineRule="auto"/>
            </w:pPr>
            <w:r>
              <w:rPr>
                <w:rFonts w:ascii="Aptos" w:hAnsi="Aptos"/>
                <w:color w:val="1F2933"/>
                <w:sz w:val="16"/>
              </w:rPr>
              <w:t>Deletion</w:t>
            </w:r>
          </w:p>
        </w:tc>
        <w:tc>
          <w:tcPr>
            <w:tcW w:type="dxa" w:w="3816"/>
            <w:tcMar>
              <w:top w:w="70" w:type="dxa"/>
              <w:start w:w="90" w:type="dxa"/>
              <w:bottom w:w="70" w:type="dxa"/>
              <w:end w:w="90" w:type="dxa"/>
            </w:tcMar>
            <w:shd w:fill="F5F7FA"/>
          </w:tcPr>
          <w:p>
            <w:pPr>
              <w:spacing w:after="0" w:line="240" w:lineRule="auto"/>
            </w:pPr>
            <w:r>
              <w:rPr>
                <w:rFonts w:ascii="Aptos" w:hAnsi="Aptos"/>
                <w:color w:val="1F2933"/>
                <w:sz w:val="16"/>
              </w:rPr>
              <w:t>FR-006; SEC-014; NFR deletion target</w:t>
            </w:r>
          </w:p>
        </w:tc>
        <w:tc>
          <w:tcPr>
            <w:tcW w:type="dxa" w:w="4176"/>
            <w:tcMar>
              <w:top w:w="70" w:type="dxa"/>
              <w:start w:w="90" w:type="dxa"/>
              <w:bottom w:w="70" w:type="dxa"/>
              <w:end w:w="90" w:type="dxa"/>
            </w:tcMar>
            <w:shd w:fill="F5F7FA"/>
          </w:tcPr>
          <w:p>
            <w:pPr>
              <w:spacing w:after="0" w:line="240" w:lineRule="auto"/>
            </w:pPr>
            <w:r>
              <w:rPr>
                <w:rFonts w:ascii="Aptos" w:hAnsi="Aptos"/>
                <w:color w:val="1F2933"/>
                <w:sz w:val="16"/>
              </w:rPr>
              <w:t>Cross-system orchestrator and evidence drill</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Borders>
              <w:top w:val="nil"/>
              <w:start w:val="single" w:sz="18" w:color="245D8C"/>
              <w:bottom w:val="nil"/>
              <w:end w:val="nil"/>
            </w:tcBorders>
          </w:tcPr>
          <w:p>
            <w:pPr>
              <w:spacing w:after="60"/>
            </w:pPr>
            <w:r>
              <w:rPr>
                <w:rFonts w:ascii="Aptos" w:hAnsi="Aptos"/>
                <w:b/>
                <w:color w:val="245D8C"/>
                <w:sz w:val="21"/>
              </w:rPr>
              <w:t>Recommended next artifacts</w:t>
            </w:r>
          </w:p>
          <w:p>
            <w:pPr>
              <w:spacing w:after="0"/>
            </w:pPr>
            <w:r>
              <w:rPr>
                <w:rFonts w:ascii="Aptos" w:hAnsi="Aptos"/>
                <w:color w:val="1F2933"/>
                <w:sz w:val="19"/>
              </w:rPr>
              <w:t>After approving this PRD, create: (1) canonical database/schema specification, (2) P0 rules catalog with fixtures, (3) clickable consumer and admin wireframes, (4) threat model and vendor questionnaire, (5) launch-state compliance matrix, and (6) implementation backlog with estimates.</w:t>
            </w:r>
          </w:p>
        </w:tc>
        <w:trPr>
          <w:tblHeader/>
        </w:trPr>
      </w:tr>
    </w:tbl>
    <w:p>
      <w:pPr>
        <w:spacing w:after="0"/>
      </w:pP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52606D"/>
              <w:sz w:val="15"/>
            </w:rPr>
            <w:t>Confidential working draft - Version 0.1</w:t>
          </w:r>
        </w:p>
      </w:tc>
      <w:tc>
        <w:tcPr>
          <w:tcW w:type="dxa" w:w="5040"/>
        </w:tcPr>
        <w:p>
          <w:pPr>
            <w:jc w:val="right"/>
          </w:pPr>
          <w:r>
            <w:rPr>
              <w:rFonts w:ascii="Aptos" w:hAnsi="Aptos"/>
              <w:color w:val="52606D"/>
              <w:sz w:val="16"/>
            </w:rP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2606D"/>
        <w:sz w:val="15"/>
      </w:rPr>
      <w:t>PERSONAL CREDIT ANALYSIS PLATFORM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45D8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260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consumerfinance.gov/ask-cfpb/what-are-common-credit-report-errors-that-i-should-look-for-on-my-credit-report-en-313/" TargetMode="External"/><Relationship Id="rId14" Type="http://schemas.openxmlformats.org/officeDocument/2006/relationships/hyperlink" Target="https://www.consumerfinance.gov/ask-cfpb/how-do-i-dispute-an-error-on-my-credit-report-en-314/" TargetMode="External"/><Relationship Id="rId15" Type="http://schemas.openxmlformats.org/officeDocument/2006/relationships/hyperlink" Target="https://www.law.cornell.edu/uscode/text/15/1681i" TargetMode="External"/><Relationship Id="rId16" Type="http://schemas.openxmlformats.org/officeDocument/2006/relationships/hyperlink" Target="https://www.law.cornell.edu/uscode/text/15/1681s-2" TargetMode="External"/><Relationship Id="rId17" Type="http://schemas.openxmlformats.org/officeDocument/2006/relationships/hyperlink" Target="https://www.law.cornell.edu/uscode/text/15/1681c" TargetMode="External"/><Relationship Id="rId18" Type="http://schemas.openxmlformats.org/officeDocument/2006/relationships/hyperlink" Target="https://www.ecfr.gov/current/title-12/chapter-X/part-1022/subpart-E" TargetMode="External"/><Relationship Id="rId19" Type="http://schemas.openxmlformats.org/officeDocument/2006/relationships/hyperlink" Target="https://www.ftc.gov/legal-library/browse/statutes/credit-repair-organizations-act" TargetMode="External"/><Relationship Id="rId20" Type="http://schemas.openxmlformats.org/officeDocument/2006/relationships/hyperlink" Target="https://www.cdiaonline.org/resources/furnishers-of-data-overview/metro2-information/" TargetMode="External"/><Relationship Id="rId21" Type="http://schemas.openxmlformats.org/officeDocument/2006/relationships/hyperlink" Target="https://www.ftc.gov/business-guidance/resources/protecting-personal-information-guide-business" TargetMode="External"/><Relationship Id="rId22" Type="http://schemas.openxmlformats.org/officeDocument/2006/relationships/hyperlink" Target="https://www.ftc.gov/business-guidance/resources/ftc-safeguards-rule-what-your-business-needs-know" TargetMode="External"/><Relationship Id="rId23" Type="http://schemas.openxmlformats.org/officeDocument/2006/relationships/hyperlink" Target="https://www.nist.gov/itl/ai-risk-management-framework" TargetMode="External"/><Relationship Id="rId24" Type="http://schemas.openxmlformats.org/officeDocument/2006/relationships/hyperlink" Target="https://www.nist.gov/publications/artificial-intelligence-risk-management-framework-generative-artificial-intelligence" TargetMode="External"/><Relationship Id="rId25" Type="http://schemas.openxmlformats.org/officeDocument/2006/relationships/hyperlink" Target="https://docs.insforge.dev/introduction" TargetMode="External"/><Relationship Id="rId26" Type="http://schemas.openxmlformats.org/officeDocument/2006/relationships/hyperlink" Target="https://docs.insforge.dev/core-concepts/database/overview" TargetMode="External"/><Relationship Id="rId27" Type="http://schemas.openxmlformats.org/officeDocument/2006/relationships/hyperlink" Target="https://docs.insforge.dev/core-concepts/storage/overview" TargetMode="External"/><Relationship Id="rId28" Type="http://schemas.openxmlformats.org/officeDocument/2006/relationships/hyperlink" Target="https://docs.insforge.dev/core-concepts/functions/overview" TargetMode="External"/><Relationship Id="rId29" Type="http://schemas.openxmlformats.org/officeDocument/2006/relationships/hyperlink" Target="https://docs.insforge.dev/core-concepts/sites/overview" TargetMode="External"/><Relationship Id="rId30" Type="http://schemas.openxmlformats.org/officeDocument/2006/relationships/hyperlink" Target="https://bun.sh/docs/pm/workspaces" TargetMode="External"/><Relationship Id="rId31" Type="http://schemas.openxmlformats.org/officeDocument/2006/relationships/hyperlink" Target="https://bun.sh/docs/runtime/nodejs-compat" TargetMode="External"/><Relationship Id="rId32" Type="http://schemas.openxmlformats.org/officeDocument/2006/relationships/hyperlink" Target="https://nodejs.org/en/about/previous-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Credit Analysis &amp; Education Platform - Product Requirements Document</dc:title>
  <dc:subject>Product, compliance, security, analysis methodology, technical stack, and architecture requirements</dc:subject>
  <dc:creator>OpenAI - working draft for project review</dc:creator>
  <cp:keywords>credit report, product requirements, FCRA, Regulation V, CROA, Metro 2, InsForge, TypeScript, Bun, security</cp:keywords>
  <dc:description>Confidential working draft. Requires qualified legal and security review before implementation with consumer data.</dc:description>
  <cp:lastModifiedBy/>
  <cp:revision>1</cp:revision>
  <dcterms:created xsi:type="dcterms:W3CDTF">2013-12-23T23:15:00Z</dcterms:created>
  <dcterms:modified xsi:type="dcterms:W3CDTF">2013-12-23T23:15:00Z</dcterms:modified>
  <cp:category/>
</cp:coreProperties>
</file>