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40"/>
      </w:pPr>
      <w:r>
        <w:rPr>
          <w:rFonts w:ascii="Courier New" w:cs="Courier New" w:eastAsia="Courier New" w:hAnsi="Courier New"/>
          <w:color w:val="666666"/>
          <w:sz w:val="24"/>
          <w:szCs w:val="24"/>
        </w:rPr>
        <w:t xml:space="preserve">docs/</w:t>
      </w:r>
    </w:p>
    <w:p>
      <w:pPr>
        <w:spacing w:before="0" w:after="60"/>
      </w:pPr>
      <w:r>
        <w:rPr>
          <w:rFonts w:ascii="Georgia" w:cs="Georgia" w:eastAsia="Georgia" w:hAnsi="Georgia"/>
          <w:b/>
          <w:bCs/>
          <w:color w:val="1F3864"/>
          <w:sz w:val="48"/>
          <w:szCs w:val="48"/>
        </w:rPr>
        <w:t xml:space="preserve">04_gradient_boosting_notes.docx</w:t>
      </w:r>
    </w:p>
    <w:p>
      <w:pPr>
        <w:pBdr>
          <w:bottom w:val="single" w:color="E8A020" w:sz="10" w:space="8"/>
        </w:pBdr>
        <w:spacing w:before="0" w:after="80"/>
      </w:pPr>
      <w:r>
        <w:rPr>
          <w:rFonts w:ascii="Calibri" w:cs="Calibri" w:eastAsia="Calibri" w:hAnsi="Calibri"/>
          <w:color w:val="2E5FA3"/>
          <w:sz w:val="26"/>
          <w:szCs w:val="26"/>
        </w:rPr>
        <w:t xml:space="preserve">Gradient Boosting Models — Data Fixes, Methods, Results &amp; Interpretation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Notebook</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notebooks/04_gradient_boosting.ipynb</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Models covered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AdaBoost (classification + regression), XGBoost (classification + regression)</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Dataset size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Train: 41,820 | Val: 5,227 | Test: 5,228 | Features: 34</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Critical changes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New leakage column removed; outliers &gt; $200 dropped (0.37% of data)</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Best result</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XGBoost Regression: MAE $4.26 | RMSE $6.73 | R² 0.9174</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Feeds into</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src/05_pytorch_classification.py, src/06_pytorch_regression.py</w:t>
            </w:r>
          </w:p>
        </w:tc>
      </w:tr>
    </w:tbl>
    <w:p>
      <w:pPr>
        <w:spacing w:before="0" w:after="0"/>
      </w:pPr>
      <w:r>
        <w:t xml:space="preserve"/>
      </w:r>
    </w:p>
    <w:p>
      <w:pPr>
        <w:spacing w:before="60" w:after="80"/>
      </w:pPr>
      <w:r>
        <w:rPr>
          <w:rFonts w:ascii="Calibri" w:cs="Calibri" w:eastAsia="Calibri" w:hAnsi="Calibri"/>
          <w:i/>
          <w:iCs/>
          <w:color w:val="666666"/>
          <w:sz w:val="22"/>
          <w:szCs w:val="22"/>
        </w:rPr>
        <w:t xml:space="preserve">This document covers two things equally: the data problems discovered and fixed before training, and the gradient boosting model results. Both matter — the data fixes had more impact on final performance than model choice.</w:t>
      </w:r>
    </w:p>
    <w:p>
      <w:r>
        <w:br w:type="page"/>
      </w:r>
    </w:p>
    <w:p>
      <w:pPr>
        <w:pStyle w:val="Heading1"/>
        <w:spacing w:before="400" w:after="120"/>
      </w:pPr>
      <w:r>
        <w:rPr>
          <w:rFonts w:ascii="Georgia" w:cs="Georgia" w:eastAsia="Georgia" w:hAnsi="Georgia"/>
          <w:b/>
          <w:bCs/>
          <w:color w:val="1F3864"/>
          <w:sz w:val="36"/>
          <w:szCs w:val="36"/>
        </w:rPr>
        <w:t xml:space="preserve">1. Critical Data Fixes Made Before Training</w:t>
      </w:r>
    </w:p>
    <w:p>
      <w:pPr>
        <w:pBdr>
          <w:bottom w:val="single" w:color="8B1A1A" w:sz="6" w:space="4"/>
        </w:pBdr>
        <w:spacing w:before="40" w:after="120"/>
      </w:pPr>
      <w:r>
        <w:t xml:space="preserve"/>
      </w:r>
    </w:p>
    <w:p>
      <w:pPr>
        <w:spacing w:before="60" w:after="80"/>
      </w:pPr>
      <w:r>
        <w:rPr>
          <w:rFonts w:ascii="Calibri" w:cs="Calibri" w:eastAsia="Calibri" w:hAnsi="Calibri"/>
          <w:color w:val="222222"/>
          <w:sz w:val="22"/>
          <w:szCs w:val="22"/>
        </w:rPr>
        <w:t xml:space="preserve">Two significant data quality problems were discovered and corrected before any gradient boosting model was trained. These are documented first because they affect every downstream result in this notebook and all future notebooks.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1.1  New Leakage Column Discovered — Net Charge Billed Currency</w:t>
      </w:r>
    </w:p>
    <w:p>
      <w:pPr>
        <w:spacing w:before="60" w:after="80"/>
      </w:pPr>
      <w:r>
        <w:rPr>
          <w:rFonts w:ascii="Calibri" w:cs="Calibri" w:eastAsia="Calibri" w:hAnsi="Calibri"/>
          <w:color w:val="222222"/>
          <w:sz w:val="22"/>
          <w:szCs w:val="22"/>
        </w:rPr>
        <w:t xml:space="preserve">During data loading for this notebook, a second data leakage column was identified that had been missed during the initial EDA phase. The column 'Net Charge Billed Currency' is the raw, untransformed net charge in local currency — essentially the same value as the regression target 'log_net_charge' before the log transform.</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3"/>
              <w:left w:val="thick" w:color="8B1A1A" w:sz="12"/>
              <w:bottom w:val="single" w:color="8B1A1A" w:sz="3"/>
              <w:right w:val="single" w:color="8B1A1A" w:sz="3"/>
            </w:tcBorders>
            <w:shd w:fill="FAE0E0" w:val="clear"/>
            <w:tcMar>
              <w:top w:type="dxa" w:w="120"/>
              <w:left w:type="dxa" w:w="200"/>
              <w:bottom w:type="dxa" w:w="120"/>
              <w:right w:type="dxa" w:w="200"/>
            </w:tcMar>
          </w:tcPr>
          <w:p>
            <w:pPr>
              <w:spacing w:before="0" w:after="40"/>
            </w:pPr>
            <w:r>
              <w:rPr>
                <w:rFonts w:ascii="Calibri" w:cs="Calibri" w:eastAsia="Calibri" w:hAnsi="Calibri"/>
                <w:b/>
                <w:bCs/>
                <w:color w:val="8B1A1A"/>
                <w:sz w:val="20"/>
                <w:szCs w:val="20"/>
              </w:rPr>
              <w:t xml:space="preserve">Why this is leakage</w:t>
            </w:r>
          </w:p>
          <w:p>
            <w:pPr>
              <w:spacing w:before="0" w:after="0"/>
            </w:pPr>
            <w:r>
              <w:rPr>
                <w:rFonts w:ascii="Calibri" w:cs="Calibri" w:eastAsia="Calibri" w:hAnsi="Calibri"/>
                <w:color w:val="222222"/>
                <w:sz w:val="20"/>
                <w:szCs w:val="20"/>
              </w:rPr>
              <w:t xml:space="preserve">The regression task asks the model to predict the net shipping charge. If 'Net Charge Billed Currency' (the raw dollar amount) is present as an input feature, the model would simply learn to reverse the log transform and output a near-perfect prediction. This would produce an artificially inflated R² during training that completely collapses in production, where the charge is unknown at prediction time.</w:t>
            </w:r>
          </w:p>
        </w:tc>
      </w:tr>
    </w:tbl>
    <w:p>
      <w:pPr>
        <w:spacing w:before="0" w:after="0"/>
      </w:pPr>
      <w:r>
        <w:t xml:space="preserve"/>
      </w:r>
    </w:p>
    <w:p>
      <w:pPr>
        <w:spacing w:before="60" w:after="80"/>
      </w:pPr>
      <w:r>
        <w:rPr>
          <w:rFonts w:ascii="Calibri" w:cs="Calibri" w:eastAsia="Calibri" w:hAnsi="Calibri"/>
          <w:color w:val="222222"/>
          <w:sz w:val="22"/>
          <w:szCs w:val="22"/>
        </w:rPr>
        <w:t xml:space="preserve">The column was added to the exclusion list alongside the previously identified rated weight leakage: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Column</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Discovered</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Reason excluded</w:t>
            </w:r>
          </w:p>
        </w:tc>
      </w:tr>
      <w:tr>
        <w:tc>
          <w:tcPr>
            <w:tcW w:type="dxa" w:w="36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Shipment Rated Weight (Pounds)</w:t>
            </w:r>
          </w:p>
        </w:tc>
        <w:tc>
          <w:tcPr>
            <w:tcW w:type="dxa" w:w="216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EDA phase</w:t>
            </w:r>
          </w:p>
        </w:tc>
        <w:tc>
          <w:tcPr>
            <w:tcW w:type="dxa" w:w="36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Derived FROM the DIM flag — not available pre-shipment</w:t>
            </w:r>
          </w:p>
        </w:tc>
      </w:tr>
      <w:tr>
        <w:tc>
          <w:tcPr>
            <w:tcW w:type="dxa" w:w="36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Net Charge Billed Currency</w:t>
            </w:r>
          </w:p>
        </w:tc>
        <w:tc>
          <w:tcPr>
            <w:tcW w:type="dxa" w:w="216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This notebook</w:t>
            </w:r>
          </w:p>
        </w:tc>
        <w:tc>
          <w:tcPr>
            <w:tcW w:type="dxa" w:w="36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Raw version of the regression target — direct leakage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FF8DC" w:val="clear"/>
            <w:tcMar>
              <w:top w:type="dxa" w:w="120"/>
              <w:left w:type="dxa" w:w="200"/>
              <w:bottom w:type="dxa" w:w="120"/>
              <w:right w:type="dxa" w:w="200"/>
            </w:tcMar>
          </w:tcPr>
          <w:p>
            <w:pPr>
              <w:spacing w:before="0" w:after="40"/>
            </w:pPr>
            <w:r>
              <w:rPr>
                <w:rFonts w:ascii="Calibri" w:cs="Calibri" w:eastAsia="Calibri" w:hAnsi="Calibri"/>
                <w:b/>
                <w:bCs/>
                <w:color w:val="7D3C00"/>
                <w:sz w:val="20"/>
                <w:szCs w:val="20"/>
              </w:rPr>
              <w:t xml:space="preserve">Fix applied in 02_preprocessing.py</w:t>
            </w:r>
          </w:p>
          <w:p>
            <w:pPr>
              <w:spacing w:before="0" w:after="0"/>
            </w:pPr>
            <w:r>
              <w:rPr>
                <w:rFonts w:ascii="Calibri" w:cs="Calibri" w:eastAsia="Calibri" w:hAnsi="Calibri"/>
                <w:color w:val="222222"/>
                <w:sz w:val="20"/>
                <w:szCs w:val="20"/>
              </w:rPr>
              <w:t xml:space="preserve">target_cols = ['dim_flag', 'log_net_charge', 'Net Charge Billed Currency']
feature_cols = [c for c in train_df.columns if c not in target_cols]
Both leakage columns are now explicitly excluded from the feature matrix built for all models.</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1.2  Outlier Removal — Net Charges Over $200</w:t>
      </w:r>
    </w:p>
    <w:p>
      <w:pPr>
        <w:spacing w:before="60" w:after="80"/>
      </w:pPr>
      <w:r>
        <w:rPr>
          <w:rFonts w:ascii="Calibri" w:cs="Calibri" w:eastAsia="Calibri" w:hAnsi="Calibri"/>
          <w:color w:val="222222"/>
          <w:sz w:val="22"/>
          <w:szCs w:val="22"/>
        </w:rPr>
        <w:t xml:space="preserve">The second fix was the removal of shipments with net charges exceeding $200. This decision came from the regression model behaving poorly on the high-end tail of the cost distribution and is the single biggest driver of XGBoost regression performance.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Stat</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Before removal</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After removal</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Shipments removed</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~195 shipments (0.37% of dataset)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Charge ceiling</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$3,501.76 (max)</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$200.00</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XGBoost R²</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~0.82 (estimated)</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0.9174 (+~10%)</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XGBoost RMSE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~$9–11 (estimated)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$6.73</w:t>
            </w:r>
          </w:p>
        </w:tc>
      </w:tr>
    </w:tbl>
    <w:p>
      <w:pPr>
        <w:spacing w:before="0" w:after="0"/>
      </w:pPr>
      <w:r>
        <w:t xml:space="preserve"/>
      </w:r>
    </w:p>
    <w:p>
      <w:pPr>
        <w:spacing w:before="180" w:after="60"/>
      </w:pPr>
      <w:r>
        <w:rPr>
          <w:rFonts w:ascii="Calibri" w:cs="Calibri" w:eastAsia="Calibri" w:hAnsi="Calibri"/>
          <w:b/>
          <w:bCs/>
          <w:color w:val="2E5FA3"/>
          <w:sz w:val="22"/>
          <w:szCs w:val="22"/>
        </w:rPr>
        <w:t xml:space="preserve">Why 0.37% of rows caused ~10% model degradation</w:t>
      </w:r>
    </w:p>
    <w:p>
      <w:pPr>
        <w:spacing w:before="60" w:after="80"/>
      </w:pPr>
      <w:r>
        <w:rPr>
          <w:rFonts w:ascii="Calibri" w:cs="Calibri" w:eastAsia="Calibri" w:hAnsi="Calibri"/>
          <w:color w:val="222222"/>
          <w:sz w:val="22"/>
          <w:szCs w:val="22"/>
        </w:rPr>
        <w:t xml:space="preserve">This is a consequence of how mean squared error (MSE) loss works. The loss is calculated as the average of squared errors across all predictions. A single shipment predicted at $80 that actually cost $3,500 contributes (3500 − 80)² = ~11.7 million units of loss. A correctly predicted $60 shipment contributes (60 − 60)² = 0.</w:t>
      </w:r>
    </w:p>
    <w:p>
      <w:pPr>
        <w:spacing w:before="0" w:after="0"/>
      </w:pPr>
      <w:r>
        <w:t xml:space="preserve"/>
      </w:r>
    </w:p>
    <w:p>
      <w:pPr>
        <w:spacing w:before="60" w:after="80"/>
      </w:pPr>
      <w:r>
        <w:rPr>
          <w:rFonts w:ascii="Calibri" w:cs="Calibri" w:eastAsia="Calibri" w:hAnsi="Calibri"/>
          <w:color w:val="222222"/>
          <w:sz w:val="22"/>
          <w:szCs w:val="22"/>
        </w:rPr>
        <w:t xml:space="preserve">Even though 195 rows is less than 0.4% of the data, each one contributed disproportionately to the total training loss. The model was devoting significant learning capacity to fitting these extreme outliers instead of learning the patterns in the other 99.6% of shipments. R² measures how much variance the model explains — massive unexplained residuals on outliers dragged this metric down severely.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3"/>
              <w:left w:val="thick" w:color="1E6B3C" w:sz="12"/>
              <w:bottom w:val="single" w:color="1E6B3C" w:sz="3"/>
              <w:right w:val="single" w:color="1E6B3C" w:sz="3"/>
            </w:tcBorders>
            <w:shd w:fill="D6F0E0" w:val="clear"/>
            <w:tcMar>
              <w:top w:type="dxa" w:w="120"/>
              <w:left w:type="dxa" w:w="200"/>
              <w:bottom w:type="dxa" w:w="120"/>
              <w:right w:type="dxa" w:w="200"/>
            </w:tcMar>
          </w:tcPr>
          <w:p>
            <w:pPr>
              <w:spacing w:before="0" w:after="40"/>
            </w:pPr>
            <w:r>
              <w:rPr>
                <w:rFonts w:ascii="Calibri" w:cs="Calibri" w:eastAsia="Calibri" w:hAnsi="Calibri"/>
                <w:b/>
                <w:bCs/>
                <w:color w:val="1E6B3C"/>
                <w:sz w:val="20"/>
                <w:szCs w:val="20"/>
              </w:rPr>
              <w:t xml:space="preserve">Decision: drop rows where net charge &gt; $200</w:t>
            </w:r>
          </w:p>
          <w:p>
            <w:pPr>
              <w:spacing w:before="0" w:after="0"/>
            </w:pPr>
            <w:r>
              <w:rPr>
                <w:rFonts w:ascii="Calibri" w:cs="Calibri" w:eastAsia="Calibri" w:hAnsi="Calibri"/>
                <w:color w:val="222222"/>
                <w:sz w:val="20"/>
                <w:szCs w:val="20"/>
              </w:rPr>
              <w:t xml:space="preserve">These are almost certainly large commercial multi-piece shipments that represent a fundamentally different pricing category from standard single-package shipments. They are genuine outliers — not data errors — but they belong to a regime the model cannot generalize from. Removing them makes the model dramatically more useful for the 99.6% of shipments it will actually encounter in production.</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FF8DC" w:val="clear"/>
            <w:tcMar>
              <w:top w:type="dxa" w:w="120"/>
              <w:left w:type="dxa" w:w="200"/>
              <w:bottom w:type="dxa" w:w="120"/>
              <w:right w:type="dxa" w:w="200"/>
            </w:tcMar>
          </w:tcPr>
          <w:p>
            <w:pPr>
              <w:spacing w:before="0" w:after="40"/>
            </w:pPr>
            <w:r>
              <w:rPr>
                <w:rFonts w:ascii="Calibri" w:cs="Calibri" w:eastAsia="Calibri" w:hAnsi="Calibri"/>
                <w:b/>
                <w:bCs/>
                <w:color w:val="7D3C00"/>
                <w:sz w:val="20"/>
                <w:szCs w:val="20"/>
              </w:rPr>
              <w:t xml:space="preserve">For Claude Code — update 02_preprocessing.py</w:t>
            </w:r>
          </w:p>
          <w:p>
            <w:pPr>
              <w:spacing w:before="0" w:after="0"/>
            </w:pPr>
            <w:r>
              <w:rPr>
                <w:rFonts w:ascii="Calibri" w:cs="Calibri" w:eastAsia="Calibri" w:hAnsi="Calibri"/>
                <w:color w:val="222222"/>
                <w:sz w:val="20"/>
                <w:szCs w:val="20"/>
              </w:rPr>
              <w:t xml:space="preserve">After the log transform step, add:
df = df[df['Net Charge Amount USD'] &lt;= 200].copy()
This must happen BEFORE the train/val/test split so the splits are balanced. Re-run the full preprocessing script to regenerate the parquet files before training any model.</w:t>
            </w:r>
          </w:p>
        </w:tc>
      </w:tr>
    </w:tbl>
    <w:p>
      <w:r>
        <w:br w:type="page"/>
      </w:r>
    </w:p>
    <w:p>
      <w:pPr>
        <w:pStyle w:val="Heading1"/>
        <w:spacing w:before="400" w:after="120"/>
      </w:pPr>
      <w:r>
        <w:rPr>
          <w:rFonts w:ascii="Georgia" w:cs="Georgia" w:eastAsia="Georgia" w:hAnsi="Georgia"/>
          <w:b/>
          <w:bCs/>
          <w:color w:val="1F3864"/>
          <w:sz w:val="36"/>
          <w:szCs w:val="36"/>
        </w:rPr>
        <w:t xml:space="preserve">2. Why Tree Models Use Unscaled Features</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Unlike the baseline models (logistic regression, linear regression) which required StandardScaler to normalize all features to the same range, tree-based models load the raw unscaled parquet files. This is not an oversight — it is correct by design.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Model type</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Needs scaling?</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Why</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Logistic / Linear Regression</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Yes — required</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Gradient descent is sensitive to feature magnitude. Large-range features dominate.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AdaBoost / XGBoost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No — not needed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Trees split on thresholds. Whether weight is 0–150 raw or 0–1 scaled does not change where the best split falls.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PyTorch Neural Network</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Yes — required</w:t>
            </w:r>
          </w:p>
        </w:tc>
        <w:tc>
          <w:tcPr>
            <w:tcW w:type="dxa" w:w="34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Gradient-based optimizer (AdamW). Same reason as linear models — magnitude matters.</w:t>
            </w:r>
          </w:p>
        </w:tc>
      </w:tr>
    </w:tbl>
    <w:p>
      <w:pPr>
        <w:spacing w:before="0" w:after="0"/>
      </w:pPr>
      <w:r>
        <w:t xml:space="preserve"/>
      </w:r>
    </w:p>
    <w:p>
      <w:pPr>
        <w:spacing w:before="60" w:after="80"/>
      </w:pPr>
      <w:r>
        <w:rPr>
          <w:rFonts w:ascii="Calibri" w:cs="Calibri" w:eastAsia="Calibri" w:hAnsi="Calibri"/>
          <w:color w:val="222222"/>
          <w:sz w:val="22"/>
          <w:szCs w:val="22"/>
        </w:rPr>
        <w:t xml:space="preserve">The preprocessing pipeline saves two versions of each split: train.parquet (unscaled, for tree models) and train_scaled.parquet (StandardScaler applied, for the neural network notebooks).</w:t>
      </w:r>
    </w:p>
    <w:p>
      <w:r>
        <w:br w:type="page"/>
      </w:r>
    </w:p>
    <w:p>
      <w:pPr>
        <w:pStyle w:val="Heading1"/>
        <w:spacing w:before="400" w:after="120"/>
      </w:pPr>
      <w:r>
        <w:rPr>
          <w:rFonts w:ascii="Georgia" w:cs="Georgia" w:eastAsia="Georgia" w:hAnsi="Georgia"/>
          <w:b/>
          <w:bCs/>
          <w:color w:val="1F3864"/>
          <w:sz w:val="36"/>
          <w:szCs w:val="36"/>
        </w:rPr>
        <w:t xml:space="preserve">3. AdaBoost Models</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AdaBoost (Adaptive Boosting) trains a sequence of weak learners — simple decision trees — where each new tree focuses harder on the examples the previous trees got wrong. The final prediction is a weighted vote across all trees.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3.1  How AdaBoost Works (Plain English)</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Start with a simple decision stump (a tree with only one split — one yes/no question)</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Identify which training examples the stump got wrong</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Increase the weight of those wrong examples so the next stump pays more attention to them</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Repeat for n_estimators rounds, building a chain of stumps each fixing the previous one's mistakes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Final prediction: weighted majority vote across all 200 stumps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20" w:sz="3"/>
              <w:left w:val="thick" w:color="E8A020" w:sz="12"/>
              <w:bottom w:val="single" w:color="E8A020" w:sz="3"/>
              <w:right w:val="single" w:color="E8A020" w:sz="3"/>
            </w:tcBorders>
            <w:shd w:fill="FFF8DC" w:val="clear"/>
            <w:tcMar>
              <w:top w:type="dxa" w:w="120"/>
              <w:left w:type="dxa" w:w="200"/>
              <w:bottom w:type="dxa" w:w="120"/>
              <w:right w:type="dxa" w:w="200"/>
            </w:tcMar>
          </w:tcPr>
          <w:p>
            <w:pPr>
              <w:spacing w:before="0" w:after="40"/>
            </w:pPr>
            <w:r>
              <w:rPr>
                <w:rFonts w:ascii="Calibri" w:cs="Calibri" w:eastAsia="Calibri" w:hAnsi="Calibri"/>
                <w:b/>
                <w:bCs/>
                <w:color w:val="7D3C00"/>
                <w:sz w:val="20"/>
                <w:szCs w:val="20"/>
              </w:rPr>
              <w:t xml:space="preserve">Hyperparameter choices</w:t>
            </w:r>
          </w:p>
          <w:p>
            <w:pPr>
              <w:spacing w:before="0" w:after="0"/>
            </w:pPr>
            <w:r>
              <w:rPr>
                <w:rFonts w:ascii="Calibri" w:cs="Calibri" w:eastAsia="Calibri" w:hAnsi="Calibri"/>
                <w:color w:val="222222"/>
                <w:sz w:val="20"/>
                <w:szCs w:val="20"/>
              </w:rPr>
              <w:t xml:space="preserve">estimator=DecisionTreeClassifier(max_depth=1) — decision stumps (one split each). This is the classic AdaBoost configuration.
n_estimators=200 — 200 sequential stumps.
learning_rate=0.1 — each stump contributes 10% of its weight. Slow but stable.
random_state=42 — reproducibility.</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3.2  AdaBoost Classification Results (Task 1 — DIM Flag)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AdaBoost</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Logistic Regression (baseline)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Accuracy</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0.9960</w:t>
            </w:r>
          </w:p>
        </w:tc>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0.9931</w:t>
            </w:r>
          </w:p>
        </w:tc>
        <w:tc>
          <w:tcPr>
            <w:tcW w:type="dxa" w:w="21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+0.0029</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Precision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0.9939</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Recall</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0.9962</w:t>
            </w:r>
          </w:p>
        </w:tc>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0.9986</w:t>
            </w:r>
          </w:p>
        </w:tc>
        <w:tc>
          <w:tcPr>
            <w:tcW w:type="dxa" w:w="21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-0.0024</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F1 Score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0.9951</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0.9916</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+0.0035</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ROC AUC</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0.9992</w:t>
            </w:r>
          </w:p>
        </w:tc>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0.9940</w:t>
            </w:r>
          </w:p>
        </w:tc>
        <w:tc>
          <w:tcPr>
            <w:tcW w:type="dxa" w:w="21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+0.0052</w:t>
            </w:r>
          </w:p>
        </w:tc>
      </w:tr>
    </w:tbl>
    <w:p>
      <w:pPr>
        <w:spacing w:before="0" w:after="0"/>
      </w:pPr>
      <w:r>
        <w:t xml:space="preserve"/>
      </w:r>
    </w:p>
    <w:p>
      <w:pPr>
        <w:spacing w:before="60" w:after="80"/>
      </w:pPr>
      <w:r>
        <w:rPr>
          <w:rFonts w:ascii="Calibri" w:cs="Calibri" w:eastAsia="Calibri" w:hAnsi="Calibri"/>
          <w:color w:val="222222"/>
          <w:sz w:val="22"/>
          <w:szCs w:val="22"/>
        </w:rPr>
        <w:t xml:space="preserve">AdaBoost meaningfully improved over logistic regression on accuracy, F1, and AUC. The slight drop in recall (from 0.9986 to 0.9962) is a minor tradeoff — the model is a touch more conservative about flagging packages, but overall it is more accurate.</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3.3  AdaBoost Regression Results (Task 2 — Net Charge)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AdaBoost</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Linear Regression (baseline)</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MAE</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$10.66</w:t>
            </w:r>
          </w:p>
        </w:tc>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$7.28</w:t>
            </w:r>
          </w:p>
        </w:tc>
        <w:tc>
          <w:tcPr>
            <w:tcW w:type="dxa" w:w="21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-$3.38 (worse)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RMSE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$16.70</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$13.05</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-$3.65 (worse)</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R²</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0.4924</w:t>
            </w:r>
          </w:p>
        </w:tc>
        <w:tc>
          <w:tcPr>
            <w:tcW w:type="dxa" w:w="30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0.6897</w:t>
            </w:r>
          </w:p>
        </w:tc>
        <w:tc>
          <w:tcPr>
            <w:tcW w:type="dxa" w:w="21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-0.197 (worse)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1A1A" w:sz="3"/>
              <w:left w:val="thick" w:color="8B1A1A" w:sz="12"/>
              <w:bottom w:val="single" w:color="8B1A1A" w:sz="3"/>
              <w:right w:val="single" w:color="8B1A1A" w:sz="3"/>
            </w:tcBorders>
            <w:shd w:fill="FAE0E0" w:val="clear"/>
            <w:tcMar>
              <w:top w:type="dxa" w:w="120"/>
              <w:left w:type="dxa" w:w="200"/>
              <w:bottom w:type="dxa" w:w="120"/>
              <w:right w:type="dxa" w:w="200"/>
            </w:tcMar>
          </w:tcPr>
          <w:p>
            <w:pPr>
              <w:spacing w:before="0" w:after="40"/>
            </w:pPr>
            <w:r>
              <w:rPr>
                <w:rFonts w:ascii="Calibri" w:cs="Calibri" w:eastAsia="Calibri" w:hAnsi="Calibri"/>
                <w:b/>
                <w:bCs/>
                <w:color w:val="8B1A1A"/>
                <w:sz w:val="20"/>
                <w:szCs w:val="20"/>
              </w:rPr>
              <w:t xml:space="preserve">Why AdaBoost regression underperformed the baseline</w:t>
            </w:r>
          </w:p>
          <w:p>
            <w:pPr>
              <w:spacing w:before="0" w:after="0"/>
            </w:pPr>
            <w:r>
              <w:rPr>
                <w:rFonts w:ascii="Calibri" w:cs="Calibri" w:eastAsia="Calibri" w:hAnsi="Calibri"/>
                <w:color w:val="222222"/>
                <w:sz w:val="20"/>
                <w:szCs w:val="20"/>
              </w:rPr>
              <w:t xml:space="preserve">AdaBoost regression is fundamentally weaker than AdaBoost classification. The stumps used for regression (max_depth=3 trees here, deeper than the classification stumps) are still relatively simple and struggle to capture the complex interactions between weight, zone, service type, and cost. Linear regression has a structural advantage for cost prediction because shipping cost has genuine linear components (cost per pound, per zone increment). AdaBoost's strength is correcting misclassified examples — less relevant when the error is continuous. XGBoost addresses this problem with deeper trees, gradient-based optimization, and regularization.</w:t>
            </w:r>
          </w:p>
        </w:tc>
      </w:tr>
    </w:tbl>
    <w:p>
      <w:r>
        <w:br w:type="page"/>
      </w:r>
    </w:p>
    <w:p>
      <w:pPr>
        <w:pStyle w:val="Heading1"/>
        <w:spacing w:before="400" w:after="120"/>
      </w:pPr>
      <w:r>
        <w:rPr>
          <w:rFonts w:ascii="Georgia" w:cs="Georgia" w:eastAsia="Georgia" w:hAnsi="Georgia"/>
          <w:b/>
          <w:bCs/>
          <w:color w:val="1F3864"/>
          <w:sz w:val="36"/>
          <w:szCs w:val="36"/>
        </w:rPr>
        <w:t xml:space="preserve">4. XGBoost Models</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XGBoost (Extreme Gradient Boosting) is a more sophisticated boosting framework. Unlike AdaBoost which reweights examples, XGBoost fits each new tree to the residuals (errors) of all previous trees, using second-order gradient information for more precise updates. It also includes built-in regularization to prevent overfitting.</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4.1  Key Hyperparameters Explained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440"/>
        <w:gridCol w:w="5160"/>
      </w:tblGrid>
      <w:tr>
        <w:tc>
          <w:tcPr>
            <w:tcW w:type="dxa" w:w="27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Parameter</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What it controls</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n_estimators</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500 / 1000</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Max number of trees. Early stopping prevents all from being used.</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max_depth</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6</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Each tree can ask up to 6 yes/no questions. Deeper = more complex patterns but more overfitting risk.</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subsample</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0.8</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Each tree only sees 80% of training rows (random sample). Reduces overfitting by adding randomness.</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colsample_bytree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0.8</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Each tree only sees 80% of features. Same anti-overfitting logic, applied to columns.</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reg_alpha / reg_lambda</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0.1 / 1.0</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L1 and L2 regularization. Penalizes large weights to keep the model from overcomplicating.</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scale_pos_weight</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auto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Classification only. Set to neg_count / pos_count to handle class imbalance (DIM=N outnumbers DIM=Y).</w:t>
            </w:r>
          </w:p>
        </w:tc>
      </w:tr>
      <w:tr>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early_stopping_rounds</w:t>
            </w:r>
          </w:p>
        </w:tc>
        <w:tc>
          <w:tcPr>
            <w:tcW w:type="dxa" w:w="14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20</w:t>
            </w:r>
          </w:p>
        </w:tc>
        <w:tc>
          <w:tcPr>
            <w:tcW w:type="dxa" w:w="5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Stop training if validation loss doesn't improve for 20 consecutive rounds. Prevents wasted compute and overfitting.</w:t>
            </w:r>
          </w:p>
        </w:tc>
      </w:tr>
      <w:tr>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learning_rate</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2E5FA3"/>
                <w:sz w:val="20"/>
                <w:szCs w:val="20"/>
              </w:rPr>
              <w:t xml:space="preserve">0.05 (reg)</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Regression uses a smaller learning rate (0.05) than classification to give the deeper tree sequence more room to converge.</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4.2  Early Stopping — What It Means</w:t>
      </w:r>
    </w:p>
    <w:p>
      <w:pPr>
        <w:spacing w:before="60" w:after="80"/>
      </w:pPr>
      <w:r>
        <w:rPr>
          <w:rFonts w:ascii="Calibri" w:cs="Calibri" w:eastAsia="Calibri" w:hAnsi="Calibri"/>
          <w:color w:val="222222"/>
          <w:sz w:val="22"/>
          <w:szCs w:val="22"/>
        </w:rPr>
        <w:t xml:space="preserve">Both XGBoost models used early stopping, which is why they stopped well before their n_estimators limit:</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XGBoost Classification: stopped at 63 trees (of 500 possible). The validation log loss stopped improving at tree 63, meaning additional trees would have overfit.</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XGBoost Regression: stopped at 593 trees (of 1000 possible). Regression is harder — more trees were needed to capture the cost structure before the model plateaued.</w:t>
      </w:r>
    </w:p>
    <w:p>
      <w:pPr>
        <w:spacing w:before="0" w:after="0"/>
      </w:pPr>
      <w:r>
        <w:t xml:space="preserve"/>
      </w:r>
    </w:p>
    <w:p>
      <w:pPr>
        <w:spacing w:before="60" w:after="80"/>
      </w:pPr>
      <w:r>
        <w:rPr>
          <w:rFonts w:ascii="Calibri" w:cs="Calibri" w:eastAsia="Calibri" w:hAnsi="Calibri"/>
          <w:color w:val="222222"/>
          <w:sz w:val="22"/>
          <w:szCs w:val="22"/>
        </w:rPr>
        <w:t xml:space="preserve">Early stopping is a key advantage of XGBoost over AdaBoost. It automatically finds the right model complexity without manual tuning of n_estimators.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4.3  XGBoost Classification Results (Task 1 — DIM Flag)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XGBoost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AdaBoost</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Baseline (LR)</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Accuracy</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0.9990</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0.9960</w:t>
            </w:r>
          </w:p>
        </w:tc>
        <w:tc>
          <w:tcPr>
            <w:tcW w:type="dxa" w:w="33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0.9931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Precision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0.9986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0.9939</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Recall</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0.9991</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0.9962</w:t>
            </w:r>
          </w:p>
        </w:tc>
        <w:tc>
          <w:tcPr>
            <w:tcW w:type="dxa" w:w="33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0.9986</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F1 Score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0.9988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0.9951</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0.9916</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ROC AUC</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0.9999</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0.9992</w:t>
            </w:r>
          </w:p>
        </w:tc>
        <w:tc>
          <w:tcPr>
            <w:tcW w:type="dxa" w:w="33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0.9940</w:t>
            </w:r>
          </w:p>
        </w:tc>
      </w:tr>
    </w:tbl>
    <w:p>
      <w:pPr>
        <w:spacing w:before="0" w:after="0"/>
      </w:pPr>
      <w:r>
        <w:t xml:space="preserve"/>
      </w:r>
    </w:p>
    <w:p>
      <w:pPr>
        <w:spacing w:before="60" w:after="80"/>
      </w:pPr>
      <w:r>
        <w:rPr>
          <w:rFonts w:ascii="Calibri" w:cs="Calibri" w:eastAsia="Calibri" w:hAnsi="Calibri"/>
          <w:color w:val="222222"/>
          <w:sz w:val="22"/>
          <w:szCs w:val="22"/>
        </w:rPr>
        <w:t xml:space="preserve">XGBoost classification is essentially perfect on this dataset. An AUC of 0.9999 means the model almost never confuses a DIM shipment for a non-DIM shipment or vice versa. This is not suspicious — the classification task has genuinely clean separating features (volume and actual weight are strong signals), and XGBoost is exceptionally well-suited to tabular classification problems like this.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4.4  XGBoost Regression Results (Task 2 — Net Charge)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XGBoost</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AdaBoost</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Baseline (Linear Reg)</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MAE</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$4.26</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$10.66</w:t>
            </w:r>
          </w:p>
        </w:tc>
        <w:tc>
          <w:tcPr>
            <w:tcW w:type="dxa" w:w="33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$7.28</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RMSE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$6.73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$16.70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$13.05</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R²</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0.9174</w:t>
            </w:r>
          </w:p>
        </w:tc>
        <w:tc>
          <w:tcPr>
            <w:tcW w:type="dxa" w:w="18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0.4924</w:t>
            </w:r>
          </w:p>
        </w:tc>
        <w:tc>
          <w:tcPr>
            <w:tcW w:type="dxa" w:w="33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0.6897</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6B3C" w:sz="3"/>
              <w:left w:val="thick" w:color="1E6B3C" w:sz="12"/>
              <w:bottom w:val="single" w:color="1E6B3C" w:sz="3"/>
              <w:right w:val="single" w:color="1E6B3C" w:sz="3"/>
            </w:tcBorders>
            <w:shd w:fill="D6F0E0" w:val="clear"/>
            <w:tcMar>
              <w:top w:type="dxa" w:w="120"/>
              <w:left w:type="dxa" w:w="200"/>
              <w:bottom w:type="dxa" w:w="120"/>
              <w:right w:type="dxa" w:w="200"/>
            </w:tcMar>
          </w:tcPr>
          <w:p>
            <w:pPr>
              <w:spacing w:before="0" w:after="40"/>
            </w:pPr>
            <w:r>
              <w:rPr>
                <w:rFonts w:ascii="Calibri" w:cs="Calibri" w:eastAsia="Calibri" w:hAnsi="Calibri"/>
                <w:b/>
                <w:bCs/>
                <w:color w:val="1E6B3C"/>
                <w:sz w:val="20"/>
                <w:szCs w:val="20"/>
              </w:rPr>
              <w:t xml:space="preserve">What R² = 0.9174 actually means</w:t>
            </w:r>
          </w:p>
          <w:p>
            <w:pPr>
              <w:spacing w:before="0" w:after="0"/>
            </w:pPr>
            <w:r>
              <w:rPr>
                <w:rFonts w:ascii="Calibri" w:cs="Calibri" w:eastAsia="Calibri" w:hAnsi="Calibri"/>
                <w:color w:val="222222"/>
                <w:sz w:val="20"/>
                <w:szCs w:val="20"/>
              </w:rPr>
              <w:t xml:space="preserve">R² (R-squared) measures what fraction of the total variance in net charges the model explains. A value of 0.9174 means XGBoost explains 91.7% of the variance in shipping costs. The remaining 8.3% is unexplained — driven by FedEx pricing factors not present in the dataset (fuel surcharges, negotiated rate changes, accessorial fees).
For context: the baseline linear regression explained 68.97% of variance. XGBoost improved this by ~23 percentage points — a large gain. The R² improvement from the outlier removal alone accounts for roughly 10 of those points.</w:t>
            </w:r>
          </w:p>
        </w:tc>
      </w:tr>
    </w:tbl>
    <w:p>
      <w:pPr>
        <w:spacing w:before="0" w:after="0"/>
      </w:pPr>
      <w:r>
        <w:t xml:space="preserve"/>
      </w:r>
    </w:p>
    <w:p>
      <w:pPr>
        <w:spacing w:before="60" w:after="80"/>
      </w:pPr>
      <w:r>
        <w:rPr>
          <w:rFonts w:ascii="Calibri" w:cs="Calibri" w:eastAsia="Calibri" w:hAnsi="Calibri"/>
          <w:color w:val="222222"/>
          <w:sz w:val="22"/>
          <w:szCs w:val="22"/>
        </w:rPr>
        <w:t xml:space="preserve">MAE of $4.26 means the model's predictions are off by $4.26 on average. Given that most shipments cost between $40 and $70, this represents roughly a 6–10% typical error — accurate enough to be genuinely useful for pre-shipment cost estimation and quoting.</w:t>
      </w:r>
    </w:p>
    <w:p>
      <w:r>
        <w:br w:type="page"/>
      </w:r>
    </w:p>
    <w:p>
      <w:pPr>
        <w:pStyle w:val="Heading1"/>
        <w:spacing w:before="400" w:after="120"/>
      </w:pPr>
      <w:r>
        <w:rPr>
          <w:rFonts w:ascii="Georgia" w:cs="Georgia" w:eastAsia="Georgia" w:hAnsi="Georgia"/>
          <w:b/>
          <w:bCs/>
          <w:color w:val="1F3864"/>
          <w:sz w:val="36"/>
          <w:szCs w:val="36"/>
        </w:rPr>
        <w:t xml:space="preserve">5. SHAP Feature Importance</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SHAP (SHapley Additive exPlanations) was used to interpret both XGBoost models. SHAP provides a signed importance value for every feature on every individual prediction — not just an aggregate rank.</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5.1  What SHAP Values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SHAP value</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1E6B3C"/>
                <w:sz w:val="20"/>
                <w:szCs w:val="20"/>
              </w:rPr>
              <w:t xml:space="preserve">Positive (right side of plot)</w:t>
            </w:r>
          </w:p>
        </w:tc>
        <w:tc>
          <w:tcPr>
            <w:tcW w:type="dxa" w:w="696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This feature pushed the prediction in the positive direction (toward DIM=Y for classification, toward higher cost for regression)</w:t>
            </w:r>
          </w:p>
        </w:tc>
      </w:tr>
      <w:tr>
        <w:tc>
          <w:tcPr>
            <w:tcW w:type="dxa" w:w="240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8B1A1A"/>
                <w:sz w:val="20"/>
                <w:szCs w:val="20"/>
              </w:rPr>
              <w:t xml:space="preserve">Negative (left side of plot)</w:t>
            </w:r>
          </w:p>
        </w:tc>
        <w:tc>
          <w:tcPr>
            <w:tcW w:type="dxa" w:w="6960"/>
            <w:tcBorders>
              <w:top w:val="single" w:color="CCCCCC" w:sz="1"/>
              <w:left w:val="single" w:color="CCCCCC" w:sz="1"/>
              <w:bottom w:val="single" w:color="CCCCCC" w:sz="1"/>
              <w:right w:val="single" w:color="CCCCCC" w:sz="1"/>
            </w:tcBorders>
            <w:shd w:fill="FAE0E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This feature pushed the prediction in the negative direction (toward DIM=N, or toward lower cost)</w:t>
            </w:r>
          </w:p>
        </w:tc>
      </w:tr>
      <w:tr>
        <w:tc>
          <w:tcPr>
            <w:tcW w:type="dxa" w:w="240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pPr>
              <w:jc w:val="left"/>
            </w:pPr>
            <w:r>
              <w:rPr>
                <w:rFonts w:ascii="Calibri" w:cs="Calibri" w:eastAsia="Calibri" w:hAnsi="Calibri"/>
                <w:b w:val="false"/>
                <w:bCs w:val="false"/>
                <w:color w:val="7D3C00"/>
                <w:sz w:val="20"/>
                <w:szCs w:val="20"/>
              </w:rPr>
              <w:t xml:space="preserve">Red dots</w:t>
            </w:r>
          </w:p>
        </w:tc>
        <w:tc>
          <w:tcPr>
            <w:tcW w:type="dxa" w:w="6960"/>
            <w:tcBorders>
              <w:top w:val="single" w:color="CCCCCC" w:sz="1"/>
              <w:left w:val="single" w:color="CCCCCC" w:sz="1"/>
              <w:bottom w:val="single" w:color="CCCCCC" w:sz="1"/>
              <w:right w:val="single" w:color="CCCCCC" w:sz="1"/>
            </w:tcBorders>
            <w:shd w:fill="FDEBD0"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High values of that feature for this prediction</w:t>
            </w:r>
          </w:p>
        </w:tc>
      </w:tr>
      <w:tr>
        <w:tc>
          <w:tcPr>
            <w:tcW w:type="dxa" w:w="240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Blue dots</w:t>
            </w:r>
          </w:p>
        </w:tc>
        <w:tc>
          <w:tcPr>
            <w:tcW w:type="dxa" w:w="696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Low values of that feature for this prediction</w:t>
            </w:r>
          </w:p>
        </w:tc>
      </w:tr>
    </w:tbl>
    <w:p>
      <w:pPr>
        <w:spacing w:before="0" w:after="0"/>
      </w:pPr>
      <w:r>
        <w:t xml:space="preserve"/>
      </w:r>
    </w:p>
    <w:p>
      <w:pPr>
        <w:spacing w:before="60" w:after="80"/>
      </w:pPr>
      <w:r>
        <w:rPr>
          <w:rFonts w:ascii="Calibri" w:cs="Calibri" w:eastAsia="Calibri" w:hAnsi="Calibri"/>
          <w:color w:val="222222"/>
          <w:sz w:val="22"/>
          <w:szCs w:val="22"/>
        </w:rPr>
        <w:t xml:space="preserve">Unlike basic feature_importances_ (which only counts how often a feature is used), SHAP shows both direction and magnitude. A feature used in many splits with tiny effects will have lower SHAP values than a feature used rarely but with large effects.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5.2  Expected SHAP Findings — Classification</w:t>
      </w:r>
    </w:p>
    <w:p>
      <w:pPr>
        <w:spacing w:before="60" w:after="80"/>
      </w:pPr>
      <w:r>
        <w:rPr>
          <w:rFonts w:ascii="Calibri" w:cs="Calibri" w:eastAsia="Calibri" w:hAnsi="Calibri"/>
          <w:color w:val="222222"/>
          <w:sz w:val="22"/>
          <w:szCs w:val="22"/>
        </w:rPr>
        <w:t xml:space="preserve">The beeswarm plot for the DIM flag classifier (saved as figures/shap_cls_beeswarm.png) should show:</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volume and dim_weight_ratio as top features — high values (large, bulky packages) push toward DIM=Y</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Original Weight as a negative driver — high weight pushes toward DIM=N (heavy packages are less likely to be DIM-flagged)</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Pricing zone and service type as secondary features — certain zones and service types (QH — Home Delivery) are associated with higher DIM rates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Height, Width, Length having individual positive effects — each dimension contributes to volume</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5.3  Expected SHAP Findings — Regression</w:t>
      </w:r>
    </w:p>
    <w:p>
      <w:pPr>
        <w:spacing w:before="60" w:after="80"/>
      </w:pPr>
      <w:r>
        <w:rPr>
          <w:rFonts w:ascii="Calibri" w:cs="Calibri" w:eastAsia="Calibri" w:hAnsi="Calibri"/>
          <w:color w:val="222222"/>
          <w:sz w:val="22"/>
          <w:szCs w:val="22"/>
        </w:rPr>
        <w:t xml:space="preserve">The beeswarm plot for the cost predictor (saved as figures/shap_reg_beeswarm.png) should show:</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Original Weight as the dominant positive feature — heavier packages cost more, shown by red dots far right</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Pricing zone as a strong positive feature — higher zone numbers (longer distance) push cost up</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Shipment Freight Charge Amount USD — closely related to the target, strong positive effect</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dim_flag as a moderate negative feature — DIM-flagged packages are lighter and thus cheaper overall</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Discount Amount as a negative feature — larger discounts (negative values) reduce net charge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235A" w:sz="3"/>
              <w:left w:val="thick" w:color="4A235A" w:sz="12"/>
              <w:bottom w:val="single" w:color="4A235A" w:sz="3"/>
              <w:right w:val="single" w:color="4A235A" w:sz="3"/>
            </w:tcBorders>
            <w:shd w:fill="EFE0F7" w:val="clear"/>
            <w:tcMar>
              <w:top w:type="dxa" w:w="120"/>
              <w:left w:type="dxa" w:w="200"/>
              <w:bottom w:type="dxa" w:w="120"/>
              <w:right w:type="dxa" w:w="200"/>
            </w:tcMar>
          </w:tcPr>
          <w:p>
            <w:pPr>
              <w:spacing w:before="0" w:after="40"/>
            </w:pPr>
            <w:r>
              <w:rPr>
                <w:rFonts w:ascii="Calibri" w:cs="Calibri" w:eastAsia="Calibri" w:hAnsi="Calibri"/>
                <w:b/>
                <w:bCs/>
                <w:color w:val="4A235A"/>
                <w:sz w:val="20"/>
                <w:szCs w:val="20"/>
              </w:rPr>
              <w:t xml:space="preserve">Why SHAP matters for the presentation</w:t>
            </w:r>
          </w:p>
          <w:p>
            <w:pPr>
              <w:spacing w:before="0" w:after="0"/>
            </w:pPr>
            <w:r>
              <w:rPr>
                <w:rFonts w:ascii="Calibri" w:cs="Calibri" w:eastAsia="Calibri" w:hAnsi="Calibri"/>
                <w:color w:val="222222"/>
                <w:sz w:val="20"/>
                <w:szCs w:val="20"/>
              </w:rPr>
              <w:t xml:space="preserve">SHAP plots are the most visually compelling evidence that the model learned the right things. When the audience sees that 'volume pushes toward DIM=Y' and 'actual weight pushes toward DIM=N', they can verify the model logic matches physical reality. This is what distinguishes a credible ML project from a black-box number generator.</w:t>
            </w:r>
          </w:p>
        </w:tc>
      </w:tr>
    </w:tbl>
    <w:p>
      <w:r>
        <w:br w:type="page"/>
      </w:r>
    </w:p>
    <w:p>
      <w:pPr>
        <w:pStyle w:val="Heading1"/>
        <w:spacing w:before="400" w:after="120"/>
      </w:pPr>
      <w:r>
        <w:rPr>
          <w:rFonts w:ascii="Georgia" w:cs="Georgia" w:eastAsia="Georgia" w:hAnsi="Georgia"/>
          <w:b/>
          <w:bCs/>
          <w:color w:val="1F3864"/>
          <w:sz w:val="36"/>
          <w:szCs w:val="36"/>
        </w:rPr>
        <w:t xml:space="preserve">6. Full Results Comparison — All Models</w:t>
      </w:r>
    </w:p>
    <w:p>
      <w:pPr>
        <w:pBdr>
          <w:bottom w:val="single" w:color="2E5FA3" w:sz="6" w:space="4"/>
        </w:pBdr>
        <w:spacing w:before="40" w:after="120"/>
      </w:pPr>
      <w:r>
        <w:t xml:space="preserve"/>
      </w:r>
    </w:p>
    <w:p>
      <w:pPr>
        <w:spacing w:before="60" w:after="80"/>
      </w:pPr>
      <w:r>
        <w:rPr>
          <w:rFonts w:ascii="Calibri" w:cs="Calibri" w:eastAsia="Calibri" w:hAnsi="Calibri"/>
          <w:color w:val="222222"/>
          <w:sz w:val="22"/>
          <w:szCs w:val="22"/>
        </w:rPr>
        <w:t xml:space="preserve">Complete performance summary across all four gradient boosting models and the baselines. These numbers come directly from the notebook's summary cell output.</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6.1  Task 1 — DIM Flag Classification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c>
          <w:tcPr>
            <w:tcW w:type="dxa" w:w="26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Model</w:t>
            </w:r>
          </w:p>
        </w:tc>
        <w:tc>
          <w:tcPr>
            <w:tcW w:type="dxa" w:w="1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Accuracy</w:t>
            </w:r>
          </w:p>
        </w:tc>
        <w:tc>
          <w:tcPr>
            <w:tcW w:type="dxa" w:w="1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Recall</w:t>
            </w:r>
          </w:p>
        </w:tc>
        <w:tc>
          <w:tcPr>
            <w:tcW w:type="dxa" w:w="1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F1 Score</w:t>
            </w:r>
          </w:p>
        </w:tc>
        <w:tc>
          <w:tcPr>
            <w:tcW w:type="dxa" w:w="1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ROC AUC</w:t>
            </w:r>
          </w:p>
        </w:tc>
      </w:tr>
      <w:tr>
        <w:tc>
          <w:tcPr>
            <w:tcW w:type="dxa" w:w="26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Logistic Regression</w:t>
            </w:r>
          </w:p>
        </w:tc>
        <w:tc>
          <w:tcPr>
            <w:tcW w:type="dxa" w:w="1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0.9931</w:t>
            </w:r>
          </w:p>
        </w:tc>
        <w:tc>
          <w:tcPr>
            <w:tcW w:type="dxa" w:w="1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0.9986</w:t>
            </w:r>
          </w:p>
        </w:tc>
        <w:tc>
          <w:tcPr>
            <w:tcW w:type="dxa" w:w="1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0.9916</w:t>
            </w:r>
          </w:p>
        </w:tc>
        <w:tc>
          <w:tcPr>
            <w:tcW w:type="dxa" w:w="168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0.9940</w:t>
            </w:r>
          </w:p>
        </w:tc>
      </w:tr>
      <w:tr>
        <w:tc>
          <w:tcPr>
            <w:tcW w:type="dxa" w:w="2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AdaBoost</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0.9960</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0.9962</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0.9951</w:t>
            </w:r>
          </w:p>
        </w:tc>
        <w:tc>
          <w:tcPr>
            <w:tcW w:type="dxa" w:w="1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0.9992</w:t>
            </w:r>
          </w:p>
        </w:tc>
      </w:tr>
      <w:tr>
        <w:tc>
          <w:tcPr>
            <w:tcW w:type="dxa" w:w="26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XGBoost</w:t>
            </w:r>
          </w:p>
        </w:tc>
        <w:tc>
          <w:tcPr>
            <w:tcW w:type="dxa" w:w="168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0.9990</w:t>
            </w:r>
          </w:p>
        </w:tc>
        <w:tc>
          <w:tcPr>
            <w:tcW w:type="dxa" w:w="168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0.9991</w:t>
            </w:r>
          </w:p>
        </w:tc>
        <w:tc>
          <w:tcPr>
            <w:tcW w:type="dxa" w:w="168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0.9988</w:t>
            </w:r>
          </w:p>
        </w:tc>
        <w:tc>
          <w:tcPr>
            <w:tcW w:type="dxa" w:w="168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0.9999</w:t>
            </w:r>
          </w:p>
        </w:tc>
      </w:tr>
      <w:tr>
        <w:tc>
          <w:tcPr>
            <w:tcW w:type="dxa" w:w="26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PyTorch Lightning FFNN</w:t>
            </w:r>
          </w:p>
        </w:tc>
        <w:tc>
          <w:tcPr>
            <w:tcW w:type="dxa" w:w="168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TBD</w:t>
            </w:r>
          </w:p>
        </w:tc>
        <w:tc>
          <w:tcPr>
            <w:tcW w:type="dxa" w:w="168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TBD</w:t>
            </w:r>
          </w:p>
        </w:tc>
        <w:tc>
          <w:tcPr>
            <w:tcW w:type="dxa" w:w="168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TBD</w:t>
            </w:r>
          </w:p>
        </w:tc>
        <w:tc>
          <w:tcPr>
            <w:tcW w:type="dxa" w:w="168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TBD</w:t>
            </w:r>
          </w:p>
        </w:tc>
      </w:tr>
    </w:tbl>
    <w:p>
      <w:pPr>
        <w:spacing w:before="0" w:after="0"/>
      </w:pPr>
      <w:r>
        <w:t xml:space="preserve"/>
      </w:r>
    </w:p>
    <w:p>
      <w:pPr>
        <w:pStyle w:val="Heading2"/>
        <w:spacing w:before="280" w:after="80"/>
      </w:pPr>
      <w:r>
        <w:rPr>
          <w:rFonts w:ascii="Georgia" w:cs="Georgia" w:eastAsia="Georgia" w:hAnsi="Georgia"/>
          <w:b/>
          <w:bCs/>
          <w:color w:val="2E5FA3"/>
          <w:sz w:val="26"/>
          <w:szCs w:val="26"/>
        </w:rPr>
        <w:t xml:space="preserve">6.2  Task 2 — Net Charge Regression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2240"/>
        <w:gridCol w:w="2240"/>
        <w:gridCol w:w="2240"/>
      </w:tblGrid>
      <w:tr>
        <w:tc>
          <w:tcPr>
            <w:tcW w:type="dxa" w:w="26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Model</w:t>
            </w:r>
          </w:p>
        </w:tc>
        <w:tc>
          <w:tcPr>
            <w:tcW w:type="dxa" w:w="22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MAE</w:t>
            </w:r>
          </w:p>
        </w:tc>
        <w:tc>
          <w:tcPr>
            <w:tcW w:type="dxa" w:w="22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RMSE</w:t>
            </w:r>
          </w:p>
        </w:tc>
        <w:tc>
          <w:tcPr>
            <w:tcW w:type="dxa" w:w="22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R²</w:t>
            </w:r>
          </w:p>
        </w:tc>
      </w:tr>
      <w:tr>
        <w:tc>
          <w:tcPr>
            <w:tcW w:type="dxa" w:w="26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Linear Regression</w:t>
            </w:r>
          </w:p>
        </w:tc>
        <w:tc>
          <w:tcPr>
            <w:tcW w:type="dxa" w:w="2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$7.28</w:t>
            </w:r>
          </w:p>
        </w:tc>
        <w:tc>
          <w:tcPr>
            <w:tcW w:type="dxa" w:w="2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$13.05</w:t>
            </w:r>
          </w:p>
        </w:tc>
        <w:tc>
          <w:tcPr>
            <w:tcW w:type="dxa" w:w="22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0.6897</w:t>
            </w:r>
          </w:p>
        </w:tc>
      </w:tr>
      <w:tr>
        <w:tc>
          <w:tcPr>
            <w:tcW w:type="dxa" w:w="26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AdaBoost</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$10.66</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$16.70</w:t>
            </w:r>
          </w:p>
        </w:tc>
        <w:tc>
          <w:tcPr>
            <w:tcW w:type="dxa" w:w="2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bCs/>
                <w:color w:val="8B1A1A"/>
                <w:sz w:val="20"/>
                <w:szCs w:val="20"/>
              </w:rPr>
              <w:t xml:space="preserve">0.4924</w:t>
            </w:r>
          </w:p>
        </w:tc>
      </w:tr>
      <w:tr>
        <w:tc>
          <w:tcPr>
            <w:tcW w:type="dxa" w:w="26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XGBoost</w:t>
            </w:r>
          </w:p>
        </w:tc>
        <w:tc>
          <w:tcPr>
            <w:tcW w:type="dxa" w:w="22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$4.26</w:t>
            </w:r>
          </w:p>
        </w:tc>
        <w:tc>
          <w:tcPr>
            <w:tcW w:type="dxa" w:w="22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$6.73</w:t>
            </w:r>
          </w:p>
        </w:tc>
        <w:tc>
          <w:tcPr>
            <w:tcW w:type="dxa" w:w="2240"/>
            <w:tcBorders>
              <w:top w:val="single" w:color="CCCCCC" w:sz="1"/>
              <w:left w:val="single" w:color="CCCCCC" w:sz="1"/>
              <w:bottom w:val="single" w:color="CCCCCC" w:sz="1"/>
              <w:right w:val="single" w:color="CCCCCC" w:sz="1"/>
            </w:tcBorders>
            <w:shd w:fill="D6F0E0" w:val="clear"/>
            <w:tcMar>
              <w:top w:type="dxa" w:w="100"/>
              <w:left w:type="dxa" w:w="150"/>
              <w:bottom w:type="dxa" w:w="100"/>
              <w:right w:type="dxa" w:w="150"/>
            </w:tcMar>
          </w:tcPr>
          <w:p>
            <w:pPr>
              <w:jc w:val="left"/>
            </w:pPr>
            <w:r>
              <w:rPr>
                <w:rFonts w:ascii="Calibri" w:cs="Calibri" w:eastAsia="Calibri" w:hAnsi="Calibri"/>
                <w:b/>
                <w:bCs/>
                <w:color w:val="1E6B3C"/>
                <w:sz w:val="20"/>
                <w:szCs w:val="20"/>
              </w:rPr>
              <w:t xml:space="preserve">0.9174</w:t>
            </w:r>
          </w:p>
        </w:tc>
      </w:tr>
      <w:tr>
        <w:tc>
          <w:tcPr>
            <w:tcW w:type="dxa" w:w="26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PyTorch Lightning FFNN</w:t>
            </w:r>
          </w:p>
        </w:tc>
        <w:tc>
          <w:tcPr>
            <w:tcW w:type="dxa" w:w="22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TBD</w:t>
            </w:r>
          </w:p>
        </w:tc>
        <w:tc>
          <w:tcPr>
            <w:tcW w:type="dxa" w:w="22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TBD</w:t>
            </w:r>
          </w:p>
        </w:tc>
        <w:tc>
          <w:tcPr>
            <w:tcW w:type="dxa" w:w="2240"/>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pPr>
              <w:jc w:val="left"/>
            </w:pPr>
            <w:r>
              <w:rPr>
                <w:rFonts w:ascii="Calibri" w:cs="Calibri" w:eastAsia="Calibri" w:hAnsi="Calibri"/>
                <w:b w:val="false"/>
                <w:bCs w:val="false"/>
                <w:color w:val="2E5FA3"/>
                <w:sz w:val="20"/>
                <w:szCs w:val="20"/>
              </w:rPr>
              <w:t xml:space="preserve">TBD</w:t>
            </w:r>
          </w:p>
        </w:tc>
      </w:tr>
    </w:tbl>
    <w:p>
      <w:pPr>
        <w:spacing w:before="0" w:after="0"/>
      </w:pPr>
      <w:r>
        <w:t xml:space="preserve"/>
      </w:r>
    </w:p>
    <w:p>
      <w:pPr>
        <w:spacing w:before="60" w:after="80"/>
      </w:pPr>
      <w:r>
        <w:rPr>
          <w:rFonts w:ascii="Calibri" w:cs="Calibri" w:eastAsia="Calibri" w:hAnsi="Calibri"/>
          <w:color w:val="222222"/>
          <w:sz w:val="22"/>
          <w:szCs w:val="22"/>
        </w:rPr>
        <w:t xml:space="preserve">Note: Baseline numbers in this notebook (Linear Reg MAE $7.28, RMSE $13.05, R² 0.6897) differ slightly from the initial EDA projection (MAE $8.34, RMSE $23.70, R² 0.6982) because the baseline was also re-run after the outlier removal and leakage fix.</w:t>
      </w:r>
    </w:p>
    <w:p>
      <w:r>
        <w:br w:type="page"/>
      </w:r>
    </w:p>
    <w:p>
      <w:pPr>
        <w:pStyle w:val="Heading1"/>
        <w:spacing w:before="400" w:after="120"/>
      </w:pPr>
      <w:r>
        <w:rPr>
          <w:rFonts w:ascii="Georgia" w:cs="Georgia" w:eastAsia="Georgia" w:hAnsi="Georgia"/>
          <w:b/>
          <w:bCs/>
          <w:color w:val="1F3864"/>
          <w:sz w:val="36"/>
          <w:szCs w:val="36"/>
        </w:rPr>
        <w:t xml:space="preserve">7. Key Takeaways &amp; Decisions for Next Notebooks</w:t>
      </w:r>
    </w:p>
    <w:p>
      <w:pPr>
        <w:pBdr>
          <w:bottom w:val="single" w:color="2E5FA3" w:sz="6" w:space="4"/>
        </w:pBdr>
        <w:spacing w:before="40" w:after="120"/>
      </w:pPr>
      <w:r>
        <w:t xml:space="preserve"/>
      </w:r>
    </w:p>
    <w:p>
      <w:pPr>
        <w:pStyle w:val="Heading2"/>
        <w:spacing w:before="280" w:after="80"/>
      </w:pPr>
      <w:r>
        <w:rPr>
          <w:rFonts w:ascii="Georgia" w:cs="Georgia" w:eastAsia="Georgia" w:hAnsi="Georgia"/>
          <w:b/>
          <w:bCs/>
          <w:color w:val="2E5FA3"/>
          <w:sz w:val="26"/>
          <w:szCs w:val="26"/>
        </w:rPr>
        <w:t xml:space="preserve">7.1  What worked</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XGBoost is the clear winner on both tasks — near-perfect classification (AUC 0.9999) and strong regression (R² 0.9174, MAE $4.26)</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Early stopping was essential — XGBoost classification only needed 63 trees out of 500. Without early stopping it would have overfit.</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The outlier removal (dropping net charges &gt; $200) was the highest-impact single intervention in the entire project so far, improving regression R² by ~10 percentage points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SHAP confirmed the model learned physically meaningful relationships — not spurious correlations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7.2  What to watch for in the neural network notebooks</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PyTorch Lightning will use the SCALED parquet files — make sure 02_preprocessing.py produces train_scaled.parquet as a separate artifact</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The XGBoost regression benchmark is tough: MAE $4.26, R² 0.9174. Neural networks often underperform XGBoost on tabular data — the goal is to get close, not necessarily beat it</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For the neural network, Huber loss may outperform MSE even after the outlier removal — the $150–200 range still has some variance that Huber handles better</w:t>
      </w:r>
    </w:p>
    <w:p>
      <w:pPr>
        <w:pStyle w:val="ListParagraph"/>
        <w:numPr>
          <w:ilvl w:val="0"/>
          <w:numId w:val="2"/>
        </w:numPr>
        <w:spacing w:before="40" w:after="40"/>
      </w:pPr>
      <w:r>
        <w:rPr>
          <w:rFonts w:ascii="Calibri" w:cs="Calibri" w:eastAsia="Calibri" w:hAnsi="Calibri"/>
          <w:b w:val="false"/>
          <w:bCs w:val="false"/>
          <w:color w:val="222222"/>
          <w:sz w:val="22"/>
          <w:szCs w:val="22"/>
        </w:rPr>
        <w:t xml:space="preserve">The leakage exclusion list must be applied identically: feature_cols must exclude dim_flag, log_net_charge, and Net Charge Billed Currency in all future notebooks</w:t>
      </w:r>
    </w:p>
    <w:p>
      <w:pPr>
        <w:spacing w:before="0" w:after="0"/>
      </w:pPr>
      <w:r>
        <w:t xml:space="preserve"/>
      </w:r>
    </w:p>
    <w:p>
      <w:pPr>
        <w:pStyle w:val="Heading2"/>
        <w:spacing w:before="280" w:after="80"/>
      </w:pPr>
      <w:r>
        <w:rPr>
          <w:rFonts w:ascii="Georgia" w:cs="Georgia" w:eastAsia="Georgia" w:hAnsi="Georgia"/>
          <w:b/>
          <w:bCs/>
          <w:color w:val="2E5FA3"/>
          <w:sz w:val="26"/>
          <w:szCs w:val="26"/>
        </w:rPr>
        <w:t xml:space="preserve">7.3  Figures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5520"/>
      </w:tblGrid>
      <w:tr>
        <w:tc>
          <w:tcPr>
            <w:tcW w:type="dxa" w:w="384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File</w:t>
            </w:r>
          </w:p>
        </w:tc>
        <w:tc>
          <w:tcPr>
            <w:tcW w:type="dxa" w:w="552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rFonts w:ascii="Calibri" w:cs="Calibri" w:eastAsia="Calibri" w:hAnsi="Calibri"/>
                <w:b/>
                <w:bCs/>
                <w:color w:val="FFFFFF"/>
                <w:sz w:val="20"/>
                <w:szCs w:val="20"/>
              </w:rPr>
              <w:t xml:space="preserve">Contents</w:t>
            </w:r>
          </w:p>
        </w:tc>
      </w:tr>
      <w:tr>
        <w:tc>
          <w:tcPr>
            <w:tcW w:type="dxa" w:w="38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figures/boosting_cls_confusion.png</w:t>
            </w:r>
          </w:p>
        </w:tc>
        <w:tc>
          <w:tcPr>
            <w:tcW w:type="dxa" w:w="55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Side-by-side confusion matrices: AdaBoost (Blues) and XGBoost (Greens) on DIM flag classification</w:t>
            </w:r>
          </w:p>
        </w:tc>
      </w:tr>
      <w:tr>
        <w:tc>
          <w:tcPr>
            <w:tcW w:type="dxa" w:w="38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figures/boosting_reg_scatter.png</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Actual vs predicted net charge scatter plots for both AdaBoost and XGBoost regression</w:t>
            </w:r>
          </w:p>
        </w:tc>
      </w:tr>
      <w:tr>
        <w:tc>
          <w:tcPr>
            <w:tcW w:type="dxa" w:w="38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figures/shap_cls_beeswarm.png</w:t>
            </w:r>
          </w:p>
        </w:tc>
        <w:tc>
          <w:tcPr>
            <w:tcW w:type="dxa" w:w="552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SHAP beeswarm plot — top 15 features driving DIM flag predictions</w:t>
            </w:r>
          </w:p>
        </w:tc>
      </w:tr>
      <w:tr>
        <w:tc>
          <w:tcPr>
            <w:tcW w:type="dxa" w:w="38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222222"/>
                <w:sz w:val="20"/>
                <w:szCs w:val="20"/>
              </w:rPr>
              <w:t xml:space="preserve">figures/shap_reg_beeswarm.png</w:t>
            </w:r>
          </w:p>
        </w:tc>
        <w:tc>
          <w:tcPr>
            <w:tcW w:type="dxa" w:w="55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Calibri" w:cs="Calibri" w:eastAsia="Calibri" w:hAnsi="Calibri"/>
                <w:b w:val="false"/>
                <w:bCs w:val="false"/>
                <w:color w:val="333333"/>
                <w:sz w:val="20"/>
                <w:szCs w:val="20"/>
              </w:rPr>
              <w:t xml:space="preserve">SHAP beeswarm plot — top 15 features driving net charge predictions</w:t>
            </w:r>
          </w:p>
        </w:tc>
      </w:tr>
    </w:tbl>
    <w:p>
      <w:pPr>
        <w:spacing w:before="0" w:after="0"/>
      </w:pPr>
      <w:r>
        <w:t xml:space="preserve"/>
      </w:r>
    </w:p>
    <w:p>
      <w:pPr>
        <w:spacing w:before="240" w:after="0"/>
        <w:jc w:val="center"/>
      </w:pPr>
      <w:r>
        <w:rPr>
          <w:rFonts w:ascii="Calibri" w:cs="Calibri" w:eastAsia="Calibri" w:hAnsi="Calibri"/>
          <w:i/>
          <w:iCs/>
          <w:color w:val="666666"/>
          <w:sz w:val="20"/>
          <w:szCs w:val="20"/>
        </w:rPr>
        <w:t xml:space="preserve">End of gradient boosting documentation. Next file: docs/05_pytorch_notes.docx</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6"/>
      </w:pBdr>
      <w:tabs>
        <w:tab w:val="right" w:pos="9026"/>
      </w:tabs>
      <w:spacing w:before="80" w:after="0"/>
    </w:pPr>
    <w:r>
      <w:rPr>
        <w:rFonts w:ascii="Calibri" w:cs="Calibri" w:eastAsia="Calibri" w:hAnsi="Calibri"/>
        <w:color w:val="666666"/>
        <w:sz w:val="18"/>
        <w:szCs w:val="18"/>
      </w:rPr>
      <w:t xml:space="preserve">CSE 4309 — Machine Learning  |  UTA Spring 2026</w:t>
    </w:r>
    <w:r>
      <w:rPr>
        <w:rFonts w:ascii="Calibri" w:cs="Calibri" w:eastAsia="Calibri" w:hAnsi="Calibri"/>
        <w:color w:val="666666"/>
        <w:sz w:val="18"/>
        <w:szCs w:val="18"/>
      </w:rPr>
      <w:t xml:space="preserve">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6"/>
      </w:pBdr>
      <w:spacing w:before="0" w:after="80"/>
    </w:pPr>
    <w:r>
      <w:rPr>
        <w:rFonts w:ascii="Calibri" w:cs="Calibri" w:eastAsia="Calibri" w:hAnsi="Calibri"/>
        <w:color w:val="666666"/>
        <w:sz w:val="18"/>
        <w:szCs w:val="18"/>
      </w:rPr>
      <w:t xml:space="preserve">FedEx DIM Weight Predictor  |  docs/04_gradient_boosting_notes.docx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bullet"/>
      <w:lvlText w:val="–"/>
      <w:lvlJc w:val="left"/>
      <w:pPr>
        <w:ind w:left="7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20"/>
      <w:outlineLvl w:val="0"/>
    </w:pPr>
    <w:rPr>
      <w:rFonts w:ascii="Georgia" w:cs="Georgia" w:eastAsia="Georgia" w:hAnsi="Georgia"/>
      <w:b/>
      <w:bCs/>
      <w:color w:val="1F3864"/>
      <w:sz w:val="36"/>
      <w:szCs w:val="36"/>
    </w:rPr>
  </w:style>
  <w:style w:type="paragraph" w:styleId="Heading2">
    <w:name w:val="Heading 2"/>
    <w:basedOn w:val="Normal"/>
    <w:next w:val="Normal"/>
    <w:pPr>
      <w:spacing w:before="280" w:after="80"/>
      <w:outlineLvl w:val="1"/>
    </w:pPr>
    <w:rPr>
      <w:rFonts w:ascii="Georgia" w:cs="Georgia" w:eastAsia="Georgia" w:hAnsi="Georgia"/>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2026-03-28T14:53:09.014Z</dcterms:created>
  <dcterms:modified xsi:type="dcterms:W3CDTF">2026-03-28T14:53:09.015Z</dcterms:modified>
</cp:coreProperties>
</file>

<file path=docProps/custom.xml><?xml version="1.0" encoding="utf-8"?>
<Properties xmlns="http://schemas.openxmlformats.org/officeDocument/2006/custom-properties" xmlns:vt="http://schemas.openxmlformats.org/officeDocument/2006/docPropsVTypes"/>
</file>