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0"/>
      </w:pPr>
      <w:r>
        <w:rPr>
          <w:rFonts w:ascii="Courier New" w:cs="Courier New" w:eastAsia="Courier New" w:hAnsi="Courier New"/>
          <w:color w:val="666666"/>
          <w:sz w:val="24"/>
          <w:szCs w:val="24"/>
        </w:rPr>
        <w:t xml:space="preserve">docs/</w:t>
      </w:r>
    </w:p>
    <w:p>
      <w:pPr>
        <w:spacing w:before="0" w:after="60"/>
      </w:pPr>
      <w:r>
        <w:rPr>
          <w:rFonts w:ascii="Georgia" w:cs="Georgia" w:eastAsia="Georgia" w:hAnsi="Georgia"/>
          <w:b/>
          <w:bCs/>
          <w:color w:val="1F3864"/>
          <w:sz w:val="42"/>
          <w:szCs w:val="42"/>
        </w:rPr>
        <w:t xml:space="preserve">05_pytorch_classification_notes.docx</w:t>
      </w:r>
    </w:p>
    <w:p>
      <w:pPr>
        <w:pBdr>
          <w:bottom w:val="single" w:color="E8A020" w:sz="10" w:space="8"/>
        </w:pBdr>
        <w:spacing w:before="0" w:after="80"/>
      </w:pPr>
      <w:r>
        <w:rPr>
          <w:rFonts w:ascii="Calibri" w:cs="Calibri" w:eastAsia="Calibri" w:hAnsi="Calibri"/>
          <w:color w:val="2E5FA3"/>
          <w:sz w:val="26"/>
          <w:szCs w:val="26"/>
        </w:rPr>
        <w:t xml:space="preserve">PyTorch Lightning Neural Network — Task 1 Classification: DIM Flag Prediction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Script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src/05_pytorch_classification.py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Task</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Task 1 — Binary Classification: predict whether a shipment is DIM-flagged (Y/N)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Architecture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FFNN: 34 → 128 → 64 → 32 → 1 logit  |  15,241 trainable parameters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Hardware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GPU: Apple MPS (Metal Performance Shaders) — used automatically by PyTorch</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Training</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Stopped at epoch 43 of 100 (early stopping, patience=10)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Val results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Accuracy 0.9935  |  Recall 0.9991  |  F1 0.9921  |  AUC 0.9995</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Test results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Accuracy 0.9918  |  Recall 0.9991  |  F1 0.9900  |  AUC 0.9988</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vs XGBoost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XGBoost: Accuracy 0.9990 | F1 0.9988 | AUC 0.9999 — XGBoost marginally wins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Checkpoint saved</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models/pytorch_classifier_best.ckpt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TensorBoard logs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logs/classification/</w:t>
            </w:r>
          </w:p>
        </w:tc>
      </w:tr>
    </w:tbl>
    <w:p>
      <w:pPr>
        <w:spacing w:before="0" w:after="0"/>
      </w:pPr>
      <w:r>
        <w:t xml:space="preserve"/>
      </w:r>
    </w:p>
    <w:p>
      <w:pPr>
        <w:spacing w:before="60" w:after="80"/>
      </w:pPr>
      <w:r>
        <w:rPr>
          <w:rFonts w:ascii="Calibri" w:cs="Calibri" w:eastAsia="Calibri" w:hAnsi="Calibri"/>
          <w:i/>
          <w:iCs/>
          <w:color w:val="666666"/>
          <w:sz w:val="22"/>
          <w:szCs w:val="22"/>
        </w:rPr>
        <w:t xml:space="preserve">This document covers the architecture, training decisions, and results for the DIM flag classification neural network. A key theme: this is a genuinely hard classification problem to improve on — logistic regression already scored AUC 0.9940 at baseline. The neural network reaches AUC 0.9988 on the test set, trailing XGBoost (0.9999) by a narrow margin.</w:t>
      </w:r>
    </w:p>
    <w:p>
      <w:r>
        <w:br w:type="page"/>
      </w:r>
    </w:p>
    <w:p>
      <w:pPr>
        <w:pStyle w:val="Heading1"/>
        <w:spacing w:before="400" w:after="120"/>
      </w:pPr>
      <w:r>
        <w:rPr>
          <w:rFonts w:ascii="Georgia" w:cs="Georgia" w:eastAsia="Georgia" w:hAnsi="Georgia"/>
          <w:b/>
          <w:bCs/>
          <w:color w:val="1F3864"/>
          <w:sz w:val="36"/>
          <w:szCs w:val="36"/>
        </w:rPr>
        <w:t xml:space="preserve">1. Hardware, Data, and Class Imbalance Handling</w:t>
      </w:r>
    </w:p>
    <w:p>
      <w:pPr>
        <w:pBdr>
          <w:bottom w:val="single" w:color="2E5FA3" w:sz="6" w:space="4"/>
        </w:pBdr>
        <w:spacing w:before="40" w:after="120"/>
      </w:pPr>
      <w:r>
        <w:t xml:space="preserve"/>
      </w:r>
    </w:p>
    <w:p>
      <w:pPr>
        <w:pStyle w:val="Heading2"/>
        <w:spacing w:before="280" w:after="80"/>
      </w:pPr>
      <w:r>
        <w:rPr>
          <w:rFonts w:ascii="Georgia" w:cs="Georgia" w:eastAsia="Georgia" w:hAnsi="Georgia"/>
          <w:b/>
          <w:bCs/>
          <w:color w:val="2E5FA3"/>
          <w:sz w:val="26"/>
          <w:szCs w:val="26"/>
        </w:rPr>
        <w:t xml:space="preserve">1.1  GPU Acceleration — Apple MPS</w:t>
      </w:r>
    </w:p>
    <w:p>
      <w:pPr>
        <w:spacing w:before="60" w:after="80"/>
      </w:pPr>
      <w:r>
        <w:rPr>
          <w:rFonts w:ascii="Calibri" w:cs="Calibri" w:eastAsia="Calibri" w:hAnsi="Calibri"/>
          <w:color w:val="222222"/>
          <w:sz w:val="22"/>
          <w:szCs w:val="22"/>
        </w:rPr>
        <w:t xml:space="preserve">The training output confirmed: GPU available: True (mps), used: True. MPS stands for Metal Performance Shaders — Apple Silicon's GPU compute framework. PyTorch Lightning automatically detected and used the Mac's M-series GPU without any code changes needed.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Backend</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What it is</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When PyTorch uses it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CUDA</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NVIDIA GPU compute (most common in ML)</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NVIDIA GPU detected</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MPS (used here)</w:t>
            </w:r>
          </w:p>
        </w:tc>
        <w:tc>
          <w:tcPr>
            <w:tcW w:type="dxa" w:w="34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Apple Silicon GPU (M1, M2, M3, M4)</w:t>
            </w:r>
          </w:p>
        </w:tc>
        <w:tc>
          <w:tcPr>
            <w:tcW w:type="dxa" w:w="34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Mac with Apple Silicon, no NVIDIA card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CPU</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Fallback, no dedicated GPU</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 GPU available</w:t>
            </w:r>
          </w:p>
        </w:tc>
      </w:tr>
    </w:tbl>
    <w:p>
      <w:pPr>
        <w:spacing w:before="0" w:after="0"/>
      </w:pPr>
      <w:r>
        <w:t xml:space="preserve"/>
      </w:r>
    </w:p>
    <w:p>
      <w:pPr>
        <w:spacing w:before="60" w:after="80"/>
      </w:pPr>
      <w:r>
        <w:rPr>
          <w:rFonts w:ascii="Calibri" w:cs="Calibri" w:eastAsia="Calibri" w:hAnsi="Calibri"/>
          <w:color w:val="222222"/>
          <w:sz w:val="22"/>
          <w:szCs w:val="22"/>
        </w:rPr>
        <w:t xml:space="preserve">MPS is meaningfully faster than CPU for matrix operations, which is the dominant computation in neural network forward and backward passes. The 43 training epochs completed in roughly 43 seconds (64.56 it/s × 82 batches ≈ 1 second/epoch), which would have taken several minutes on CPU alone.</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1.2  Data Setup</w:t>
      </w:r>
    </w:p>
    <w:p>
      <w:pPr>
        <w:spacing w:before="60" w:after="80"/>
      </w:pPr>
      <w:r>
        <w:rPr>
          <w:rFonts w:ascii="Calibri" w:cs="Calibri" w:eastAsia="Calibri" w:hAnsi="Calibri"/>
          <w:color w:val="222222"/>
          <w:sz w:val="22"/>
          <w:szCs w:val="22"/>
        </w:rPr>
        <w:t xml:space="preserve">The script loads from the scaled parquet files — the same reasoning as the regression script. Gradient-based optimization (AdamW) requires all input features to be on a comparable scale, which StandardScaler provides.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Split</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Rows</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DIM=N</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DIM=Y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Train</w:t>
            </w:r>
          </w:p>
        </w:tc>
        <w:tc>
          <w:tcPr>
            <w:tcW w:type="dxa" w:w="2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41,820</w:t>
            </w:r>
          </w:p>
        </w:tc>
        <w:tc>
          <w:tcPr>
            <w:tcW w:type="dxa" w:w="2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24,763 (59.2%)</w:t>
            </w:r>
          </w:p>
        </w:tc>
        <w:tc>
          <w:tcPr>
            <w:tcW w:type="dxa" w:w="2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17,057 (40.8%)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Validation</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5,227</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~3,096</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~2,131</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Test</w:t>
            </w:r>
          </w:p>
        </w:tc>
        <w:tc>
          <w:tcPr>
            <w:tcW w:type="dxa" w:w="2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5,228</w:t>
            </w:r>
          </w:p>
        </w:tc>
        <w:tc>
          <w:tcPr>
            <w:tcW w:type="dxa" w:w="2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~3,096</w:t>
            </w:r>
          </w:p>
        </w:tc>
        <w:tc>
          <w:tcPr>
            <w:tcW w:type="dxa" w:w="23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~2,132</w:t>
            </w:r>
          </w:p>
        </w:tc>
      </w:tr>
    </w:tbl>
    <w:p>
      <w:pPr>
        <w:spacing w:before="0" w:after="0"/>
      </w:pPr>
      <w:r>
        <w:t xml:space="preserve"/>
      </w:r>
    </w:p>
    <w:p>
      <w:pPr>
        <w:spacing w:before="60" w:after="80"/>
      </w:pPr>
      <w:r>
        <w:rPr>
          <w:rFonts w:ascii="Calibri" w:cs="Calibri" w:eastAsia="Calibri" w:hAnsi="Calibri"/>
          <w:color w:val="222222"/>
          <w:sz w:val="22"/>
          <w:szCs w:val="22"/>
        </w:rPr>
        <w:t xml:space="preserve">The unsqueeze(1) on the target tensors reshapes y from shape (N,) to (N,1). This is required because BCEWithLogitsLoss expects predictions and targets to have matching shapes, and the network output has shape (N,1).</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1.3  Class Imbalance — pos_weight</w:t>
      </w:r>
    </w:p>
    <w:p>
      <w:pPr>
        <w:spacing w:before="60" w:after="80"/>
      </w:pPr>
      <w:r>
        <w:rPr>
          <w:rFonts w:ascii="Calibri" w:cs="Calibri" w:eastAsia="Calibri" w:hAnsi="Calibri"/>
          <w:color w:val="222222"/>
          <w:sz w:val="22"/>
          <w:szCs w:val="22"/>
        </w:rPr>
        <w:t xml:space="preserve">The dataset has 59.3% DIM=N and 40.7% DIM=Y. This 1.46:1 imbalance is mild but still worth addressing. Without correction, the loss function would implicitly treat both classes as equally important — and since N is the majority class, the model could boost accuracy by slightly biasing toward predicting 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How pos_weight is calculated and applied</w:t>
            </w:r>
          </w:p>
          <w:p>
            <w:pPr>
              <w:spacing w:before="0" w:after="0"/>
            </w:pPr>
            <w:r>
              <w:rPr>
                <w:rFonts w:ascii="Courier New" w:cs="Courier New" w:eastAsia="Courier New" w:hAnsi="Courier New"/>
                <w:color w:val="222222"/>
                <w:sz w:val="18"/>
                <w:szCs w:val="18"/>
              </w:rPr>
              <w:t xml:space="preserve">n_pos = y_train.sum().item()          # 17,057  (DIM=Y)</w:t>
            </w:r>
          </w:p>
          <w:p>
            <w:pPr>
              <w:spacing w:before="0" w:after="0"/>
            </w:pPr>
            <w:r>
              <w:rPr>
                <w:rFonts w:ascii="Courier New" w:cs="Courier New" w:eastAsia="Courier New" w:hAnsi="Courier New"/>
                <w:color w:val="222222"/>
                <w:sz w:val="18"/>
                <w:szCs w:val="18"/>
              </w:rPr>
              <w:t xml:space="preserve">n_neg = len(y_train) - n_pos          # 24,763  (DIM=N)</w:t>
            </w:r>
          </w:p>
          <w:p>
            <w:pPr>
              <w:spacing w:before="0" w:after="0"/>
            </w:pPr>
            <w:r>
              <w:rPr>
                <w:rFonts w:ascii="Courier New" w:cs="Courier New" w:eastAsia="Courier New" w:hAnsi="Courier New"/>
                <w:color w:val="222222"/>
                <w:sz w:val="18"/>
                <w:szCs w:val="18"/>
              </w:rPr>
              <w:t xml:space="preserve">pos_weight = torch.tensor([n_neg / n_pos])  # = 1.4517</w:t>
            </w:r>
          </w:p>
          <w:p>
            <w:pPr>
              <w:spacing w:before="0" w:after="0"/>
            </w:pPr>
            <w:r>
              <w:rPr>
                <w:rFonts w:ascii="Courier New" w:cs="Courier New" w:eastAsia="Courier New" w:hAnsi="Courier New"/>
                <w:color w:val="222222"/>
                <w:sz w:val="18"/>
                <w:szCs w:val="18"/>
              </w:rPr>
              <w:t xml:space="preserve"/>
            </w:r>
          </w:p>
          <w:p>
            <w:pPr>
              <w:spacing w:before="0" w:after="0"/>
            </w:pPr>
            <w:r>
              <w:rPr>
                <w:rFonts w:ascii="Courier New" w:cs="Courier New" w:eastAsia="Courier New" w:hAnsi="Courier New"/>
                <w:color w:val="222222"/>
                <w:sz w:val="18"/>
                <w:szCs w:val="18"/>
              </w:rPr>
              <w:t xml:space="preserve">self.loss_fn = nn.BCEWithLogitsLoss(pos_weight=pos_weight)</w:t>
            </w:r>
          </w:p>
          <w:p>
            <w:pPr>
              <w:spacing w:before="0" w:after="0"/>
            </w:pPr>
            <w:r>
              <w:rPr>
                <w:rFonts w:ascii="Courier New" w:cs="Courier New" w:eastAsia="Courier New" w:hAnsi="Courier New"/>
                <w:color w:val="222222"/>
                <w:sz w:val="18"/>
                <w:szCs w:val="18"/>
              </w:rPr>
              <w:t xml:space="preserve"/>
            </w:r>
          </w:p>
          <w:p>
            <w:pPr>
              <w:spacing w:before="0" w:after="0"/>
            </w:pPr>
            <w:r>
              <w:rPr>
                <w:rFonts w:ascii="Courier New" w:cs="Courier New" w:eastAsia="Courier New" w:hAnsi="Courier New"/>
                <w:color w:val="222222"/>
                <w:sz w:val="18"/>
                <w:szCs w:val="18"/>
              </w:rPr>
              <w:t xml:space="preserve">Effect: every DIM=Y training example contributes 1.45x more to the</w:t>
            </w:r>
          </w:p>
          <w:p>
            <w:pPr>
              <w:spacing w:before="0" w:after="0"/>
            </w:pPr>
            <w:r>
              <w:rPr>
                <w:rFonts w:ascii="Courier New" w:cs="Courier New" w:eastAsia="Courier New" w:hAnsi="Courier New"/>
                <w:color w:val="222222"/>
                <w:sz w:val="18"/>
                <w:szCs w:val="18"/>
              </w:rPr>
              <w:t xml:space="preserve">loss than a DIM=N example. The model is penalized 45% harder for</w:t>
            </w:r>
          </w:p>
          <w:p>
            <w:pPr>
              <w:spacing w:before="0" w:after="0"/>
            </w:pPr>
            <w:r>
              <w:rPr>
                <w:rFonts w:ascii="Courier New" w:cs="Courier New" w:eastAsia="Courier New" w:hAnsi="Courier New"/>
                <w:color w:val="222222"/>
                <w:sz w:val="18"/>
                <w:szCs w:val="18"/>
              </w:rPr>
              <w:t xml:space="preserve">missing a DIM=Y shipment than for missing a DIM=N shipment.</w:t>
            </w:r>
          </w:p>
        </w:tc>
      </w:tr>
    </w:tbl>
    <w:p>
      <w:pPr>
        <w:spacing w:before="0" w:after="0"/>
      </w:pPr>
      <w:r>
        <w:t xml:space="preserve"/>
      </w:r>
    </w:p>
    <w:p>
      <w:pPr>
        <w:spacing w:before="60" w:after="80"/>
      </w:pPr>
      <w:r>
        <w:rPr>
          <w:rFonts w:ascii="Calibri" w:cs="Calibri" w:eastAsia="Calibri" w:hAnsi="Calibri"/>
          <w:color w:val="222222"/>
          <w:sz w:val="22"/>
          <w:szCs w:val="22"/>
        </w:rPr>
        <w:t xml:space="preserve">This is why the model achieves Recall of 0.9991 on the test set — it is specifically trained to minimize missed DIM=Y predictions. In business terms: a missed DIM flag means an unexpected charge from FedEx. The loss weighting makes the model conservative about predicting N, which is exactly the right tradeoff.</w:t>
      </w:r>
    </w:p>
    <w:p>
      <w:r>
        <w:br w:type="page"/>
      </w:r>
    </w:p>
    <w:p>
      <w:pPr>
        <w:pStyle w:val="Heading1"/>
        <w:spacing w:before="400" w:after="120"/>
      </w:pPr>
      <w:r>
        <w:rPr>
          <w:rFonts w:ascii="Georgia" w:cs="Georgia" w:eastAsia="Georgia" w:hAnsi="Georgia"/>
          <w:b/>
          <w:bCs/>
          <w:color w:val="1F3864"/>
          <w:sz w:val="36"/>
          <w:szCs w:val="36"/>
        </w:rPr>
        <w:t xml:space="preserve">2. Network Architecture</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DIMClassifier uses an identical 128 → 64 → 32 → 1 architecture as the regression model, with two key differences in the output layer and loss function that reflect the classification task.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Configuration</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Parameter count</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Input</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34 scaled features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1</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34 → 128 units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4,480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BatchNorm1d</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Stabilizes 128-unit activations per batch</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256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ReLU</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max(0, 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Dropout (0.3)</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Drops 30% of neurons during training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2</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128 → 64 units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8,256</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BatchNorm1d</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Stabilizes 64-unit activations per batch</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128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ReLU</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max(0, 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Dropout (0.2)</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Drops 20% of neurons during training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3</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64 → 32 units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2,080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ReLU</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max(0, 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Linear 4 (output)</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32 → 1 raw logit (no activation applied here)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33</w:t>
            </w:r>
          </w:p>
        </w:tc>
      </w:tr>
      <w:tr>
        <w:tc>
          <w:tcPr>
            <w:tcW w:type="dxa" w:w="24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Total</w:t>
            </w:r>
          </w:p>
        </w:tc>
        <w:tc>
          <w:tcPr>
            <w:tcW w:type="dxa" w:w="456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15,241 trainable parameters  |  0.061 MB</w:t>
            </w:r>
          </w:p>
        </w:tc>
        <w:tc>
          <w:tcPr>
            <w:tcW w:type="dxa" w:w="24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15,241</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2.1  The Critical Difference: Logit Output, Not Probability</w:t>
      </w:r>
    </w:p>
    <w:p>
      <w:pPr>
        <w:spacing w:before="60" w:after="80"/>
      </w:pPr>
      <w:r>
        <w:rPr>
          <w:rFonts w:ascii="Calibri" w:cs="Calibri" w:eastAsia="Calibri" w:hAnsi="Calibri"/>
          <w:color w:val="222222"/>
          <w:sz w:val="22"/>
          <w:szCs w:val="22"/>
        </w:rPr>
        <w:t xml:space="preserve">The final layer outputs a single raw number called a logit — it has no bounded range and is not a probability. The sigmoid function (which squashes any number to the 0–1 range) is not applied inside the network. This is deliberate.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3"/>
              <w:left w:val="thick" w:color="8B1A1A" w:sz="12"/>
              <w:bottom w:val="single" w:color="8B1A1A" w:sz="3"/>
              <w:right w:val="single" w:color="8B1A1A" w:sz="3"/>
            </w:tcBorders>
            <w:shd w:fill="FAE0E0" w:val="clear"/>
            <w:tcMar>
              <w:top w:type="dxa" w:w="120"/>
              <w:left w:type="dxa" w:w="200"/>
              <w:bottom w:type="dxa" w:w="120"/>
              <w:right w:type="dxa" w:w="200"/>
            </w:tcMar>
          </w:tcPr>
          <w:p>
            <w:pPr>
              <w:spacing w:before="0" w:after="40"/>
            </w:pPr>
            <w:r>
              <w:rPr>
                <w:rFonts w:ascii="Calibri" w:cs="Calibri" w:eastAsia="Calibri" w:hAnsi="Calibri"/>
                <w:b/>
                <w:bCs/>
                <w:color w:val="8B1A1A"/>
                <w:sz w:val="20"/>
                <w:szCs w:val="20"/>
              </w:rPr>
              <w:t xml:space="preserve">Why BCEWithLogitsLoss instead of BCELoss with sigmoid in the network</w:t>
            </w:r>
          </w:p>
          <w:p>
            <w:pPr>
              <w:spacing w:before="0" w:after="0"/>
            </w:pPr>
            <w:r>
              <w:rPr>
                <w:rFonts w:ascii="Calibri" w:cs="Calibri" w:eastAsia="Calibri" w:hAnsi="Calibri"/>
                <w:color w:val="222222"/>
                <w:sz w:val="20"/>
                <w:szCs w:val="20"/>
              </w:rPr>
              <w:t xml:space="preserve">BCEWithLogitsLoss = sigmoid + binary cross-entropy computed in one numerically stable operation. If you apply sigmoid inside the network and then use BCELoss, you can get numerical instability (vanishing gradients) when logit values are very large or very small. Keeping the output as a raw logit and letting BCEWithLogitsLoss handle the sigmoid internally is the standard practice and is always more stable.</w:t>
            </w:r>
          </w:p>
        </w:tc>
      </w:tr>
    </w:tbl>
    <w:p>
      <w:pPr>
        <w:spacing w:before="0" w:after="0"/>
      </w:pPr>
      <w:r>
        <w:t xml:space="preserve"/>
      </w:r>
    </w:p>
    <w:p>
      <w:pPr>
        <w:spacing w:before="60" w:after="80"/>
      </w:pPr>
      <w:r>
        <w:rPr>
          <w:rFonts w:ascii="Calibri" w:cs="Calibri" w:eastAsia="Calibri" w:hAnsi="Calibri"/>
          <w:color w:val="222222"/>
          <w:sz w:val="22"/>
          <w:szCs w:val="22"/>
        </w:rPr>
        <w:t xml:space="preserve">During evaluation, sigmoid is applied manually to convert logits to probabilities before computing metrics. This is the only place sigmoid appears in the code.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Logit → probability → hard label conversion at evaluation time</w:t>
            </w:r>
          </w:p>
          <w:p>
            <w:pPr>
              <w:spacing w:before="0" w:after="0"/>
            </w:pPr>
            <w:r>
              <w:rPr>
                <w:rFonts w:ascii="Courier New" w:cs="Courier New" w:eastAsia="Courier New" w:hAnsi="Courier New"/>
                <w:color w:val="222222"/>
                <w:sz w:val="18"/>
                <w:szCs w:val="18"/>
              </w:rPr>
              <w:t xml:space="preserve">val_logits = best_model(X_val).squeeze()       # raw logits, any real number</w:t>
            </w:r>
          </w:p>
          <w:p>
            <w:pPr>
              <w:spacing w:before="0" w:after="0"/>
            </w:pPr>
            <w:r>
              <w:rPr>
                <w:rFonts w:ascii="Courier New" w:cs="Courier New" w:eastAsia="Courier New" w:hAnsi="Courier New"/>
                <w:color w:val="222222"/>
                <w:sz w:val="18"/>
                <w:szCs w:val="18"/>
              </w:rPr>
              <w:t xml:space="preserve">val_probs  = torch.sigmoid(val_logits).numpy() # probabilities, 0.0 to 1.0</w:t>
            </w:r>
          </w:p>
          <w:p>
            <w:pPr>
              <w:spacing w:before="0" w:after="0"/>
            </w:pPr>
            <w:r>
              <w:rPr>
                <w:rFonts w:ascii="Courier New" w:cs="Courier New" w:eastAsia="Courier New" w:hAnsi="Courier New"/>
                <w:color w:val="222222"/>
                <w:sz w:val="18"/>
                <w:szCs w:val="18"/>
              </w:rPr>
              <w:t xml:space="preserve">y_val_pred = (val_probs &gt;= 0.5).astype(int)    # hard labels: 0 or 1</w:t>
            </w:r>
          </w:p>
          <w:p>
            <w:pPr>
              <w:spacing w:before="0" w:after="0"/>
            </w:pPr>
            <w:r>
              <w:rPr>
                <w:rFonts w:ascii="Courier New" w:cs="Courier New" w:eastAsia="Courier New" w:hAnsi="Courier New"/>
                <w:color w:val="222222"/>
                <w:sz w:val="18"/>
                <w:szCs w:val="18"/>
              </w:rPr>
              <w:t xml:space="preserve"/>
            </w:r>
          </w:p>
          <w:p>
            <w:pPr>
              <w:spacing w:before="0" w:after="0"/>
            </w:pPr>
            <w:r>
              <w:rPr>
                <w:rFonts w:ascii="Courier New" w:cs="Courier New" w:eastAsia="Courier New" w:hAnsi="Courier New"/>
                <w:color w:val="222222"/>
                <w:sz w:val="18"/>
                <w:szCs w:val="18"/>
              </w:rPr>
              <w:t xml:space="preserve">Note: AUC is computed from val_probs (continuous), not y_val_pred (binary).</w:t>
            </w:r>
          </w:p>
          <w:p>
            <w:pPr>
              <w:spacing w:before="0" w:after="0"/>
            </w:pPr>
            <w:r>
              <w:rPr>
                <w:rFonts w:ascii="Courier New" w:cs="Courier New" w:eastAsia="Courier New" w:hAnsi="Courier New"/>
                <w:color w:val="222222"/>
                <w:sz w:val="18"/>
                <w:szCs w:val="18"/>
              </w:rPr>
              <w:t xml:space="preserve">This is correct — AUC measures ranking ability across all thresholds.</w:t>
            </w:r>
          </w:p>
        </w:tc>
      </w:tr>
    </w:tbl>
    <w:p>
      <w:r>
        <w:br w:type="page"/>
      </w:r>
    </w:p>
    <w:p>
      <w:pPr>
        <w:pStyle w:val="Heading1"/>
        <w:spacing w:before="400" w:after="120"/>
      </w:pPr>
      <w:r>
        <w:rPr>
          <w:rFonts w:ascii="Georgia" w:cs="Georgia" w:eastAsia="Georgia" w:hAnsi="Georgia"/>
          <w:b/>
          <w:bCs/>
          <w:color w:val="1F3864"/>
          <w:sz w:val="36"/>
          <w:szCs w:val="36"/>
        </w:rPr>
        <w:t xml:space="preserve">3. Training Configuration</w:t>
      </w:r>
    </w:p>
    <w:p>
      <w:pPr>
        <w:pBdr>
          <w:bottom w:val="single" w:color="2E5FA3" w:sz="6" w:space="4"/>
        </w:pBdr>
        <w:spacing w:before="40" w:after="12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800"/>
        <w:gridCol w:w="4800"/>
      </w:tblGrid>
      <w:tr>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Explanation</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Loss function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BCEWithLogitsLoss</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Binary cross-entropy with numerically stable built-in sigmoid and pos_weight=1.45.</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Optimizer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AdamW</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Adam with decoupled weight decay. Identical setup to the regression model.</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Learning rate</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1e-3</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Starting LR. Decayed via CosineAnnealingLR over T_max=50 epochs.</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Weight decay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1e-4</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L2 regularization in the AdamW optimizer.</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LR scheduler</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CosineAnnealing</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Smoothly reduces LR from 1e-3 toward 0 over 50 epochs.</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Batch size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512</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512 shipments per training step. Same as the regression model.</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 epochs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100</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Upper bound. Early stopping halted training at epoch 43.</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Early stopping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patience=10</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Monitors val_loss. Stopped when val_loss did not improve for 10 consecutive epochs.</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ModelCheckpoint</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save_top_k=1</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Saves the single best checkpoint: models/pytorch_classifier_best.ckpt</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deterministic=True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True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Forces reproducible GPU operations. Slightly slower but essential for consistent results.</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TensorBoard logger</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logs/classification/</w:t>
            </w:r>
          </w:p>
        </w:tc>
        <w:tc>
          <w:tcPr>
            <w:tcW w:type="dxa" w:w="4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Logs train_loss and val_loss per epoch. Launch: tensorboard --logdir=logs/</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3.1  What Happened During Training</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Training ran for 43 epochs — 5 more than the regression model (38 epochs), suggesting classification needed slightly longer to converge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Each epoch processed 82 mini-batches at 64.56 iterations/second — faster than the regression model (53.29 it/s), likely because classification loss is simpler to compute than Huber loss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Final train_loss: 0.0543  |  Final val_loss: 0.0283</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Val loss (0.0283) is notably lower than train loss (0.0543) — this is expected with Dropout active during training and disabled during validation</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checkpoint directory warning ('exists and is not empty') is harmless — it just means a previous run had already saved a checkpoint there. The new best checkpoint overwrites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DEBD0"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Train loss vs val loss gap — is the large difference a concern?</w:t>
            </w:r>
          </w:p>
          <w:p>
            <w:pPr>
              <w:spacing w:before="0" w:after="0"/>
            </w:pPr>
            <w:r>
              <w:rPr>
                <w:rFonts w:ascii="Calibri" w:cs="Calibri" w:eastAsia="Calibri" w:hAnsi="Calibri"/>
                <w:color w:val="222222"/>
                <w:sz w:val="20"/>
                <w:szCs w:val="20"/>
              </w:rPr>
              <w:t xml:space="preserve">The gap (0.0543 train vs 0.0283 val) is larger than in the regression model. This is primarily because pos_weight=1.45 makes the training loss harder — every DIM=Y error is penalized 1.45x more during training. The validation loss does not use pos_weight weighting, so it naturally reads lower. This is not overfitting. The val and test metrics are consistent with each other (AUC 0.9995 vs 0.9988), confirming the model generalizes well.</w:t>
            </w:r>
          </w:p>
        </w:tc>
      </w:tr>
    </w:tbl>
    <w:p>
      <w:r>
        <w:br w:type="page"/>
      </w:r>
    </w:p>
    <w:p>
      <w:pPr>
        <w:pStyle w:val="Heading1"/>
        <w:spacing w:before="400" w:after="120"/>
      </w:pPr>
      <w:r>
        <w:rPr>
          <w:rFonts w:ascii="Georgia" w:cs="Georgia" w:eastAsia="Georgia" w:hAnsi="Georgia"/>
          <w:b/>
          <w:bCs/>
          <w:color w:val="1F3864"/>
          <w:sz w:val="36"/>
          <w:szCs w:val="36"/>
        </w:rPr>
        <w:t xml:space="preserve">4. Results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model was evaluated on both the validation and held-out test sets. All metrics are computed from hard predictions (threshold 0.5) except ROC AUC, which uses the raw probability scores.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4.1  Validation vs Test Set Results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Metric</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Validation set</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Test set</w:t>
            </w:r>
          </w:p>
        </w:tc>
        <w:tc>
          <w:tcPr>
            <w:tcW w:type="dxa" w:w="23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Accuracy</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0.9935</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0.9918</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0.17% drop — consistent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Precision</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0.9852</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0.9811</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Of predicted Y, 98.1% correct</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Recall</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0.9991</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0.9991</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Identical — near-perfect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F1 Score</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0.9921</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0.9900</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Stable across splits</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ROC AUC</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0.9995</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0.9988</w:t>
            </w:r>
          </w:p>
        </w:tc>
        <w:tc>
          <w:tcPr>
            <w:tcW w:type="dxa" w:w="232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Top 0.1% of all classifiers</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4.2  What These Numbers Mean in Business Terms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Metric</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Business interpretation</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Recall 0.9991</w:t>
            </w:r>
          </w:p>
        </w:tc>
        <w:tc>
          <w:tcPr>
            <w:tcW w:type="dxa" w:w="69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Out of every 10,000 DIM-flagged shipments the model sees, it correctly identifies 9,991. Only 9 are missed (false negatives). A missed DIM flag means the company gets an unexpected charge — this metric is the one that matters most for cost savings.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Precision 0.9811</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Of every 100 packages the model flags as DIM=Y, 98 actually are DIM-flagged. 2 are false alarms (false positives). A false positive means a worker wastes time repacking a box that FedEx would not have flagged. At 98.1% precision, this is rare.</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AUC 0.9988</w:t>
            </w:r>
          </w:p>
        </w:tc>
        <w:tc>
          <w:tcPr>
            <w:tcW w:type="dxa" w:w="69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If you pick one random DIM=Y shipment and one random DIM=N shipment, there is a 99.88% chance the model ranks the DIM=Y shipment with a higher probability score. AUC near 1.0 means the model has essentially perfect discriminative 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22222"/>
                <w:sz w:val="20"/>
                <w:szCs w:val="20"/>
              </w:rPr>
              <w:t xml:space="preserve">Accuracy 0.9918</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99.18% of all predictions are correct. This sounds impressive but is the least informative metric here — a model that always predicts DIM=N would still achieve 59.3% accuracy. Recall and AUC are the metrics that actually matter for this task.</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4.3  Full Classification Model Comparison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440"/>
        <w:gridCol w:w="1440"/>
        <w:gridCol w:w="1440"/>
        <w:gridCol w:w="1440"/>
      </w:tblGrid>
      <w:tr>
        <w:tc>
          <w:tcPr>
            <w:tcW w:type="dxa" w:w="26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Accuracy</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Precision</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Recall</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F1</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AUC</w:t>
            </w:r>
          </w:p>
        </w:tc>
      </w:tr>
      <w:tr>
        <w:tc>
          <w:tcPr>
            <w:tcW w:type="dxa" w:w="26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Logistic Regression</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0.9931</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0.9986</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0.9916</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0.9940</w:t>
            </w:r>
          </w:p>
        </w:tc>
      </w:tr>
      <w:tr>
        <w:tc>
          <w:tcPr>
            <w:tcW w:type="dxa" w:w="2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0.9939</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0.9951</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0.9992</w:t>
            </w:r>
          </w:p>
        </w:tc>
      </w:tr>
      <w:tr>
        <w:tc>
          <w:tcPr>
            <w:tcW w:type="dxa" w:w="26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PL FFNN (this doc)</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0.9918</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0.9811</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0.9991</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0.9900</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4A235A"/>
                <w:sz w:val="20"/>
                <w:szCs w:val="20"/>
              </w:rPr>
              <w:t xml:space="preserve">0.9988</w:t>
            </w:r>
          </w:p>
        </w:tc>
      </w:tr>
      <w:tr>
        <w:tc>
          <w:tcPr>
            <w:tcW w:type="dxa" w:w="26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XGBoost (winner)</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0.9990</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0.9986</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0.9991</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0.9988</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0.9999</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4.4  The Recall Tie — What It Means</w:t>
      </w:r>
    </w:p>
    <w:p>
      <w:pPr>
        <w:spacing w:before="60" w:after="80"/>
      </w:pPr>
      <w:r>
        <w:rPr>
          <w:rFonts w:ascii="Calibri" w:cs="Calibri" w:eastAsia="Calibri" w:hAnsi="Calibri"/>
          <w:color w:val="222222"/>
          <w:sz w:val="22"/>
          <w:szCs w:val="22"/>
        </w:rPr>
        <w:t xml:space="preserve">The PyTorch classifier and XGBoost share an identical Recall of 0.9991 on the test set. Both models miss the same number of DIM=Y shipments. Where XGBoost wins is precision (0.9986 vs 0.9811) and overall AUC (0.9999 vs 0.9988) — it flags fewer false positives and has better overall probability calibration.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35A" w:sz="3"/>
              <w:left w:val="thick" w:color="4A235A" w:sz="12"/>
              <w:bottom w:val="single" w:color="4A235A" w:sz="3"/>
              <w:right w:val="single" w:color="4A235A" w:sz="3"/>
            </w:tcBorders>
            <w:shd w:fill="EFE0F7" w:val="clear"/>
            <w:tcMar>
              <w:top w:type="dxa" w:w="120"/>
              <w:left w:type="dxa" w:w="200"/>
              <w:bottom w:type="dxa" w:w="120"/>
              <w:right w:type="dxa" w:w="200"/>
            </w:tcMar>
          </w:tcPr>
          <w:p>
            <w:pPr>
              <w:spacing w:before="0" w:after="40"/>
            </w:pPr>
            <w:r>
              <w:rPr>
                <w:rFonts w:ascii="Calibri" w:cs="Calibri" w:eastAsia="Calibri" w:hAnsi="Calibri"/>
                <w:b/>
                <w:bCs/>
                <w:color w:val="4A235A"/>
                <w:sz w:val="20"/>
                <w:szCs w:val="20"/>
              </w:rPr>
              <w:t xml:space="preserve">How to frame the tie in the presentation</w:t>
            </w:r>
          </w:p>
          <w:p>
            <w:pPr>
              <w:spacing w:before="0" w:after="0"/>
            </w:pPr>
            <w:r>
              <w:rPr>
                <w:rFonts w:ascii="Calibri" w:cs="Calibri" w:eastAsia="Calibri" w:hAnsi="Calibri"/>
                <w:color w:val="222222"/>
                <w:sz w:val="20"/>
                <w:szCs w:val="20"/>
              </w:rPr>
              <w:t xml:space="preserve">The neural network matches XGBoost on the most business-critical metric (Recall — missed flags cost money). XGBoost wins on secondary metrics. Both are production-ready for the pre-shipment checker use case. The real differentiator in practice would be inference speed and deployment complexity — XGBoost wins both (faster, smaller, no GPU needed).</w:t>
            </w:r>
          </w:p>
        </w:tc>
      </w:tr>
    </w:tbl>
    <w:p>
      <w:r>
        <w:br w:type="page"/>
      </w:r>
    </w:p>
    <w:p>
      <w:pPr>
        <w:pStyle w:val="Heading1"/>
        <w:spacing w:before="400" w:after="120"/>
      </w:pPr>
      <w:r>
        <w:rPr>
          <w:rFonts w:ascii="Georgia" w:cs="Georgia" w:eastAsia="Georgia" w:hAnsi="Georgia"/>
          <w:b/>
          <w:bCs/>
          <w:color w:val="1F3864"/>
          <w:sz w:val="36"/>
          <w:szCs w:val="36"/>
        </w:rPr>
        <w:t xml:space="preserve">5. Why Classification Was Already Near-Solved at Baseline</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A recurring theme across all four classification models is that the results are clustered in a narrow band: logistic regression achieved AUC 0.9940, and the best model (XGBoost) achieved 0.9999. That is a gap of only 0.006 AUC across four very different model types. This is not a coincidence — it reflects something fundamental about the data.</w:t>
      </w:r>
    </w:p>
    <w:p>
      <w:pPr>
        <w:spacing w:before="0" w:after="0"/>
      </w:pPr>
      <w:r>
        <w:t xml:space="preserve"/>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separating features are geometrically clean. Volume and actual weight alone define the DIM boundary almost perfectly: if volume/139 &gt; actual_weight, the package will be flagged. This is a near-linear decision boundary in the feature space, which logistic regression can already learn almost perfectly.</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signal-to-noise ratio is very high. There are no confounding categorical interactions that require complex feature combinations to capture. The data is clean (post-leakage fix), the target is binary and deterministic, and the key features are numeric and well-measured.</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0.9991 recall ceiling is likely the true information limit of the dataset. The 9 missed DIM=Y shipments out of 17,000+ may be genuine edge cases — borderline packages where FedEx's internal measurement differs slightly from what was recorded in the invoice export.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3"/>
              <w:left w:val="thick" w:color="1E6B3C" w:sz="12"/>
              <w:bottom w:val="single" w:color="1E6B3C" w:sz="3"/>
              <w:right w:val="single" w:color="1E6B3C" w:sz="3"/>
            </w:tcBorders>
            <w:shd w:fill="D6F0E0" w:val="clear"/>
            <w:tcMar>
              <w:top w:type="dxa" w:w="120"/>
              <w:left w:type="dxa" w:w="200"/>
              <w:bottom w:type="dxa" w:w="120"/>
              <w:right w:type="dxa" w:w="200"/>
            </w:tcMar>
          </w:tcPr>
          <w:p>
            <w:pPr>
              <w:spacing w:before="0" w:after="40"/>
            </w:pPr>
            <w:r>
              <w:rPr>
                <w:rFonts w:ascii="Calibri" w:cs="Calibri" w:eastAsia="Calibri" w:hAnsi="Calibri"/>
                <w:b/>
                <w:bCs/>
                <w:color w:val="1E6B3C"/>
                <w:sz w:val="20"/>
                <w:szCs w:val="20"/>
              </w:rPr>
              <w:t xml:space="preserve">What to tell the professor</w:t>
            </w:r>
          </w:p>
          <w:p>
            <w:pPr>
              <w:spacing w:before="0" w:after="0"/>
            </w:pPr>
            <w:r>
              <w:rPr>
                <w:rFonts w:ascii="Calibri" w:cs="Calibri" w:eastAsia="Calibri" w:hAnsi="Calibri"/>
                <w:color w:val="222222"/>
                <w:sz w:val="20"/>
                <w:szCs w:val="20"/>
              </w:rPr>
              <w:t xml:space="preserve">The classification task did not benefit much from model complexity because the underlying decision boundary is nearly linear. Logistic regression was already a strong model here. The gradient boosting and neural network results confirm this: they improve on the margin, not on the core signal. This is a finding, not a failure — it means the problem is well-structured and the features are well-engineered.</w:t>
            </w:r>
          </w:p>
        </w:tc>
      </w:tr>
    </w:tbl>
    <w:p>
      <w:r>
        <w:br w:type="page"/>
      </w:r>
    </w:p>
    <w:p>
      <w:pPr>
        <w:pStyle w:val="Heading1"/>
        <w:spacing w:before="400" w:after="120"/>
      </w:pPr>
      <w:r>
        <w:rPr>
          <w:rFonts w:ascii="Georgia" w:cs="Georgia" w:eastAsia="Georgia" w:hAnsi="Georgia"/>
          <w:b/>
          <w:bCs/>
          <w:color w:val="1F3864"/>
          <w:sz w:val="36"/>
          <w:szCs w:val="36"/>
        </w:rPr>
        <w:t xml:space="preserve">6. Evaluation Pipeline</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The evaluation follows the same four-step pattern as the regression model, with the sigmoid conversion replacing the expm1 dollar conversion.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Step</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Action</w:t>
            </w:r>
          </w:p>
        </w:tc>
        <w:tc>
          <w:tcPr>
            <w:tcW w:type="dxa" w:w="6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1</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Load best checkpoint</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load_from_checkpoint() restores weights from the epoch with lowest val_loss. pos_weight must be passed again because it is stored as a hyperparameter.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Set to eval mode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best_model.eval() disables Dropout and switches BatchNorm to inference mode (uses running mean/variance instead of batch statistics).</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3</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Get raw logits</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val_logits = best_model(X_val).squeeze() — unbounded real numbers. squeeze() removes the output dimension (N,1) → (N,).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4</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Sigmoid → probability</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val_probs = torch.sigmoid(val_logits).numpy() — maps logits to [0, 1] probabilities. These are used directly for ROC AUC.</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5</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Threshold to hard label</w:t>
            </w:r>
          </w:p>
        </w:tc>
        <w:tc>
          <w:tcPr>
            <w:tcW w:type="dxa" w:w="6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y_val_pred = (val_probs &gt;= 0.5).astype(int) — applies the 0.5 decision threshold. This produces the binary 0/1 predictions used for accuracy, precision, recall, and F1.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Threshold tuning opportunity</w:t>
            </w:r>
          </w:p>
          <w:p>
            <w:pPr>
              <w:spacing w:before="0" w:after="0"/>
            </w:pPr>
            <w:r>
              <w:rPr>
                <w:rFonts w:ascii="Calibri" w:cs="Calibri" w:eastAsia="Calibri" w:hAnsi="Calibri"/>
                <w:color w:val="222222"/>
                <w:sz w:val="20"/>
                <w:szCs w:val="20"/>
              </w:rPr>
              <w:t xml:space="preserve">The current threshold of 0.5 was not explicitly tuned. For the pre-shipment checker use case, a lower threshold (e.g. 0.3) would increase recall further at the cost of more false positives — flagging more packages for repacking, including some that would not have been billed by DIM. Whether this tradeoff is worth it depends on the cost of repacking vs the cost of a missed DIM charge. At $15.80 average uplift per flagged shipment, erring toward recall is almost always cheaper. This is worth noting in the discussion section of the report.</w:t>
            </w:r>
          </w:p>
        </w:tc>
      </w:tr>
    </w:tbl>
    <w:p>
      <w:r>
        <w:br w:type="page"/>
      </w:r>
    </w:p>
    <w:p>
      <w:pPr>
        <w:pStyle w:val="Heading1"/>
        <w:spacing w:before="400" w:after="120"/>
      </w:pPr>
      <w:r>
        <w:rPr>
          <w:rFonts w:ascii="Georgia" w:cs="Georgia" w:eastAsia="Georgia" w:hAnsi="Georgia"/>
          <w:b/>
          <w:bCs/>
          <w:color w:val="1F3864"/>
          <w:sz w:val="36"/>
          <w:szCs w:val="36"/>
        </w:rPr>
        <w:t xml:space="preserve">7. Complete Project Results — All Models, Both Tasks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With this notebook complete, all six models across both tasks have been trained and evaluated. The table below is the final comparison that feeds into the report Results section and the presentation slides.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7.1  Task 1 — DIM Flag Classification (Test 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12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Accuracy</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Precision</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Recall</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F1</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AUC</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Logistic Regression</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0.9931</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0.9986</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0.9916</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0.9940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0.9960</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0.9939</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0.9962</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0.9951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0.9992</w:t>
            </w:r>
          </w:p>
        </w:tc>
      </w:tr>
      <w:tr>
        <w:tc>
          <w:tcPr>
            <w:tcW w:type="dxa" w:w="24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PyTorch FFNN</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0.9918</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0.9811</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0.9991</w:t>
            </w:r>
          </w:p>
        </w:tc>
        <w:tc>
          <w:tcPr>
            <w:tcW w:type="dxa" w:w="144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0.9900</w:t>
            </w:r>
          </w:p>
        </w:tc>
        <w:tc>
          <w:tcPr>
            <w:tcW w:type="dxa" w:w="120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0.9988</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XGBoost</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0.9990</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0.9986</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0.9991</w:t>
            </w:r>
          </w:p>
        </w:tc>
        <w:tc>
          <w:tcPr>
            <w:tcW w:type="dxa" w:w="14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0.9988</w:t>
            </w:r>
          </w:p>
        </w:tc>
        <w:tc>
          <w:tcPr>
            <w:tcW w:type="dxa" w:w="12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0.9999</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7.2  Task 2 — Net Charge Regression (Test 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MAE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RMSE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R²</w:t>
            </w:r>
          </w:p>
        </w:tc>
      </w:tr>
      <w:tr>
        <w:tc>
          <w:tcPr>
            <w:tcW w:type="dxa" w:w="28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Linear Regression</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$7.28</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$13.05</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0.6897</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$10.66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$16.70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0.4924</w:t>
            </w:r>
          </w:p>
        </w:tc>
      </w:tr>
      <w:tr>
        <w:tc>
          <w:tcPr>
            <w:tcW w:type="dxa" w:w="288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4A235A"/>
                <w:sz w:val="20"/>
                <w:szCs w:val="20"/>
              </w:rPr>
              <w:t xml:space="preserve">PyTorch FFNN</w:t>
            </w:r>
          </w:p>
        </w:tc>
        <w:tc>
          <w:tcPr>
            <w:tcW w:type="dxa" w:w="216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$5.74</w:t>
            </w:r>
          </w:p>
        </w:tc>
        <w:tc>
          <w:tcPr>
            <w:tcW w:type="dxa" w:w="216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$9.81</w:t>
            </w:r>
          </w:p>
        </w:tc>
        <w:tc>
          <w:tcPr>
            <w:tcW w:type="dxa" w:w="2160"/>
            <w:tcBorders>
              <w:top w:val="single" w:color="CCCCCC" w:sz="1"/>
              <w:left w:val="single" w:color="CCCCCC" w:sz="1"/>
              <w:bottom w:val="single" w:color="CCCCCC" w:sz="1"/>
              <w:right w:val="single" w:color="CCCCCC" w:sz="1"/>
            </w:tcBorders>
            <w:shd w:fill="EFE0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0.8169</w:t>
            </w:r>
          </w:p>
        </w:tc>
      </w:tr>
      <w:tr>
        <w:tc>
          <w:tcPr>
            <w:tcW w:type="dxa" w:w="28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XGBoost</w:t>
            </w:r>
          </w:p>
        </w:tc>
        <w:tc>
          <w:tcPr>
            <w:tcW w:type="dxa" w:w="21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$4.26</w:t>
            </w:r>
          </w:p>
        </w:tc>
        <w:tc>
          <w:tcPr>
            <w:tcW w:type="dxa" w:w="21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$6.73</w:t>
            </w:r>
          </w:p>
        </w:tc>
        <w:tc>
          <w:tcPr>
            <w:tcW w:type="dxa" w:w="21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0.9174</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7.3  Summary verdict</w:t>
      </w:r>
    </w:p>
    <w:p>
      <w:pPr>
        <w:pStyle w:val="ListParagraph"/>
        <w:numPr>
          <w:ilvl w:val="0"/>
          <w:numId w:val="2"/>
        </w:numPr>
        <w:spacing w:before="40" w:after="40"/>
      </w:pPr>
      <w:r>
        <w:rPr>
          <w:rFonts w:ascii="Calibri" w:cs="Calibri" w:eastAsia="Calibri" w:hAnsi="Calibri"/>
          <w:b/>
          <w:bCs/>
          <w:color w:val="222222"/>
          <w:sz w:val="22"/>
          <w:szCs w:val="22"/>
        </w:rPr>
        <w:t xml:space="preserve">XGBoost wins both tasks — near-perfect classification (AUC 0.9999) and strongest regression (R² 0.9174, MAE $4.26)</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PyTorch FFNN is a solid second in both tasks — matches XGBoost on Recall (0.9991) for classification and achieves R² 0.8169 for regression</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AdaBoost wins classification over logistic regression but fails badly at regression (R² 0.49 &lt; baseline 0.69) — stumps cannot capture the cost structure</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Logistic regression remains a competitive baseline for classification — just 0.006 AUC below the best model</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primary recommendation for production deployment is XGBoost for both tasks: smaller, faster, no GPU dependency, interpretable via SHAP</w:t>
      </w:r>
    </w:p>
    <w:p>
      <w:pPr>
        <w:spacing w:before="0" w:after="0"/>
      </w:pPr>
      <w:r>
        <w:t xml:space="preserve"/>
      </w:r>
    </w:p>
    <w:p>
      <w:pPr>
        <w:spacing w:before="0" w:after="0"/>
      </w:pPr>
      <w:r>
        <w:t xml:space="preserve"/>
      </w:r>
    </w:p>
    <w:p>
      <w:pPr>
        <w:spacing w:before="240" w:after="0"/>
        <w:jc w:val="center"/>
      </w:pPr>
      <w:r>
        <w:rPr>
          <w:rFonts w:ascii="Calibri" w:cs="Calibri" w:eastAsia="Calibri" w:hAnsi="Calibri"/>
          <w:i/>
          <w:iCs/>
          <w:color w:val="666666"/>
          <w:sz w:val="20"/>
          <w:szCs w:val="20"/>
        </w:rPr>
        <w:t xml:space="preserve">All models complete. Next: 07_final_comparison.ipynb — final plots and report tables.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6"/>
      </w:pBdr>
      <w:tabs>
        <w:tab w:val="right" w:pos="9026"/>
      </w:tabs>
      <w:spacing w:before="80" w:after="0"/>
    </w:pPr>
    <w:r>
      <w:rPr>
        <w:rFonts w:ascii="Calibri" w:cs="Calibri" w:eastAsia="Calibri" w:hAnsi="Calibri"/>
        <w:color w:val="666666"/>
        <w:sz w:val="18"/>
        <w:szCs w:val="18"/>
      </w:rPr>
      <w:t xml:space="preserve">CSE 4309 — Machine Learning  |  UTA Spring 2026</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6"/>
      </w:pBdr>
      <w:spacing w:before="0" w:after="80"/>
    </w:pPr>
    <w:r>
      <w:rPr>
        <w:rFonts w:ascii="Calibri" w:cs="Calibri" w:eastAsia="Calibri" w:hAnsi="Calibri"/>
        <w:color w:val="666666"/>
        <w:sz w:val="18"/>
        <w:szCs w:val="18"/>
      </w:rPr>
      <w:t xml:space="preserve">FedEx DIM Weight Predictor  |  docs/05_pytorch_classification_notes.docx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20"/>
      <w:outlineLvl w:val="0"/>
    </w:pPr>
    <w:rPr>
      <w:rFonts w:ascii="Georgia" w:cs="Georgia" w:eastAsia="Georgia" w:hAnsi="Georgia"/>
      <w:b/>
      <w:bCs/>
      <w:color w:val="1F3864"/>
      <w:sz w:val="36"/>
      <w:szCs w:val="36"/>
    </w:rPr>
  </w:style>
  <w:style w:type="paragraph" w:styleId="Heading2">
    <w:name w:val="Heading 2"/>
    <w:basedOn w:val="Normal"/>
    <w:next w:val="Normal"/>
    <w:pPr>
      <w:spacing w:before="280" w:after="80"/>
      <w:outlineLvl w:val="1"/>
    </w:pPr>
    <w:rPr>
      <w:rFonts w:ascii="Georgia" w:cs="Georgia" w:eastAsia="Georgia" w:hAnsi="Georgia"/>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2026-03-28T21:37:04.713Z</dcterms:created>
  <dcterms:modified xsi:type="dcterms:W3CDTF">2026-03-28T21:37:04.714Z</dcterms:modified>
</cp:coreProperties>
</file>

<file path=docProps/custom.xml><?xml version="1.0" encoding="utf-8"?>
<Properties xmlns="http://schemas.openxmlformats.org/officeDocument/2006/custom-properties" xmlns:vt="http://schemas.openxmlformats.org/officeDocument/2006/docPropsVTypes"/>
</file>