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40"/>
      </w:pPr>
      <w:r>
        <w:rPr>
          <w:rFonts w:ascii="Courier New" w:cs="Courier New" w:eastAsia="Courier New" w:hAnsi="Courier New"/>
          <w:color w:val="666666"/>
          <w:sz w:val="24"/>
          <w:szCs w:val="24"/>
        </w:rPr>
        <w:t xml:space="preserve">docs/</w:t>
      </w:r>
    </w:p>
    <w:p>
      <w:pPr>
        <w:spacing w:before="0" w:after="60"/>
      </w:pPr>
      <w:r>
        <w:rPr>
          <w:rFonts w:ascii="Georgia" w:cs="Georgia" w:eastAsia="Georgia" w:hAnsi="Georgia"/>
          <w:b/>
          <w:bCs/>
          <w:color w:val="1F3864"/>
          <w:sz w:val="44"/>
          <w:szCs w:val="44"/>
        </w:rPr>
        <w:t xml:space="preserve">06_pytorch_regression_notes.docx</w:t>
      </w:r>
    </w:p>
    <w:p>
      <w:pPr>
        <w:pBdr>
          <w:bottom w:val="single" w:color="E8A020" w:sz="10" w:space="8"/>
        </w:pBdr>
        <w:spacing w:before="0" w:after="80"/>
      </w:pPr>
      <w:r>
        <w:rPr>
          <w:rFonts w:ascii="Calibri" w:cs="Calibri" w:eastAsia="Calibri" w:hAnsi="Calibri"/>
          <w:color w:val="2E5FA3"/>
          <w:sz w:val="26"/>
          <w:szCs w:val="26"/>
        </w:rPr>
        <w:t xml:space="preserve">PyTorch Lightning Neural Network — Task 2 Regression: Net Shipping Charge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Script</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src/06_pytorch_regression.py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Task</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Task 2 — Regression: predict net shipping charge in dollars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Architecture</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FFNN: 34 → 128 → 64 → 32 → 1  |  15,241 trainable parameters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Training</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Stopped at epoch 38 of 100 (early stopping, patience=10)</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Val results</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MAE $5.72  |  RMSE $10.31  |  R² 0.8066</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Test results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MAE $5.74  |  RMSE $9.81   |  R² 0.8169</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vs XGBoost</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XGBoost: MAE $4.26 | RMSE $6.73 | R² 0.9174 — XGBoost wins regression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Checkpoint saved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models/pytorch_regressor_best.ckpt</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TensorBoard logs</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logs/regression/</w:t>
            </w:r>
          </w:p>
        </w:tc>
      </w:tr>
    </w:tbl>
    <w:p>
      <w:pPr>
        <w:spacing w:before="0" w:after="0"/>
      </w:pPr>
      <w:r>
        <w:t xml:space="preserve"/>
      </w:r>
    </w:p>
    <w:p>
      <w:pPr>
        <w:spacing w:before="60" w:after="80"/>
      </w:pPr>
      <w:r>
        <w:rPr>
          <w:rFonts w:ascii="Calibri" w:cs="Calibri" w:eastAsia="Calibri" w:hAnsi="Calibri"/>
          <w:i/>
          <w:iCs/>
          <w:color w:val="666666"/>
          <w:sz w:val="22"/>
          <w:szCs w:val="22"/>
        </w:rPr>
        <w:t xml:space="preserve">This document explains the architecture choices, training setup, and results for the PyTorch Lightning regression model. It also directly compares against XGBoost and explains why tree-based models tend to outperform neural networks on structured tabular data.</w:t>
      </w:r>
    </w:p>
    <w:p>
      <w:r>
        <w:br w:type="page"/>
      </w:r>
    </w:p>
    <w:p>
      <w:pPr>
        <w:pStyle w:val="Heading1"/>
        <w:spacing w:before="400" w:after="120"/>
      </w:pPr>
      <w:r>
        <w:rPr>
          <w:rFonts w:ascii="Georgia" w:cs="Georgia" w:eastAsia="Georgia" w:hAnsi="Georgia"/>
          <w:b/>
          <w:bCs/>
          <w:color w:val="1F3864"/>
          <w:sz w:val="36"/>
          <w:szCs w:val="36"/>
        </w:rPr>
        <w:t xml:space="preserve">1. Data Setup — Why This Script Uses Scaled Inputs</w:t>
      </w:r>
    </w:p>
    <w:p>
      <w:pPr>
        <w:pBdr>
          <w:bottom w:val="single" w:color="2E5FA3" w:sz="6" w:space="4"/>
        </w:pBdr>
        <w:spacing w:before="40" w:after="120"/>
      </w:pPr>
      <w:r>
        <w:t xml:space="preserve"/>
      </w:r>
    </w:p>
    <w:p>
      <w:pPr>
        <w:spacing w:before="60" w:after="80"/>
      </w:pPr>
      <w:r>
        <w:rPr>
          <w:rFonts w:ascii="Calibri" w:cs="Calibri" w:eastAsia="Calibri" w:hAnsi="Calibri"/>
          <w:color w:val="222222"/>
          <w:sz w:val="22"/>
          <w:szCs w:val="22"/>
        </w:rPr>
        <w:t xml:space="preserve">The regression script loads from the scaled parquet files (train_scaled.parquet, val_scaled.parquet, test_scaled.parquet), not the raw unscaled versions used by the gradient boosting notebook. This distinction is critical.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Model family</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Parquet used</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XGBoost / AdaBoost</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train.parquet (unscaled)</w:t>
            </w:r>
          </w:p>
        </w:tc>
        <w:tc>
          <w:tcPr>
            <w:tcW w:type="dxa" w:w="3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Trees split on thresholds — raw magnitude does not affect where the best split falls</w:t>
            </w:r>
          </w:p>
        </w:tc>
      </w:tr>
      <w:tr>
        <w:tc>
          <w:tcPr>
            <w:tcW w:type="dxa" w:w="24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1E6B3C"/>
                <w:sz w:val="20"/>
                <w:szCs w:val="20"/>
              </w:rPr>
              <w:t xml:space="preserve">PyTorch Lightning FFNN</w:t>
            </w:r>
          </w:p>
        </w:tc>
        <w:tc>
          <w:tcPr>
            <w:tcW w:type="dxa" w:w="30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train_scaled.parquet</w:t>
            </w:r>
          </w:p>
        </w:tc>
        <w:tc>
          <w:tcPr>
            <w:tcW w:type="dxa" w:w="396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Gradient-based optimizer (AdamW). A feature with values 0–150 dominates over a feature with values 0–1 during backpropagation. StandardScaler puts all features on the same scale.</w:t>
            </w:r>
          </w:p>
        </w:tc>
      </w:tr>
    </w:tbl>
    <w:p>
      <w:pPr>
        <w:spacing w:before="0" w:after="0"/>
      </w:pPr>
      <w:r>
        <w:t xml:space="preserve"/>
      </w:r>
    </w:p>
    <w:p>
      <w:pPr>
        <w:spacing w:before="60" w:after="80"/>
      </w:pPr>
      <w:r>
        <w:rPr>
          <w:rFonts w:ascii="Calibri" w:cs="Calibri" w:eastAsia="Calibri" w:hAnsi="Calibri"/>
          <w:color w:val="222222"/>
          <w:sz w:val="22"/>
          <w:szCs w:val="22"/>
        </w:rPr>
        <w:t xml:space="preserve">The target column is log_net_charge — the log-transformed net shipping charge. All predictions are made in log-space and converted back to dollars with np.expm1() before evaluation. This was decided during EDA due to the extreme skewness (23.2) of raw net charges.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3"/>
              <w:left w:val="thick" w:color="8B1A1A" w:sz="12"/>
              <w:bottom w:val="single" w:color="8B1A1A" w:sz="3"/>
              <w:right w:val="single" w:color="8B1A1A" w:sz="3"/>
            </w:tcBorders>
            <w:shd w:fill="FAE0E0" w:val="clear"/>
            <w:tcMar>
              <w:top w:type="dxa" w:w="120"/>
              <w:left w:type="dxa" w:w="200"/>
              <w:bottom w:type="dxa" w:w="120"/>
              <w:right w:type="dxa" w:w="200"/>
            </w:tcMar>
          </w:tcPr>
          <w:p>
            <w:pPr>
              <w:spacing w:before="0" w:after="40"/>
            </w:pPr>
            <w:r>
              <w:rPr>
                <w:rFonts w:ascii="Calibri" w:cs="Calibri" w:eastAsia="Calibri" w:hAnsi="Calibri"/>
                <w:b/>
                <w:bCs/>
                <w:color w:val="8B1A1A"/>
                <w:sz w:val="20"/>
                <w:szCs w:val="20"/>
              </w:rPr>
              <w:t xml:space="preserve">Leakage exclusion — same as all other models</w:t>
            </w:r>
          </w:p>
          <w:p>
            <w:pPr>
              <w:spacing w:before="0" w:after="0"/>
            </w:pPr>
            <w:r>
              <w:rPr>
                <w:rFonts w:ascii="Calibri" w:cs="Calibri" w:eastAsia="Calibri" w:hAnsi="Calibri"/>
                <w:color w:val="222222"/>
                <w:sz w:val="20"/>
                <w:szCs w:val="20"/>
              </w:rPr>
              <w:t xml:space="preserve">target_cols = ['dim_flag', 'log_net_charge', 'Net Charge Billed Currency']
feature_cols = [c for c in train_df.columns if c not in target_cols]
Net Charge Billed Currency is excluded because it is the raw (untransformed) version of the regression target. All three columns are withheld from feature_cols identically to the gradient boosting notebook.</w:t>
            </w:r>
          </w:p>
        </w:tc>
      </w:tr>
    </w:tbl>
    <w:p>
      <w:pPr>
        <w:spacing w:before="0" w:after="0"/>
      </w:pPr>
      <w:r>
        <w:t xml:space="preserve"/>
      </w:r>
    </w:p>
    <w:p>
      <w:pPr>
        <w:spacing w:before="60" w:after="80"/>
      </w:pPr>
      <w:r>
        <w:rPr>
          <w:rFonts w:ascii="Calibri" w:cs="Calibri" w:eastAsia="Calibri" w:hAnsi="Calibri"/>
          <w:color w:val="222222"/>
          <w:sz w:val="22"/>
          <w:szCs w:val="22"/>
        </w:rPr>
        <w:t xml:space="preserve">After exclusions: 34 input features, consistent with the gradient boosting notebook.</w:t>
      </w:r>
    </w:p>
    <w:p>
      <w:r>
        <w:br w:type="page"/>
      </w:r>
    </w:p>
    <w:p>
      <w:pPr>
        <w:pStyle w:val="Heading1"/>
        <w:spacing w:before="400" w:after="120"/>
      </w:pPr>
      <w:r>
        <w:rPr>
          <w:rFonts w:ascii="Georgia" w:cs="Georgia" w:eastAsia="Georgia" w:hAnsi="Georgia"/>
          <w:b/>
          <w:bCs/>
          <w:color w:val="1F3864"/>
          <w:sz w:val="36"/>
          <w:szCs w:val="36"/>
        </w:rPr>
        <w:t xml:space="preserve">2. Network Architecture</w:t>
      </w:r>
    </w:p>
    <w:p>
      <w:pPr>
        <w:pBdr>
          <w:bottom w:val="single" w:color="2E5FA3" w:sz="6" w:space="4"/>
        </w:pBdr>
        <w:spacing w:before="40" w:after="120"/>
      </w:pPr>
      <w:r>
        <w:t xml:space="preserve"/>
      </w:r>
    </w:p>
    <w:p>
      <w:pPr>
        <w:spacing w:before="60" w:after="80"/>
      </w:pPr>
      <w:r>
        <w:rPr>
          <w:rFonts w:ascii="Calibri" w:cs="Calibri" w:eastAsia="Calibri" w:hAnsi="Calibri"/>
          <w:color w:val="222222"/>
          <w:sz w:val="22"/>
          <w:szCs w:val="22"/>
        </w:rPr>
        <w:t xml:space="preserve">The ShippingRegressor is a feedforward neural network (FFNN) with four linear layers, decreasing in width as the network deepens. Each hidden layer uses BatchNormalization and a ReLU activation. Dropout is applied to the first two hidden layers to reduce overfitting.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Layer</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Configuration</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Parameter count</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Input</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34 features from scaled parquet</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Linear 1</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34 → 128 units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4,480</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BatchNorm1d</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Normalizes 128 activations per mini-batch</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256</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ReLU</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max(0, x) — kills negative activations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0</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Dropout (0.3)</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Randomly zeros 30% of neurons each forward pass</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Linear 2</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128 → 64 units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8,256</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BatchNorm1d</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Normalizes 64 activations per mini-batch</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128</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ReLU</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max(0, x)</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0</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Dropout (0.2)</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Randomly zeros 20% of neurons each forward pass</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Linear 3</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64 → 32 units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2,080</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ReLU</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max(0, x)</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Linear 4 (output)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32 → 1 unit (predicted log charge)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33</w:t>
            </w:r>
          </w:p>
        </w:tc>
      </w:tr>
      <w:tr>
        <w:tc>
          <w:tcPr>
            <w:tcW w:type="dxa" w:w="240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bCs/>
                <w:color w:val="4A235A"/>
                <w:sz w:val="20"/>
                <w:szCs w:val="20"/>
              </w:rPr>
              <w:t xml:space="preserve">Total</w:t>
            </w:r>
          </w:p>
        </w:tc>
        <w:tc>
          <w:tcPr>
            <w:tcW w:type="dxa" w:w="456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15,241 trainable parameters  |  0.061 MB model size</w:t>
            </w:r>
          </w:p>
        </w:tc>
        <w:tc>
          <w:tcPr>
            <w:tcW w:type="dxa" w:w="240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bCs/>
                <w:color w:val="4A235A"/>
                <w:sz w:val="20"/>
                <w:szCs w:val="20"/>
              </w:rPr>
              <w:t xml:space="preserve">15,241</w:t>
            </w:r>
          </w:p>
        </w:tc>
      </w:tr>
    </w:tbl>
    <w:p>
      <w:pPr>
        <w:spacing w:before="0" w:after="0"/>
      </w:pPr>
      <w:r>
        <w:t xml:space="preserve"/>
      </w:r>
    </w:p>
    <w:p>
      <w:pPr>
        <w:pStyle w:val="Heading2"/>
        <w:spacing w:before="280" w:after="80"/>
      </w:pPr>
      <w:r>
        <w:rPr>
          <w:rFonts w:ascii="Georgia" w:cs="Georgia" w:eastAsia="Georgia" w:hAnsi="Georgia"/>
          <w:b/>
          <w:bCs/>
          <w:color w:val="2E5FA3"/>
          <w:sz w:val="26"/>
          <w:szCs w:val="26"/>
        </w:rPr>
        <w:t xml:space="preserve">2.1  Design Decisions Explained</w:t>
      </w:r>
    </w:p>
    <w:p>
      <w:pPr>
        <w:spacing w:before="180" w:after="60"/>
      </w:pPr>
      <w:r>
        <w:rPr>
          <w:rFonts w:ascii="Calibri" w:cs="Calibri" w:eastAsia="Calibri" w:hAnsi="Calibri"/>
          <w:b/>
          <w:bCs/>
          <w:color w:val="2E5FA3"/>
          <w:sz w:val="22"/>
          <w:szCs w:val="22"/>
        </w:rPr>
        <w:t xml:space="preserve">Why this width progression (128 → 64 → 32)?</w:t>
      </w:r>
    </w:p>
    <w:p>
      <w:pPr>
        <w:spacing w:before="60" w:after="80"/>
      </w:pPr>
      <w:r>
        <w:rPr>
          <w:rFonts w:ascii="Calibri" w:cs="Calibri" w:eastAsia="Calibri" w:hAnsi="Calibri"/>
          <w:color w:val="222222"/>
          <w:sz w:val="22"/>
          <w:szCs w:val="22"/>
        </w:rPr>
        <w:t xml:space="preserve">Each layer progressively compresses the representation. The first layer (128 units) has enough capacity to learn complex combinations of the 34 input features. The subsequent layers (64, 32) force the network to distill those combinations into increasingly abstract representations of shipping cost. The final output is a single number: the predicted log charge.</w:t>
      </w:r>
    </w:p>
    <w:p>
      <w:pPr>
        <w:spacing w:before="0" w:after="0"/>
      </w:pPr>
      <w:r>
        <w:t xml:space="preserve"/>
      </w:r>
    </w:p>
    <w:p>
      <w:pPr>
        <w:spacing w:before="180" w:after="60"/>
      </w:pPr>
      <w:r>
        <w:rPr>
          <w:rFonts w:ascii="Calibri" w:cs="Calibri" w:eastAsia="Calibri" w:hAnsi="Calibri"/>
          <w:b/>
          <w:bCs/>
          <w:color w:val="2E5FA3"/>
          <w:sz w:val="22"/>
          <w:szCs w:val="22"/>
        </w:rPr>
        <w:t xml:space="preserve">Why BatchNormalization?</w:t>
      </w:r>
    </w:p>
    <w:p>
      <w:pPr>
        <w:spacing w:before="60" w:after="80"/>
      </w:pPr>
      <w:r>
        <w:rPr>
          <w:rFonts w:ascii="Calibri" w:cs="Calibri" w:eastAsia="Calibri" w:hAnsi="Calibri"/>
          <w:color w:val="222222"/>
          <w:sz w:val="22"/>
          <w:szCs w:val="22"/>
        </w:rPr>
        <w:t xml:space="preserve">BatchNorm normalizes the activations within each mini-batch to have mean 0 and standard deviation 1 before passing them to the next layer. Without it, as training progresses, the distribution of activations can shift (called internal covariate shift), making it harder for each layer to learn. BatchNorm stabilizes training and generally allows higher learning rates.</w:t>
      </w:r>
    </w:p>
    <w:p>
      <w:pPr>
        <w:spacing w:before="0" w:after="0"/>
      </w:pPr>
      <w:r>
        <w:t xml:space="preserve"/>
      </w:r>
    </w:p>
    <w:p>
      <w:pPr>
        <w:spacing w:before="180" w:after="60"/>
      </w:pPr>
      <w:r>
        <w:rPr>
          <w:rFonts w:ascii="Calibri" w:cs="Calibri" w:eastAsia="Calibri" w:hAnsi="Calibri"/>
          <w:b/>
          <w:bCs/>
          <w:color w:val="2E5FA3"/>
          <w:sz w:val="22"/>
          <w:szCs w:val="22"/>
        </w:rPr>
        <w:t xml:space="preserve">Why Dropout?</w:t>
      </w:r>
    </w:p>
    <w:p>
      <w:pPr>
        <w:spacing w:before="60" w:after="80"/>
      </w:pPr>
      <w:r>
        <w:rPr>
          <w:rFonts w:ascii="Calibri" w:cs="Calibri" w:eastAsia="Calibri" w:hAnsi="Calibri"/>
          <w:color w:val="222222"/>
          <w:sz w:val="22"/>
          <w:szCs w:val="22"/>
        </w:rPr>
        <w:t xml:space="preserve">Dropout randomly disables a fraction of neurons during each training forward pass (30% in layer 1, 20% in layer 2). This forces the network to learn redundant representations — no single neuron can be relied upon. The result is a more robust model that generalizes better to the validation set. Dropout is turned off automatically at inference time (model.eval()).</w:t>
      </w:r>
    </w:p>
    <w:p>
      <w:pPr>
        <w:spacing w:before="0" w:after="0"/>
      </w:pPr>
      <w:r>
        <w:t xml:space="preserve"/>
      </w:r>
    </w:p>
    <w:p>
      <w:pPr>
        <w:spacing w:before="180" w:after="60"/>
      </w:pPr>
      <w:r>
        <w:rPr>
          <w:rFonts w:ascii="Calibri" w:cs="Calibri" w:eastAsia="Calibri" w:hAnsi="Calibri"/>
          <w:b/>
          <w:bCs/>
          <w:color w:val="2E5FA3"/>
          <w:sz w:val="22"/>
          <w:szCs w:val="22"/>
        </w:rPr>
        <w:t xml:space="preserve">Why no Dropout on the third layer (64 → 32)?</w:t>
      </w:r>
    </w:p>
    <w:p>
      <w:pPr>
        <w:spacing w:before="60" w:after="80"/>
      </w:pPr>
      <w:r>
        <w:rPr>
          <w:rFonts w:ascii="Calibri" w:cs="Calibri" w:eastAsia="Calibri" w:hAnsi="Calibri"/>
          <w:color w:val="222222"/>
          <w:sz w:val="22"/>
          <w:szCs w:val="22"/>
        </w:rPr>
        <w:t xml:space="preserve">By the third layer the representation is already small (32 units). Applying dropout at this point would drop too large a fraction of the remaining information and hurt performance. Regularization at the earlier, wider layers is sufficient.</w:t>
      </w:r>
    </w:p>
    <w:p>
      <w:pPr>
        <w:spacing w:before="0" w:after="0"/>
      </w:pPr>
      <w:r>
        <w:t xml:space="preserve"/>
      </w:r>
    </w:p>
    <w:p>
      <w:pPr>
        <w:spacing w:before="180" w:after="60"/>
      </w:pPr>
      <w:r>
        <w:rPr>
          <w:rFonts w:ascii="Calibri" w:cs="Calibri" w:eastAsia="Calibri" w:hAnsi="Calibri"/>
          <w:b/>
          <w:bCs/>
          <w:color w:val="2E5FA3"/>
          <w:sz w:val="22"/>
          <w:szCs w:val="22"/>
        </w:rPr>
        <w:t xml:space="preserve">Why HuberLoss instead of MSELoss?</w:t>
      </w:r>
    </w:p>
    <w:p>
      <w:pPr>
        <w:spacing w:before="60" w:after="80"/>
      </w:pPr>
      <w:r>
        <w:rPr>
          <w:rFonts w:ascii="Calibri" w:cs="Calibri" w:eastAsia="Calibri" w:hAnsi="Calibri"/>
          <w:color w:val="222222"/>
          <w:sz w:val="22"/>
          <w:szCs w:val="22"/>
        </w:rPr>
        <w:t xml:space="preserve">Mean Squared Error (MSE) penalizes errors as the square of their magnitude. A prediction that is $30 off contributes 900 units of loss, while one that is $3 off contributes only 9. Even after removing the &gt;$200 outliers, the $150–200 range still has meaningful variance that MSE would disproportionately penalize.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3"/>
              <w:left w:val="thick" w:color="E8A020" w:sz="12"/>
              <w:bottom w:val="single" w:color="E8A020" w:sz="3"/>
              <w:right w:val="single" w:color="E8A020" w:sz="3"/>
            </w:tcBorders>
            <w:shd w:fill="FFF8DC" w:val="clear"/>
            <w:tcMar>
              <w:top w:type="dxa" w:w="120"/>
              <w:left w:type="dxa" w:w="200"/>
              <w:bottom w:type="dxa" w:w="120"/>
              <w:right w:type="dxa" w:w="200"/>
            </w:tcMar>
          </w:tcPr>
          <w:p>
            <w:pPr>
              <w:spacing w:before="0" w:after="40"/>
            </w:pPr>
            <w:r>
              <w:rPr>
                <w:rFonts w:ascii="Calibri" w:cs="Calibri" w:eastAsia="Calibri" w:hAnsi="Calibri"/>
                <w:b/>
                <w:bCs/>
                <w:color w:val="7D3C00"/>
                <w:sz w:val="20"/>
                <w:szCs w:val="20"/>
              </w:rPr>
              <w:t xml:space="preserve">HuberLoss behavior</w:t>
            </w:r>
          </w:p>
          <w:p>
            <w:pPr>
              <w:spacing w:before="0" w:after="0"/>
            </w:pPr>
            <w:r>
              <w:rPr>
                <w:rFonts w:ascii="Calibri" w:cs="Calibri" w:eastAsia="Calibri" w:hAnsi="Calibri"/>
                <w:color w:val="222222"/>
                <w:sz w:val="20"/>
                <w:szCs w:val="20"/>
              </w:rPr>
              <w:t xml:space="preserve">For errors smaller than delta (1.0 in log-space): loss = 0.5 * error²  — same as MSE, smooth gradient
For errors larger than delta: loss = delta * (|error| - 0.5 * delta)  — same as MAE, linear, less sensitive to large errors
With delta=1.0 in log-space, the transition point corresponds to roughly a 1.7× error in dollar terms (e^1.0 ≈ 2.72, so a factor of about e^0.5 ≈ 1.65 in price). This keeps the model focused on the bulk of shipments while not completely ignoring the larger charges.</w:t>
            </w:r>
          </w:p>
        </w:tc>
      </w:tr>
    </w:tbl>
    <w:p>
      <w:r>
        <w:br w:type="page"/>
      </w:r>
    </w:p>
    <w:p>
      <w:pPr>
        <w:pStyle w:val="Heading1"/>
        <w:spacing w:before="400" w:after="120"/>
      </w:pPr>
      <w:r>
        <w:rPr>
          <w:rFonts w:ascii="Georgia" w:cs="Georgia" w:eastAsia="Georgia" w:hAnsi="Georgia"/>
          <w:b/>
          <w:bCs/>
          <w:color w:val="1F3864"/>
          <w:sz w:val="36"/>
          <w:szCs w:val="36"/>
        </w:rPr>
        <w:t xml:space="preserve">3. Training Configuration</w:t>
      </w:r>
    </w:p>
    <w:p>
      <w:pPr>
        <w:pBdr>
          <w:bottom w:val="single" w:color="2E5FA3" w:sz="6" w:space="4"/>
        </w:pBdr>
        <w:spacing w:before="40" w:after="12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800"/>
        <w:gridCol w:w="4800"/>
      </w:tblGrid>
      <w:tr>
        <w:tc>
          <w:tcPr>
            <w:tcW w:type="dxa" w:w="2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Setting</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Value</w:t>
            </w:r>
          </w:p>
        </w:tc>
        <w:tc>
          <w:tcPr>
            <w:tcW w:type="dxa" w:w="4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Explanation</w:t>
            </w:r>
          </w:p>
        </w:tc>
      </w:tr>
      <w:tr>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Optimizer</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AdamW</w:t>
            </w:r>
          </w:p>
        </w:tc>
        <w:tc>
          <w:tcPr>
            <w:tcW w:type="dxa" w:w="4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Adam with decoupled weight decay. Better generalization than plain Adam on most tasks.</w:t>
            </w:r>
          </w:p>
        </w:tc>
      </w:tr>
      <w:tr>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Learning rate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1e-3</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Starting learning rate. CosineAnnealingLR decays this smoothly over 50 epochs.</w:t>
            </w:r>
          </w:p>
        </w:tc>
      </w:tr>
      <w:tr>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Weight decay</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1e-4</w:t>
            </w:r>
          </w:p>
        </w:tc>
        <w:tc>
          <w:tcPr>
            <w:tcW w:type="dxa" w:w="4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L2 regularization on weights, applied directly in the optimizer (AdamW's decoupled approach).</w:t>
            </w:r>
          </w:p>
        </w:tc>
      </w:tr>
      <w:tr>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LR scheduler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CosineAnnealing</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Smoothly reduces LR from 1e-3 toward 0 following a cosine curve over T_max=50 epochs. Helps convergence in the final training phase.</w:t>
            </w:r>
          </w:p>
        </w:tc>
      </w:tr>
      <w:tr>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Batch size</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512</w:t>
            </w:r>
          </w:p>
        </w:tc>
        <w:tc>
          <w:tcPr>
            <w:tcW w:type="dxa" w:w="4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Each training step sees 512 random shipments. Larger batches train faster but can hurt generalization at very large sizes.</w:t>
            </w:r>
          </w:p>
        </w:tc>
      </w:tr>
      <w:tr>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Max epochs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100</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Upper bound. Early stopping prevents all 100 from running.</w:t>
            </w:r>
          </w:p>
        </w:tc>
      </w:tr>
      <w:tr>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Early stopping</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patience=10</w:t>
            </w:r>
          </w:p>
        </w:tc>
        <w:tc>
          <w:tcPr>
            <w:tcW w:type="dxa" w:w="4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Stop if val_loss doesn't improve for 10 consecutive epochs. Monitors val_loss (Huber in log-space).</w:t>
            </w:r>
          </w:p>
        </w:tc>
      </w:tr>
      <w:tr>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ModelCheckpoint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save_top_k=1</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Saves only the best checkpoint by val_loss. File: models/pytorch_regressor_best.ckpt</w:t>
            </w:r>
          </w:p>
        </w:tc>
      </w:tr>
      <w:tr>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deterministic=True</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True</w:t>
            </w:r>
          </w:p>
        </w:tc>
        <w:tc>
          <w:tcPr>
            <w:tcW w:type="dxa" w:w="4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Forces PyTorch to use deterministic CUDA operations for full reproducibility.</w:t>
            </w:r>
          </w:p>
        </w:tc>
      </w:tr>
      <w:tr>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TensorBoard logger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logs/regression/</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Logs train_loss and val_loss per epoch. Launch with: tensorboard --logdir=logs/</w:t>
            </w:r>
          </w:p>
        </w:tc>
      </w:tr>
    </w:tbl>
    <w:p>
      <w:pPr>
        <w:spacing w:before="0" w:after="0"/>
      </w:pPr>
      <w:r>
        <w:t xml:space="preserve"/>
      </w:r>
    </w:p>
    <w:p>
      <w:pPr>
        <w:pStyle w:val="Heading2"/>
        <w:spacing w:before="280" w:after="80"/>
      </w:pPr>
      <w:r>
        <w:rPr>
          <w:rFonts w:ascii="Georgia" w:cs="Georgia" w:eastAsia="Georgia" w:hAnsi="Georgia"/>
          <w:b/>
          <w:bCs/>
          <w:color w:val="2E5FA3"/>
          <w:sz w:val="26"/>
          <w:szCs w:val="26"/>
        </w:rPr>
        <w:t xml:space="preserve">3.1  What Happened During Training</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Training ran for 38 epochs before early stopping triggered (patience=10 means val_loss had not improved for 10 straight epochs when training halted)</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Each epoch processed 82 mini-batches of 512 samples each (41,820 training samples / 512 ≈ 82 steps)</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Final training loss: 0.0149 Huber loss in log-space</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Final validation loss: 0.0142 Huber loss in log-space — val loss slightly below train loss, which is normal with Dropout and indicates healthy regularization, not overfitting</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Training speed: 53.29 iterations/second — fast enough that the full 38 epochs completed in under a minute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3"/>
              <w:left w:val="thick" w:color="E8A020" w:sz="12"/>
              <w:bottom w:val="single" w:color="E8A020" w:sz="3"/>
              <w:right w:val="single" w:color="E8A020" w:sz="3"/>
            </w:tcBorders>
            <w:shd w:fill="FDEBD0" w:val="clear"/>
            <w:tcMar>
              <w:top w:type="dxa" w:w="120"/>
              <w:left w:type="dxa" w:w="200"/>
              <w:bottom w:type="dxa" w:w="120"/>
              <w:right w:type="dxa" w:w="200"/>
            </w:tcMar>
          </w:tcPr>
          <w:p>
            <w:pPr>
              <w:spacing w:before="0" w:after="40"/>
            </w:pPr>
            <w:r>
              <w:rPr>
                <w:rFonts w:ascii="Calibri" w:cs="Calibri" w:eastAsia="Calibri" w:hAnsi="Calibri"/>
                <w:b/>
                <w:bCs/>
                <w:color w:val="7D3C00"/>
                <w:sz w:val="20"/>
                <w:szCs w:val="20"/>
              </w:rPr>
              <w:t xml:space="preserve">Warning messages during training — are they a problem?</w:t>
            </w:r>
          </w:p>
          <w:p>
            <w:pPr>
              <w:spacing w:before="0" w:after="0"/>
            </w:pPr>
            <w:r>
              <w:rPr>
                <w:rFonts w:ascii="Calibri" w:cs="Calibri" w:eastAsia="Calibri" w:hAnsi="Calibri"/>
                <w:color w:val="222222"/>
                <w:sz w:val="20"/>
                <w:szCs w:val="20"/>
              </w:rPr>
              <w:t xml:space="preserve">Two warnings appeared about num_workers in DataLoader:
'The val_dataloader does not have many workers which may be a bottleneck. Consider increasing num_workers to 7.'
These are performance suggestions, not errors. They indicate the data loading is single-threaded and could be parallelized. On a small dataset like this (52K rows) the bottleneck is the GPU computation, not data loading. These warnings are safe to ignore. If training were taking hours, adding num_workers=7 to both DataLoader calls would be worth doing.</w:t>
            </w:r>
          </w:p>
        </w:tc>
      </w:tr>
    </w:tbl>
    <w:p>
      <w:r>
        <w:br w:type="page"/>
      </w:r>
    </w:p>
    <w:p>
      <w:pPr>
        <w:pStyle w:val="Heading1"/>
        <w:spacing w:before="400" w:after="120"/>
      </w:pPr>
      <w:r>
        <w:rPr>
          <w:rFonts w:ascii="Georgia" w:cs="Georgia" w:eastAsia="Georgia" w:hAnsi="Georgia"/>
          <w:b/>
          <w:bCs/>
          <w:color w:val="1F3864"/>
          <w:sz w:val="36"/>
          <w:szCs w:val="36"/>
        </w:rPr>
        <w:t xml:space="preserve">4. Results</w:t>
      </w:r>
    </w:p>
    <w:p>
      <w:pPr>
        <w:pBdr>
          <w:bottom w:val="single" w:color="2E5FA3" w:sz="6" w:space="4"/>
        </w:pBdr>
        <w:spacing w:before="40" w:after="120"/>
      </w:pPr>
      <w:r>
        <w:t xml:space="preserve"/>
      </w:r>
    </w:p>
    <w:p>
      <w:pPr>
        <w:spacing w:before="60" w:after="80"/>
      </w:pPr>
      <w:r>
        <w:rPr>
          <w:rFonts w:ascii="Calibri" w:cs="Calibri" w:eastAsia="Calibri" w:hAnsi="Calibri"/>
          <w:color w:val="222222"/>
          <w:sz w:val="22"/>
          <w:szCs w:val="22"/>
        </w:rPr>
        <w:t xml:space="preserve">The model was evaluated on both the validation set (used during training for early stopping decisions) and the held-out test set (never seen during training). Both sets produce similar results, which is the strongest sign of a model that generalizes rather than memorizes.</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4.1  Validation vs Test Set Results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Metric</w:t>
            </w:r>
          </w:p>
        </w:tc>
        <w:tc>
          <w:tcPr>
            <w:tcW w:type="dxa" w:w="23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Validation set</w:t>
            </w:r>
          </w:p>
        </w:tc>
        <w:tc>
          <w:tcPr>
            <w:tcW w:type="dxa" w:w="23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Test set</w:t>
            </w:r>
          </w:p>
        </w:tc>
        <w:tc>
          <w:tcPr>
            <w:tcW w:type="dxa" w:w="23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Consistency</w:t>
            </w:r>
          </w:p>
        </w:tc>
      </w:tr>
      <w:tr>
        <w:tc>
          <w:tcPr>
            <w:tcW w:type="dxa" w:w="24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MAE</w:t>
            </w:r>
          </w:p>
        </w:tc>
        <w:tc>
          <w:tcPr>
            <w:tcW w:type="dxa" w:w="232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$5.72</w:t>
            </w:r>
          </w:p>
        </w:tc>
        <w:tc>
          <w:tcPr>
            <w:tcW w:type="dxa" w:w="232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$5.74</w:t>
            </w:r>
          </w:p>
        </w:tc>
        <w:tc>
          <w:tcPr>
            <w:tcW w:type="dxa" w:w="232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1E6B3C"/>
                <w:sz w:val="20"/>
                <w:szCs w:val="20"/>
              </w:rPr>
              <w:t xml:space="preserve">$0.02 difference — excellent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RMSE</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$10.31</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$9.81</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E6B3C"/>
                <w:sz w:val="20"/>
                <w:szCs w:val="20"/>
              </w:rPr>
              <w:t xml:space="preserve">Test slightly better — no overfit</w:t>
            </w:r>
          </w:p>
        </w:tc>
      </w:tr>
      <w:tr>
        <w:tc>
          <w:tcPr>
            <w:tcW w:type="dxa" w:w="24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R²</w:t>
            </w:r>
          </w:p>
        </w:tc>
        <w:tc>
          <w:tcPr>
            <w:tcW w:type="dxa" w:w="232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0.8066</w:t>
            </w:r>
          </w:p>
        </w:tc>
        <w:tc>
          <w:tcPr>
            <w:tcW w:type="dxa" w:w="232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0.8169</w:t>
            </w:r>
          </w:p>
        </w:tc>
        <w:tc>
          <w:tcPr>
            <w:tcW w:type="dxa" w:w="232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1E6B3C"/>
                <w:sz w:val="20"/>
                <w:szCs w:val="20"/>
              </w:rPr>
              <w:t xml:space="preserve">Test slightly better — healthy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3C" w:sz="3"/>
              <w:left w:val="thick" w:color="1E6B3C" w:sz="12"/>
              <w:bottom w:val="single" w:color="1E6B3C" w:sz="3"/>
              <w:right w:val="single" w:color="1E6B3C" w:sz="3"/>
            </w:tcBorders>
            <w:shd w:fill="D6F0E0" w:val="clear"/>
            <w:tcMar>
              <w:top w:type="dxa" w:w="120"/>
              <w:left w:type="dxa" w:w="200"/>
              <w:bottom w:type="dxa" w:w="120"/>
              <w:right w:type="dxa" w:w="200"/>
            </w:tcMar>
          </w:tcPr>
          <w:p>
            <w:pPr>
              <w:spacing w:before="0" w:after="40"/>
            </w:pPr>
            <w:r>
              <w:rPr>
                <w:rFonts w:ascii="Calibri" w:cs="Calibri" w:eastAsia="Calibri" w:hAnsi="Calibri"/>
                <w:b/>
                <w:bCs/>
                <w:color w:val="1E6B3C"/>
                <w:sz w:val="20"/>
                <w:szCs w:val="20"/>
              </w:rPr>
              <w:t xml:space="preserve">What R² = 0.8169 means</w:t>
            </w:r>
          </w:p>
          <w:p>
            <w:pPr>
              <w:spacing w:before="0" w:after="0"/>
            </w:pPr>
            <w:r>
              <w:rPr>
                <w:rFonts w:ascii="Calibri" w:cs="Calibri" w:eastAsia="Calibri" w:hAnsi="Calibri"/>
                <w:color w:val="222222"/>
                <w:sz w:val="20"/>
                <w:szCs w:val="20"/>
              </w:rPr>
              <w:t xml:space="preserve">The model explains 81.7% of the variance in net shipping charges on the held-out test set. The remaining 18.3% is unexplained — driven by FedEx pricing factors not present in the dataset (real-time fuel surcharges, negotiated account rates, accessorial fees applied post-label). For a 15,241-parameter neural network trained on 34 features, this is a strong result.</w:t>
            </w:r>
          </w:p>
        </w:tc>
      </w:tr>
    </w:tbl>
    <w:p>
      <w:pPr>
        <w:spacing w:before="0" w:after="0"/>
      </w:pPr>
      <w:r>
        <w:t xml:space="preserve"/>
      </w:r>
    </w:p>
    <w:p>
      <w:pPr>
        <w:spacing w:before="60" w:after="80"/>
      </w:pPr>
      <w:r>
        <w:rPr>
          <w:rFonts w:ascii="Calibri" w:cs="Calibri" w:eastAsia="Calibri" w:hAnsi="Calibri"/>
          <w:color w:val="222222"/>
          <w:sz w:val="22"/>
          <w:szCs w:val="22"/>
        </w:rPr>
        <w:t xml:space="preserve">The MAE of $5.74 on the test set means the model's dollar predictions are off by $5.74 on average. Given that the median shipment costs ~$55, this represents roughly a 10% typical error — usable for pre-shipment cost estimation, quoting, and budget planning.</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4.2  Full Model Comparison — Task 2 Regression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680"/>
        <w:gridCol w:w="1680"/>
        <w:gridCol w:w="1680"/>
        <w:gridCol w:w="1440"/>
      </w:tblGrid>
      <w:tr>
        <w:tc>
          <w:tcPr>
            <w:tcW w:type="dxa" w:w="28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Model</w:t>
            </w:r>
          </w:p>
        </w:tc>
        <w:tc>
          <w:tcPr>
            <w:tcW w:type="dxa" w:w="1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MAE</w:t>
            </w:r>
          </w:p>
        </w:tc>
        <w:tc>
          <w:tcPr>
            <w:tcW w:type="dxa" w:w="1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RMSE</w:t>
            </w:r>
          </w:p>
        </w:tc>
        <w:tc>
          <w:tcPr>
            <w:tcW w:type="dxa" w:w="1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R²</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Rank</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Linear Regression (baseline)</w:t>
            </w:r>
          </w:p>
        </w:tc>
        <w:tc>
          <w:tcPr>
            <w:tcW w:type="dxa" w:w="1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$7.28</w:t>
            </w:r>
          </w:p>
        </w:tc>
        <w:tc>
          <w:tcPr>
            <w:tcW w:type="dxa" w:w="1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$13.05</w:t>
            </w:r>
          </w:p>
        </w:tc>
        <w:tc>
          <w:tcPr>
            <w:tcW w:type="dxa" w:w="1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0.6897</w:t>
            </w:r>
          </w:p>
        </w:tc>
        <w:tc>
          <w:tcPr>
            <w:tcW w:type="dxa" w:w="14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3rd</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AdaBoost</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8B1A1A"/>
                <w:sz w:val="20"/>
                <w:szCs w:val="20"/>
              </w:rPr>
              <w:t xml:space="preserve">$10.66</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8B1A1A"/>
                <w:sz w:val="20"/>
                <w:szCs w:val="20"/>
              </w:rPr>
              <w:t xml:space="preserve">$16.70</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8B1A1A"/>
                <w:sz w:val="20"/>
                <w:szCs w:val="20"/>
              </w:rPr>
              <w:t xml:space="preserve">0.4924</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8B1A1A"/>
                <w:sz w:val="20"/>
                <w:szCs w:val="20"/>
              </w:rPr>
              <w:t xml:space="preserve">4th</w:t>
            </w:r>
          </w:p>
        </w:tc>
      </w:tr>
      <w:tr>
        <w:tc>
          <w:tcPr>
            <w:tcW w:type="dxa" w:w="288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E5FA3"/>
                <w:sz w:val="20"/>
                <w:szCs w:val="20"/>
              </w:rPr>
              <w:t xml:space="preserve">PyTorch Lightning FFNN</w:t>
            </w:r>
          </w:p>
        </w:tc>
        <w:tc>
          <w:tcPr>
            <w:tcW w:type="dxa" w:w="168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$5.74</w:t>
            </w:r>
          </w:p>
        </w:tc>
        <w:tc>
          <w:tcPr>
            <w:tcW w:type="dxa" w:w="168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$9.81</w:t>
            </w:r>
          </w:p>
        </w:tc>
        <w:tc>
          <w:tcPr>
            <w:tcW w:type="dxa" w:w="168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0.8169</w:t>
            </w:r>
          </w:p>
        </w:tc>
        <w:tc>
          <w:tcPr>
            <w:tcW w:type="dxa" w:w="144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2nd</w:t>
            </w:r>
          </w:p>
        </w:tc>
      </w:tr>
      <w:tr>
        <w:tc>
          <w:tcPr>
            <w:tcW w:type="dxa" w:w="288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XGBoost (winner)</w:t>
            </w:r>
          </w:p>
        </w:tc>
        <w:tc>
          <w:tcPr>
            <w:tcW w:type="dxa" w:w="168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$4.26</w:t>
            </w:r>
          </w:p>
        </w:tc>
        <w:tc>
          <w:tcPr>
            <w:tcW w:type="dxa" w:w="168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$6.73</w:t>
            </w:r>
          </w:p>
        </w:tc>
        <w:tc>
          <w:tcPr>
            <w:tcW w:type="dxa" w:w="168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0.9174</w:t>
            </w:r>
          </w:p>
        </w:tc>
        <w:tc>
          <w:tcPr>
            <w:tcW w:type="dxa" w:w="144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1st</w:t>
            </w:r>
          </w:p>
        </w:tc>
      </w:tr>
    </w:tbl>
    <w:p>
      <w:pPr>
        <w:spacing w:before="0" w:after="0"/>
      </w:pPr>
      <w:r>
        <w:t xml:space="preserve"/>
      </w:r>
    </w:p>
    <w:p>
      <w:pPr>
        <w:pStyle w:val="Heading2"/>
        <w:spacing w:before="280" w:after="80"/>
      </w:pPr>
      <w:r>
        <w:rPr>
          <w:rFonts w:ascii="Georgia" w:cs="Georgia" w:eastAsia="Georgia" w:hAnsi="Georgia"/>
          <w:b/>
          <w:bCs/>
          <w:color w:val="2E5FA3"/>
          <w:sz w:val="26"/>
          <w:szCs w:val="26"/>
        </w:rPr>
        <w:t xml:space="preserve">4.3  Why XGBoost Outperforms the Neural Network on This Dataset</w:t>
      </w:r>
    </w:p>
    <w:p>
      <w:pPr>
        <w:spacing w:before="60" w:after="80"/>
      </w:pPr>
      <w:r>
        <w:rPr>
          <w:rFonts w:ascii="Calibri" w:cs="Calibri" w:eastAsia="Calibri" w:hAnsi="Calibri"/>
          <w:color w:val="222222"/>
          <w:sz w:val="22"/>
          <w:szCs w:val="22"/>
        </w:rPr>
        <w:t xml:space="preserve">The neural network finishes second — a solid result, but behind XGBoost by a meaningful margin (R² 0.82 vs 0.92, MAE $5.74 vs $4.26). This outcome is expected and well-documented in the ML literature. Understanding why is important for the final report.</w:t>
      </w:r>
    </w:p>
    <w:p>
      <w:pPr>
        <w:spacing w:before="0" w:after="0"/>
      </w:pPr>
      <w:r>
        <w:t xml:space="preserve"/>
      </w:r>
    </w:p>
    <w:p>
      <w:pPr>
        <w:pStyle w:val="ListParagraph"/>
        <w:numPr>
          <w:ilvl w:val="0"/>
          <w:numId w:val="2"/>
        </w:numPr>
        <w:spacing w:before="40" w:after="40"/>
      </w:pPr>
      <w:r>
        <w:rPr>
          <w:rFonts w:ascii="Calibri" w:cs="Calibri" w:eastAsia="Calibri" w:hAnsi="Calibri"/>
          <w:b w:val="false"/>
          <w:bCs w:val="false"/>
          <w:color w:val="222222"/>
          <w:sz w:val="22"/>
          <w:szCs w:val="22"/>
        </w:rPr>
        <w:t xml:space="preserve">Tabular data is XGBoost's home turf. Neural networks were originally designed for unstructured data (images, text, audio) where learned feature representations matter enormously. Tabular data already has engineered features — volume, DIM ratio, zone — so there is less for the neural network to discover.</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XGBoost builds axis-aligned decision boundaries that naturally match how shipping pricing works. FedEx pricing is fundamentally step-function based: rate tables by zone, weight brackets, service tiers. XGBoost's tree splits mirror this structure exactly. A neural network approximates it with smooth nonlinear functions, which is less precise.</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XGBoost has far more effective parameters for this problem size. With 41,820 training rows and 34 features, XGBoost's 593 trees each learned a specialized piece of the pricing structure. The neural network's 15,241 parameters are spread across a single fixed architecture.</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Neural networks need more data to outperform gradient boosting. As a rough heuristic, neural networks tend to pull ahead at 500K+ rows. At 41K rows, XGBoost has the edge.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235A" w:sz="3"/>
              <w:left w:val="thick" w:color="4A235A" w:sz="12"/>
              <w:bottom w:val="single" w:color="4A235A" w:sz="3"/>
              <w:right w:val="single" w:color="4A235A" w:sz="3"/>
            </w:tcBorders>
            <w:shd w:fill="EFE0F7" w:val="clear"/>
            <w:tcMar>
              <w:top w:type="dxa" w:w="120"/>
              <w:left w:type="dxa" w:w="200"/>
              <w:bottom w:type="dxa" w:w="120"/>
              <w:right w:type="dxa" w:w="200"/>
            </w:tcMar>
          </w:tcPr>
          <w:p>
            <w:pPr>
              <w:spacing w:before="0" w:after="40"/>
            </w:pPr>
            <w:r>
              <w:rPr>
                <w:rFonts w:ascii="Calibri" w:cs="Calibri" w:eastAsia="Calibri" w:hAnsi="Calibri"/>
                <w:b/>
                <w:bCs/>
                <w:color w:val="4A235A"/>
                <w:sz w:val="20"/>
                <w:szCs w:val="20"/>
              </w:rPr>
              <w:t xml:space="preserve">How to frame this in the presentation</w:t>
            </w:r>
          </w:p>
          <w:p>
            <w:pPr>
              <w:spacing w:before="0" w:after="0"/>
            </w:pPr>
            <w:r>
              <w:rPr>
                <w:rFonts w:ascii="Calibri" w:cs="Calibri" w:eastAsia="Calibri" w:hAnsi="Calibri"/>
                <w:color w:val="222222"/>
                <w:sz w:val="20"/>
                <w:szCs w:val="20"/>
              </w:rPr>
              <w:t xml:space="preserve">Do not present the neural network result as a failure. An R² of 0.82 is a genuinely strong regression result. The correct framing is: 'We tested two approaches — gradient boosting and deep learning. On this dataset and at this scale, XGBoost outperformed the neural network, which is consistent with what the research literature predicts for tabular data of this size. Both models are accurate enough for production use.'</w:t>
            </w:r>
          </w:p>
        </w:tc>
      </w:tr>
    </w:tbl>
    <w:p>
      <w:r>
        <w:br w:type="page"/>
      </w:r>
    </w:p>
    <w:p>
      <w:pPr>
        <w:pStyle w:val="Heading1"/>
        <w:spacing w:before="400" w:after="120"/>
      </w:pPr>
      <w:r>
        <w:rPr>
          <w:rFonts w:ascii="Georgia" w:cs="Georgia" w:eastAsia="Georgia" w:hAnsi="Georgia"/>
          <w:b/>
          <w:bCs/>
          <w:color w:val="1F3864"/>
          <w:sz w:val="36"/>
          <w:szCs w:val="36"/>
        </w:rPr>
        <w:t xml:space="preserve">5. How the Evaluation Pipeline Works</w:t>
      </w:r>
    </w:p>
    <w:p>
      <w:pPr>
        <w:pBdr>
          <w:bottom w:val="single" w:color="2E5FA3" w:sz="6" w:space="4"/>
        </w:pBdr>
        <w:spacing w:before="40" w:after="120"/>
      </w:pPr>
      <w:r>
        <w:t xml:space="preserve"/>
      </w:r>
    </w:p>
    <w:p>
      <w:pPr>
        <w:spacing w:before="60" w:after="80"/>
      </w:pPr>
      <w:r>
        <w:rPr>
          <w:rFonts w:ascii="Calibri" w:cs="Calibri" w:eastAsia="Calibri" w:hAnsi="Calibri"/>
          <w:color w:val="222222"/>
          <w:sz w:val="22"/>
          <w:szCs w:val="22"/>
        </w:rPr>
        <w:t xml:space="preserve">The evaluation follows a four-step process that is easy to get wrong. It is documented explicitly here because the log/dollar conversion is a common source of confusion.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c>
          <w:tcPr>
            <w:tcW w:type="dxa" w:w="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Step</w:t>
            </w:r>
          </w:p>
        </w:tc>
        <w:tc>
          <w:tcPr>
            <w:tcW w:type="dxa" w:w="2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Action</w:t>
            </w:r>
          </w:p>
        </w:tc>
        <w:tc>
          <w:tcPr>
            <w:tcW w:type="dxa" w:w="6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1</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Load best checkpoint</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ShippingRegressor.load_from_checkpoint() reloads the weights saved at the epoch with lowest val_loss. This is not the final epoch — it is whichever epoch was best.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2</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Set model to eval mode</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best_model.eval() disables Dropout and tells BatchNorm to use running statistics instead of batch statistics. Without this, predictions would be randomly different every run.</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3</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Predict in log-space</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y_pred_log = best_model(X_val).squeeze().numpy() — the model outputs log(charge + 1) values, not raw dollars. squeeze() removes the extra dimension added by unsqueeze(1) during data loading.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4</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Convert to dollars</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y_pred_dollars = np.expm1(y_pred_log) — this is the inverse of np.log1p(). expm1(x) = e^x - 1. All MAE, RMSE, and R² metrics are computed in real dollars, not log-space, so they are directly interpretable.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3"/>
              <w:left w:val="thick" w:color="E8A020" w:sz="12"/>
              <w:bottom w:val="single" w:color="E8A020" w:sz="3"/>
              <w:right w:val="single" w:color="E8A020" w:sz="3"/>
            </w:tcBorders>
            <w:shd w:fill="FFF8DC" w:val="clear"/>
            <w:tcMar>
              <w:top w:type="dxa" w:w="120"/>
              <w:left w:type="dxa" w:w="200"/>
              <w:bottom w:type="dxa" w:w="120"/>
              <w:right w:type="dxa" w:w="200"/>
            </w:tcMar>
          </w:tcPr>
          <w:p>
            <w:pPr>
              <w:spacing w:before="0" w:after="40"/>
            </w:pPr>
            <w:r>
              <w:rPr>
                <w:rFonts w:ascii="Calibri" w:cs="Calibri" w:eastAsia="Calibri" w:hAnsi="Calibri"/>
                <w:b/>
                <w:bCs/>
                <w:color w:val="7D3C00"/>
                <w:sz w:val="20"/>
                <w:szCs w:val="20"/>
              </w:rPr>
              <w:t xml:space="preserve">Why torch.no_grad() is used during evaluation</w:t>
            </w:r>
          </w:p>
          <w:p>
            <w:pPr>
              <w:spacing w:before="0" w:after="0"/>
            </w:pPr>
            <w:r>
              <w:rPr>
                <w:rFonts w:ascii="Courier New" w:cs="Courier New" w:eastAsia="Courier New" w:hAnsi="Courier New"/>
                <w:color w:val="222222"/>
                <w:sz w:val="18"/>
                <w:szCs w:val="18"/>
              </w:rPr>
              <w:t xml:space="preserve">with torch.no_grad():</w:t>
            </w:r>
          </w:p>
          <w:p>
            <w:pPr>
              <w:spacing w:before="0" w:after="0"/>
            </w:pPr>
            <w:r>
              <w:rPr>
                <w:rFonts w:ascii="Courier New" w:cs="Courier New" w:eastAsia="Courier New" w:hAnsi="Courier New"/>
                <w:color w:val="222222"/>
                <w:sz w:val="18"/>
                <w:szCs w:val="18"/>
              </w:rPr>
              <w:t xml:space="preserve">    y_val_pred_log = best_model(X_val).squeeze().numpy()</w:t>
            </w:r>
          </w:p>
          <w:p>
            <w:pPr>
              <w:spacing w:before="0" w:after="0"/>
            </w:pPr>
            <w:r>
              <w:rPr>
                <w:rFonts w:ascii="Courier New" w:cs="Courier New" w:eastAsia="Courier New" w:hAnsi="Courier New"/>
                <w:color w:val="222222"/>
                <w:sz w:val="18"/>
                <w:szCs w:val="18"/>
              </w:rPr>
              <w:t xml:space="preserve"/>
            </w:r>
          </w:p>
          <w:p>
            <w:pPr>
              <w:spacing w:before="0" w:after="0"/>
            </w:pPr>
            <w:r>
              <w:rPr>
                <w:rFonts w:ascii="Courier New" w:cs="Courier New" w:eastAsia="Courier New" w:hAnsi="Courier New"/>
                <w:color w:val="222222"/>
                <w:sz w:val="18"/>
                <w:szCs w:val="18"/>
              </w:rPr>
              <w:t xml:space="preserve">PyTorch tracks every operation during a forward pass to build a computation graph</w:t>
            </w:r>
          </w:p>
          <w:p>
            <w:pPr>
              <w:spacing w:before="0" w:after="0"/>
            </w:pPr>
            <w:r>
              <w:rPr>
                <w:rFonts w:ascii="Courier New" w:cs="Courier New" w:eastAsia="Courier New" w:hAnsi="Courier New"/>
                <w:color w:val="222222"/>
                <w:sz w:val="18"/>
                <w:szCs w:val="18"/>
              </w:rPr>
              <w:t xml:space="preserve">for backpropagation. During evaluation there is no backprop — so building the</w:t>
            </w:r>
          </w:p>
          <w:p>
            <w:pPr>
              <w:spacing w:before="0" w:after="0"/>
            </w:pPr>
            <w:r>
              <w:rPr>
                <w:rFonts w:ascii="Courier New" w:cs="Courier New" w:eastAsia="Courier New" w:hAnsi="Courier New"/>
                <w:color w:val="222222"/>
                <w:sz w:val="18"/>
                <w:szCs w:val="18"/>
              </w:rPr>
              <w:t xml:space="preserve">graph wastes memory and compute. torch.no_grad() disables gradient tracking.</w:t>
            </w:r>
          </w:p>
          <w:p>
            <w:pPr>
              <w:spacing w:before="0" w:after="0"/>
            </w:pPr>
            <w:r>
              <w:rPr>
                <w:rFonts w:ascii="Courier New" w:cs="Courier New" w:eastAsia="Courier New" w:hAnsi="Courier New"/>
                <w:color w:val="222222"/>
                <w:sz w:val="18"/>
                <w:szCs w:val="18"/>
              </w:rPr>
              <w:t xml:space="preserve">Always use it during inference.</w:t>
            </w:r>
          </w:p>
        </w:tc>
      </w:tr>
    </w:tbl>
    <w:p>
      <w:r>
        <w:br w:type="page"/>
      </w:r>
    </w:p>
    <w:p>
      <w:pPr>
        <w:pStyle w:val="Heading1"/>
        <w:spacing w:before="400" w:after="120"/>
      </w:pPr>
      <w:r>
        <w:rPr>
          <w:rFonts w:ascii="Georgia" w:cs="Georgia" w:eastAsia="Georgia" w:hAnsi="Georgia"/>
          <w:b/>
          <w:bCs/>
          <w:color w:val="1F3864"/>
          <w:sz w:val="36"/>
          <w:szCs w:val="36"/>
        </w:rPr>
        <w:t xml:space="preserve">6. Reading the TensorBoard Logs</w:t>
      </w:r>
    </w:p>
    <w:p>
      <w:pPr>
        <w:pBdr>
          <w:bottom w:val="single" w:color="2E5FA3" w:sz="6" w:space="4"/>
        </w:pBdr>
        <w:spacing w:before="40" w:after="120"/>
      </w:pPr>
      <w:r>
        <w:t xml:space="preserve"/>
      </w:r>
    </w:p>
    <w:p>
      <w:pPr>
        <w:spacing w:before="60" w:after="80"/>
      </w:pPr>
      <w:r>
        <w:rPr>
          <w:rFonts w:ascii="Calibri" w:cs="Calibri" w:eastAsia="Calibri" w:hAnsi="Calibri"/>
          <w:color w:val="222222"/>
          <w:sz w:val="22"/>
          <w:szCs w:val="22"/>
        </w:rPr>
        <w:t xml:space="preserve">The TensorBoardLogger writes train_loss and val_loss every epoch to logs/regression/. These curves are the primary diagnostic tool for understanding whether the model trained correctly.</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6.1  How to open TensorBoard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3"/>
              <w:left w:val="thick" w:color="E8A020" w:sz="12"/>
              <w:bottom w:val="single" w:color="E8A020" w:sz="3"/>
              <w:right w:val="single" w:color="E8A020" w:sz="3"/>
            </w:tcBorders>
            <w:shd w:fill="FFF8DC" w:val="clear"/>
            <w:tcMar>
              <w:top w:type="dxa" w:w="120"/>
              <w:left w:type="dxa" w:w="200"/>
              <w:bottom w:type="dxa" w:w="120"/>
              <w:right w:type="dxa" w:w="200"/>
            </w:tcMar>
          </w:tcPr>
          <w:p>
            <w:pPr>
              <w:spacing w:before="0" w:after="40"/>
            </w:pPr>
            <w:r>
              <w:rPr>
                <w:rFonts w:ascii="Calibri" w:cs="Calibri" w:eastAsia="Calibri" w:hAnsi="Calibri"/>
                <w:b/>
                <w:bCs/>
                <w:color w:val="7D3C00"/>
                <w:sz w:val="20"/>
                <w:szCs w:val="20"/>
              </w:rPr>
              <w:t xml:space="preserve">Launch command (from project root, with .venv active)</w:t>
            </w:r>
          </w:p>
          <w:p>
            <w:pPr>
              <w:spacing w:before="0" w:after="0"/>
            </w:pPr>
            <w:r>
              <w:rPr>
                <w:rFonts w:ascii="Courier New" w:cs="Courier New" w:eastAsia="Courier New" w:hAnsi="Courier New"/>
                <w:color w:val="222222"/>
                <w:sz w:val="18"/>
                <w:szCs w:val="18"/>
              </w:rPr>
              <w:t xml:space="preserve">tensorboard --logdir=logs/</w:t>
            </w:r>
          </w:p>
          <w:p>
            <w:pPr>
              <w:spacing w:before="0" w:after="0"/>
            </w:pPr>
            <w:r>
              <w:rPr>
                <w:rFonts w:ascii="Courier New" w:cs="Courier New" w:eastAsia="Courier New" w:hAnsi="Courier New"/>
                <w:color w:val="222222"/>
                <w:sz w:val="18"/>
                <w:szCs w:val="18"/>
              </w:rPr>
              <w:t xml:space="preserve"/>
            </w:r>
          </w:p>
          <w:p>
            <w:pPr>
              <w:spacing w:before="0" w:after="0"/>
            </w:pPr>
            <w:r>
              <w:rPr>
                <w:rFonts w:ascii="Courier New" w:cs="Courier New" w:eastAsia="Courier New" w:hAnsi="Courier New"/>
                <w:color w:val="222222"/>
                <w:sz w:val="18"/>
                <w:szCs w:val="18"/>
              </w:rPr>
              <w:t xml:space="preserve">Then open: http://localhost:6006 in your browser.</w:t>
            </w:r>
          </w:p>
        </w:tc>
      </w:tr>
    </w:tbl>
    <w:p>
      <w:pPr>
        <w:spacing w:before="0" w:after="0"/>
      </w:pPr>
      <w:r>
        <w:t xml:space="preserve"/>
      </w:r>
    </w:p>
    <w:p>
      <w:pPr>
        <w:pStyle w:val="Heading2"/>
        <w:spacing w:before="280" w:after="80"/>
      </w:pPr>
      <w:r>
        <w:rPr>
          <w:rFonts w:ascii="Georgia" w:cs="Georgia" w:eastAsia="Georgia" w:hAnsi="Georgia"/>
          <w:b/>
          <w:bCs/>
          <w:color w:val="2E5FA3"/>
          <w:sz w:val="26"/>
          <w:szCs w:val="26"/>
        </w:rPr>
        <w:t xml:space="preserve">6.2  What to look for in the curves</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Train loss and val loss should both decrease and converge — this happened here (final train 0.0149, val 0.0142)</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Val loss slightly below train loss is normal with Dropout — training uses randomly disabled neurons (harder), validation does not (easier, so val looks better)</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A large gap between train loss (low) and val loss (high) would indicate overfitting — the model memorized training data. This did not happen here.</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Val loss plateauing while train loss keeps dropping is the classic overfitting signal — early stopping exists to catch this</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Val loss jumping erratically while train is smooth can indicate a learning rate that is too high — not observed here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3"/>
              <w:left w:val="thick" w:color="2E5FA3" w:sz="12"/>
              <w:bottom w:val="single" w:color="2E5FA3" w:sz="3"/>
              <w:right w:val="single" w:color="2E5FA3" w:sz="3"/>
            </w:tcBorders>
            <w:shd w:fill="D6E4F7" w:val="clear"/>
            <w:tcMar>
              <w:top w:type="dxa" w:w="120"/>
              <w:left w:type="dxa" w:w="200"/>
              <w:bottom w:type="dxa" w:w="120"/>
              <w:right w:type="dxa" w:w="200"/>
            </w:tcMar>
          </w:tcPr>
          <w:p>
            <w:pPr>
              <w:spacing w:before="0" w:after="40"/>
            </w:pPr>
            <w:r>
              <w:rPr>
                <w:rFonts w:ascii="Calibri" w:cs="Calibri" w:eastAsia="Calibri" w:hAnsi="Calibri"/>
                <w:b/>
                <w:bCs/>
                <w:color w:val="2E5FA3"/>
                <w:sz w:val="20"/>
                <w:szCs w:val="20"/>
              </w:rPr>
              <w:t xml:space="preserve">What stopped training at epoch 38</w:t>
            </w:r>
          </w:p>
          <w:p>
            <w:pPr>
              <w:spacing w:before="0" w:after="0"/>
            </w:pPr>
            <w:r>
              <w:rPr>
                <w:rFonts w:ascii="Calibri" w:cs="Calibri" w:eastAsia="Calibri" w:hAnsi="Calibri"/>
                <w:color w:val="222222"/>
                <w:sz w:val="20"/>
                <w:szCs w:val="20"/>
              </w:rPr>
              <w:t xml:space="preserve">Early stopping with patience=10 monitors val_loss every epoch. When val_loss failed to improve for 10 consecutive epochs, training halted. The best checkpoint (lowest val_loss) was already saved — so even though training stopped at epoch 38, the loaded model may correspond to an earlier epoch if val_loss peaked before the final 10 stagnant epochs.</w:t>
            </w:r>
          </w:p>
        </w:tc>
      </w:tr>
    </w:tbl>
    <w:p>
      <w:r>
        <w:br w:type="page"/>
      </w:r>
    </w:p>
    <w:p>
      <w:pPr>
        <w:pStyle w:val="Heading1"/>
        <w:spacing w:before="400" w:after="120"/>
      </w:pPr>
      <w:r>
        <w:rPr>
          <w:rFonts w:ascii="Georgia" w:cs="Georgia" w:eastAsia="Georgia" w:hAnsi="Georgia"/>
          <w:b/>
          <w:bCs/>
          <w:color w:val="1F3864"/>
          <w:sz w:val="36"/>
          <w:szCs w:val="36"/>
        </w:rPr>
        <w:t xml:space="preserve">7. Summary &amp; What Comes Next</w:t>
      </w:r>
    </w:p>
    <w:p>
      <w:pPr>
        <w:pBdr>
          <w:bottom w:val="single" w:color="2E5FA3" w:sz="6" w:space="4"/>
        </w:pBdr>
        <w:spacing w:before="40" w:after="120"/>
      </w:pPr>
      <w:r>
        <w:t xml:space="preserve"/>
      </w:r>
    </w:p>
    <w:p>
      <w:pPr>
        <w:pStyle w:val="Heading2"/>
        <w:spacing w:before="280" w:after="80"/>
      </w:pPr>
      <w:r>
        <w:rPr>
          <w:rFonts w:ascii="Georgia" w:cs="Georgia" w:eastAsia="Georgia" w:hAnsi="Georgia"/>
          <w:b/>
          <w:bCs/>
          <w:color w:val="2E5FA3"/>
          <w:sz w:val="26"/>
          <w:szCs w:val="26"/>
        </w:rPr>
        <w:t xml:space="preserve">7.1  What this model delivers</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MAE $5.74 on held-out test data — predictions are off by under $6 on average for shipments costing $40–$200</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R² 0.8169 — the model explains 81.7% of the variance in net shipping charges</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Train/test consistency (val MAE $5.72, test MAE $5.74) confirms generalization, not memorization</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Saved checkpoint at models/pytorch_regressor_best.ckpt can be loaded and deployed without retraining</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7.2  Full project model comparison (all tasks, all models)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216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MAE / F1</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RMSE / AUC</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R² / Acc</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Logistic Regression</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Task 1</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F1 0.9916</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AUC 0.9940</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Acc 0.9931</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Baseline complete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Linear Regression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Task 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$7.28</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$13.05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0.6897</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Baseline complete</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AdaBoost</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Both</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Cls: 0.9951</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Reg R²: 0.49</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Complete</w:t>
            </w:r>
          </w:p>
        </w:tc>
      </w:tr>
      <w:tr>
        <w:tc>
          <w:tcPr>
            <w:tcW w:type="dxa" w:w="24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XGBoost (best overall)</w:t>
            </w:r>
          </w:p>
        </w:tc>
        <w:tc>
          <w:tcPr>
            <w:tcW w:type="dxa" w:w="12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Both</w:t>
            </w:r>
          </w:p>
        </w:tc>
        <w:tc>
          <w:tcPr>
            <w:tcW w:type="dxa" w:w="12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Cls: 0.9988</w:t>
            </w:r>
          </w:p>
        </w:tc>
        <w:tc>
          <w:tcPr>
            <w:tcW w:type="dxa" w:w="12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AUC 0.9999</w:t>
            </w:r>
          </w:p>
        </w:tc>
        <w:tc>
          <w:tcPr>
            <w:tcW w:type="dxa" w:w="12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Reg R²: 0.9174</w:t>
            </w:r>
          </w:p>
        </w:tc>
        <w:tc>
          <w:tcPr>
            <w:tcW w:type="dxa" w:w="216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Complete — winner</w:t>
            </w:r>
          </w:p>
        </w:tc>
      </w:tr>
      <w:tr>
        <w:tc>
          <w:tcPr>
            <w:tcW w:type="dxa" w:w="24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E5FA3"/>
                <w:sz w:val="20"/>
                <w:szCs w:val="20"/>
              </w:rPr>
              <w:t xml:space="preserve">PL FFNN — Classification</w:t>
            </w:r>
          </w:p>
        </w:tc>
        <w:tc>
          <w:tcPr>
            <w:tcW w:type="dxa" w:w="12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Task 1</w:t>
            </w:r>
          </w:p>
        </w:tc>
        <w:tc>
          <w:tcPr>
            <w:tcW w:type="dxa" w:w="12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E5FA3"/>
                <w:sz w:val="20"/>
                <w:szCs w:val="20"/>
              </w:rPr>
              <w:t xml:space="preserve">TBD</w:t>
            </w:r>
          </w:p>
        </w:tc>
        <w:tc>
          <w:tcPr>
            <w:tcW w:type="dxa" w:w="12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E5FA3"/>
                <w:sz w:val="20"/>
                <w:szCs w:val="20"/>
              </w:rPr>
              <w:t xml:space="preserve">TBD</w:t>
            </w:r>
          </w:p>
        </w:tc>
        <w:tc>
          <w:tcPr>
            <w:tcW w:type="dxa" w:w="12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E5FA3"/>
                <w:sz w:val="20"/>
                <w:szCs w:val="20"/>
              </w:rPr>
              <w:t xml:space="preserve">TBD</w:t>
            </w:r>
          </w:p>
        </w:tc>
        <w:tc>
          <w:tcPr>
            <w:tcW w:type="dxa" w:w="216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E5FA3"/>
                <w:sz w:val="20"/>
                <w:szCs w:val="20"/>
              </w:rPr>
              <w:t xml:space="preserve">Next notebook</w:t>
            </w:r>
          </w:p>
        </w:tc>
      </w:tr>
      <w:tr>
        <w:tc>
          <w:tcPr>
            <w:tcW w:type="dxa" w:w="240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bCs/>
                <w:color w:val="4A235A"/>
                <w:sz w:val="20"/>
                <w:szCs w:val="20"/>
              </w:rPr>
              <w:t xml:space="preserve">PL FFNN — Regression</w:t>
            </w:r>
          </w:p>
        </w:tc>
        <w:tc>
          <w:tcPr>
            <w:tcW w:type="dxa" w:w="120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Task 2</w:t>
            </w:r>
          </w:p>
        </w:tc>
        <w:tc>
          <w:tcPr>
            <w:tcW w:type="dxa" w:w="120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$5.74</w:t>
            </w:r>
          </w:p>
        </w:tc>
        <w:tc>
          <w:tcPr>
            <w:tcW w:type="dxa" w:w="120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$9.81</w:t>
            </w:r>
          </w:p>
        </w:tc>
        <w:tc>
          <w:tcPr>
            <w:tcW w:type="dxa" w:w="120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0.8169</w:t>
            </w:r>
          </w:p>
        </w:tc>
        <w:tc>
          <w:tcPr>
            <w:tcW w:type="dxa" w:w="216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bCs/>
                <w:color w:val="4A235A"/>
                <w:sz w:val="20"/>
                <w:szCs w:val="20"/>
              </w:rPr>
              <w:t xml:space="preserve">This notebook — done</w:t>
            </w:r>
          </w:p>
        </w:tc>
      </w:tr>
    </w:tbl>
    <w:p>
      <w:pPr>
        <w:spacing w:before="0" w:after="0"/>
      </w:pPr>
      <w:r>
        <w:t xml:space="preserve"/>
      </w:r>
    </w:p>
    <w:p>
      <w:pPr>
        <w:pStyle w:val="Heading2"/>
        <w:spacing w:before="280" w:after="80"/>
      </w:pPr>
      <w:r>
        <w:rPr>
          <w:rFonts w:ascii="Georgia" w:cs="Georgia" w:eastAsia="Georgia" w:hAnsi="Georgia"/>
          <w:b/>
          <w:bCs/>
          <w:color w:val="2E5FA3"/>
          <w:sz w:val="26"/>
          <w:szCs w:val="26"/>
        </w:rPr>
        <w:t xml:space="preserve">7.3  Remaining work</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05_pytorch_classification.py — the DIM flag classification neural network. Same architecture pattern, different output (sigmoid, BCEWithLogitsLoss). Results will complete the full comparison table above.</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07_final_comparison.ipynb — loads all saved model checkpoints and pickles, generates the complete side-by-side comparison table and plots for the report</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Report write-up — use this doc and 04_gradient_boosting_notes.docx as source material for the Methods and Results sections</w:t>
      </w:r>
    </w:p>
    <w:p>
      <w:pPr>
        <w:spacing w:before="0" w:after="0"/>
      </w:pPr>
      <w:r>
        <w:t xml:space="preserve"/>
      </w:r>
    </w:p>
    <w:p>
      <w:pPr>
        <w:spacing w:before="240" w:after="0"/>
        <w:jc w:val="center"/>
      </w:pPr>
      <w:r>
        <w:rPr>
          <w:rFonts w:ascii="Calibri" w:cs="Calibri" w:eastAsia="Calibri" w:hAnsi="Calibri"/>
          <w:i/>
          <w:iCs/>
          <w:color w:val="666666"/>
          <w:sz w:val="20"/>
          <w:szCs w:val="20"/>
        </w:rPr>
        <w:t xml:space="preserve">End of PyTorch regression documentation. Next file: docs/05_pytorch_classification_notes.docx</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6"/>
      </w:pBdr>
      <w:tabs>
        <w:tab w:val="right" w:pos="9026"/>
      </w:tabs>
      <w:spacing w:before="80" w:after="0"/>
    </w:pPr>
    <w:r>
      <w:rPr>
        <w:rFonts w:ascii="Calibri" w:cs="Calibri" w:eastAsia="Calibri" w:hAnsi="Calibri"/>
        <w:color w:val="666666"/>
        <w:sz w:val="18"/>
        <w:szCs w:val="18"/>
      </w:rPr>
      <w:t xml:space="preserve">CSE 4309 — Machine Learning  |  UTA Spring 2026</w:t>
    </w:r>
    <w:r>
      <w:rPr>
        <w:rFonts w:ascii="Calibri" w:cs="Calibri" w:eastAsia="Calibri" w:hAnsi="Calibri"/>
        <w:color w:val="666666"/>
        <w:sz w:val="18"/>
        <w:szCs w:val="18"/>
      </w:rPr>
      <w:t xml:space="preserve">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6"/>
      </w:pBdr>
      <w:spacing w:before="0" w:after="80"/>
    </w:pPr>
    <w:r>
      <w:rPr>
        <w:rFonts w:ascii="Calibri" w:cs="Calibri" w:eastAsia="Calibri" w:hAnsi="Calibri"/>
        <w:color w:val="666666"/>
        <w:sz w:val="18"/>
        <w:szCs w:val="18"/>
      </w:rPr>
      <w:t xml:space="preserve">FedEx DIM Weight Predictor  |  docs/06_pytorch_regression_notes.docx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abstractNum w:abstractNumId="3" w15:restartNumberingAfterBreak="0">
    <w:multiLevelType w:val="hybridMultilevel"/>
    <w:lvl w:ilvl="0" w15:tentative="1">
      <w:start w:val="1"/>
      <w:numFmt w:val="bullet"/>
      <w:lvlText w:val="–"/>
      <w:lvlJc w:val="left"/>
      <w:pPr>
        <w:ind w:left="7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120"/>
      <w:outlineLvl w:val="0"/>
    </w:pPr>
    <w:rPr>
      <w:rFonts w:ascii="Georgia" w:cs="Georgia" w:eastAsia="Georgia" w:hAnsi="Georgia"/>
      <w:b/>
      <w:bCs/>
      <w:color w:val="1F3864"/>
      <w:sz w:val="36"/>
      <w:szCs w:val="36"/>
    </w:rPr>
  </w:style>
  <w:style w:type="paragraph" w:styleId="Heading2">
    <w:name w:val="Heading 2"/>
    <w:basedOn w:val="Normal"/>
    <w:next w:val="Normal"/>
    <w:pPr>
      <w:spacing w:before="280" w:after="80"/>
      <w:outlineLvl w:val="1"/>
    </w:pPr>
    <w:rPr>
      <w:rFonts w:ascii="Georgia" w:cs="Georgia" w:eastAsia="Georgia" w:hAnsi="Georgia"/>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2026-03-28T21:21:18.251Z</dcterms:created>
  <dcterms:modified xsi:type="dcterms:W3CDTF">2026-03-28T21:21:18.252Z</dcterms:modified>
</cp:coreProperties>
</file>

<file path=docProps/custom.xml><?xml version="1.0" encoding="utf-8"?>
<Properties xmlns="http://schemas.openxmlformats.org/officeDocument/2006/custom-properties" xmlns:vt="http://schemas.openxmlformats.org/officeDocument/2006/docPropsVTypes"/>
</file>