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40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docs/</w:t>
      </w:r>
    </w:p>
    <w:p>
      <w:pPr>
        <w:spacing w:before="0" w:after="50"/>
      </w:pPr>
      <w:r>
        <w:rPr>
          <w:rFonts w:ascii="Georgia" w:cs="Georgia" w:eastAsia="Georgia" w:hAnsi="Georgia"/>
          <w:b/>
          <w:bCs/>
          <w:color w:val="1F3864"/>
          <w:sz w:val="46"/>
          <w:szCs w:val="46"/>
        </w:rPr>
        <w:t xml:space="preserve">model_results_reference.docx</w:t>
      </w:r>
    </w:p>
    <w:p>
      <w:pPr>
        <w:pBdr>
          <w:bottom w:val="single" w:color="E8A020" w:sz="10" w:space="8"/>
        </w:pBdr>
        <w:spacing w:before="0" w:after="70"/>
      </w:pPr>
      <w:r>
        <w:rPr>
          <w:rFonts w:ascii="Calibri" w:cs="Calibri" w:eastAsia="Calibri" w:hAnsi="Calibri"/>
          <w:color w:val="2E5FA3"/>
          <w:sz w:val="24"/>
          <w:szCs w:val="24"/>
        </w:rPr>
        <w:t xml:space="preserve">Final test set results — all 6 models, both tasks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Source notebook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07_final_comparison.ipynb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Test set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5,228 shipments (held out, never seen during training)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FedEx domestic shipments — net charges capped at $200, 34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Winner — Task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XGBoost  |  AUC 0.9990  |  F1 0.9974  |  Recall 0.9995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Winner — Task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XGBoost  |  MAE $4.26   |  RMSE $6.37  |  R² 0.9228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models/xgb_classifier.pkl  |  models/xgb_regressor.pkl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0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Task 1 — DIM Flag Classification</w:t>
      </w:r>
    </w:p>
    <w:p>
      <w:pPr>
        <w:pBdr>
          <w:bottom w:val="single" w:color="2E5FA3" w:sz="6" w:space="4"/>
        </w:pBdr>
        <w:spacing w:before="30" w:after="100"/>
      </w:pPr>
      <w:r>
        <w:t xml:space="preserve"/>
      </w:r>
    </w:p>
    <w:p>
      <w:pPr>
        <w:spacing w:before="50"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Binary prediction: will FedEx apply dimensional weight billing? Positive class = DIM=Y (40.7% of shipments). All metrics from the held-out test set.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0.9815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0.9895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0.9964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AdaBoost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0.9907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0.9962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0.9980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235A"/>
                <w:sz w:val="20"/>
                <w:szCs w:val="20"/>
              </w:rPr>
              <w:t xml:space="preserve">PyTorch FFNN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0.9811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0.9991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0.9988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XGBoost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0.9979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0.9953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0.9995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0.9974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0.9990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3"/>
              <w:left w:val="thick" w:color="1E6B3C" w:sz="12"/>
              <w:bottom w:val="single" w:color="1E6B3C" w:sz="3"/>
              <w:right w:val="single" w:color="1E6B3C" w:sz="3"/>
            </w:tcBorders>
            <w:shd w:fill="D6F0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0" w:after="35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Notable: Recall tie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PyTorch FFNN and XGBoost both achieve Recall 0.999x — near-identical miss rates on DIM=Y shipments. XGBoost wins on Precision (0.9953 vs 0.9811), meaning fewer false alarms sent to the packing floor.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0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Task 2 — Net Charge Regression</w:t>
      </w:r>
    </w:p>
    <w:p>
      <w:pPr>
        <w:pBdr>
          <w:bottom w:val="single" w:color="2E5FA3" w:sz="6" w:space="4"/>
        </w:pBdr>
        <w:spacing w:before="30" w:after="100"/>
      </w:pPr>
      <w:r>
        <w:t xml:space="preserve"/>
      </w:r>
    </w:p>
    <w:p>
      <w:pPr>
        <w:spacing w:before="50"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Predict the final net shipping charge in dollars. Target was log-transformed during training (log_net_charge); all metrics reported in real dollars via np.expm1(). Dataset capped at $200 per shipment.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$7.31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$12.66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0.6954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AdaBoost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$10.45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$15.73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0.5297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235A"/>
                <w:sz w:val="20"/>
                <w:szCs w:val="20"/>
              </w:rPr>
              <w:t xml:space="preserve">PyTorch FFNN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$5.87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$10.20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0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0.8022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XGBoost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$4.26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$6.37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0.9228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3"/>
              <w:left w:val="thick" w:color="E8A020" w:sz="12"/>
              <w:bottom w:val="single" w:color="E8A020" w:sz="3"/>
              <w:right w:val="single" w:color="E8A020" w:sz="3"/>
            </w:tcBorders>
            <w:shd w:fill="FDEBD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0" w:after="35"/>
            </w:pPr>
            <w:r>
              <w:rPr>
                <w:rFonts w:ascii="Calibri" w:cs="Calibri" w:eastAsia="Calibri" w:hAnsi="Calibri"/>
                <w:b/>
                <w:bCs/>
                <w:color w:val="7D3C00"/>
                <w:sz w:val="20"/>
                <w:szCs w:val="20"/>
              </w:rPr>
              <w:t xml:space="preserve">Notable: ~10% R² improvement from outlier removal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Dropping net charges &gt; $200 (0.37% of data) was the single highest-impact data decision in the project. XGBoost R² improved from ~0.82 to 0.9228. MSE loss penalizes large errors quadratically — a handful of $3,500 shipments dominated training before the cap.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0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Deployment Reference</w:t>
      </w:r>
    </w:p>
    <w:p>
      <w:pPr>
        <w:pBdr>
          <w:bottom w:val="single" w:color="2E5FA3" w:sz="6" w:space="4"/>
        </w:pBdr>
        <w:spacing w:before="30" w:after="100"/>
      </w:pPr>
      <w:r>
        <w:t xml:space="preserve"/>
      </w:r>
    </w:p>
    <w:p>
      <w:pPr>
        <w:spacing w:before="50"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Models to use for all product builds. XGBoost is the recommended choice for deployment — no GPU required, fast inference, smaller artifact size.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6B3C"/>
                <w:sz w:val="20"/>
                <w:szCs w:val="20"/>
              </w:rPr>
              <w:t xml:space="preserve">DIM flag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models/xgb_classifier.pkl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34 unscaled features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Net charge estimation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XGBoost Regressor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models/xgb_regressor.pkl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34 unscaled features + expm1() output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50"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PyTorch checkpoints (models/pytorch_classifier_best.ckpt and pytorch_regressor_best.ckpt) are available as fallback but require the scaled parquet pipeline and torch installed at inference 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20" w:after="70"/>
      </w:pPr>
      <w:r>
        <w:rPr>
          <w:rFonts w:ascii="Georgia" w:cs="Georgia" w:eastAsia="Georgia" w:hAnsi="Georgia"/>
          <w:b/>
          <w:bCs/>
          <w:color w:val="2E5FA3"/>
          <w:sz w:val="24"/>
          <w:szCs w:val="24"/>
        </w:rPr>
        <w:t xml:space="preserve">Key preprocessing facts for the API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34 features are from the unscaled parquet pipeline for XGBoost — no StandardScaler needed at inference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Regression output is in log-space — always wrap with np.expm1() before returning dollar amounts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Outlier cap: the regression model was trained on charges &lt;= $200. Predictions above this range are extrapolation.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Leakage columns excluded at inference: Shipment Rated Weight(Pounds), Net Charge Billed Currency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Pricing Zone must be normalized before inference — '2' → '02', non-standard codes → 'Other'</w:t>
      </w:r>
    </w:p>
    <w:p>
      <w:pPr>
        <w:spacing w:before="0" w:after="0"/>
      </w:pPr>
      <w:r>
        <w:t xml:space="preserve"/>
      </w:r>
    </w:p>
    <w:p>
      <w:pPr>
        <w:spacing w:before="200" w:after="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Source: shipping-dim-xgboost-pytorch/notebooks/07_final_comparison.ipynb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6"/>
      </w:pBdr>
      <w:tabs>
        <w:tab w:val="right" w:pos="9026"/>
      </w:tabs>
      <w:spacing w:before="80" w:after="0"/>
    </w:pPr>
    <w:r>
      <w:rPr>
        <w:rFonts w:ascii="Calibri" w:cs="Calibri" w:eastAsia="Calibri" w:hAnsi="Calibri"/>
        <w:color w:val="666666"/>
        <w:sz w:val="18"/>
        <w:szCs w:val="18"/>
      </w:rPr>
      <w:t xml:space="preserve">CSE 4309 — Machine Learning  |  UTA Spring 2026</w:t>
    </w:r>
    <w:r>
      <w:rPr>
        <w:rFonts w:ascii="Calibri" w:cs="Calibri" w:eastAsia="Calibri" w:hAnsi="Calibri"/>
        <w:color w:val="666666"/>
        <w:sz w:val="18"/>
        <w:szCs w:val="18"/>
      </w:rPr>
      <w:t xml:space="preserve">	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6"/>
      </w:pBdr>
      <w:spacing w:before="0" w:after="80"/>
    </w:pPr>
    <w:r>
      <w:rPr>
        <w:rFonts w:ascii="Calibri" w:cs="Calibri" w:eastAsia="Calibri" w:hAnsi="Calibri"/>
        <w:color w:val="666666"/>
        <w:sz w:val="18"/>
        <w:szCs w:val="18"/>
      </w:rPr>
      <w:t xml:space="preserve">FedEx DIM Weight Predictor  |  Model Results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00"/>
      <w:outlineLvl w:val="0"/>
    </w:pPr>
    <w:rPr>
      <w:rFonts w:ascii="Georgia" w:cs="Georgia" w:eastAsia="Georgia" w:hAnsi="Georgia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20" w:after="70"/>
      <w:outlineLvl w:val="1"/>
    </w:pPr>
    <w:rPr>
      <w:rFonts w:ascii="Georgia" w:cs="Georgia" w:eastAsia="Georgia" w:hAnsi="Georgia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2026-04-01T20:49:14.613Z</dcterms:created>
  <dcterms:modified xsi:type="dcterms:W3CDTF">2026-04-01T20:49:14.614Z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