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0"/>
      </w:pPr>
      <w:r>
        <w:rPr>
          <w:rFonts w:ascii="Courier New" w:cs="Courier New" w:eastAsia="Courier New" w:hAnsi="Courier New"/>
          <w:color w:val="666666"/>
          <w:sz w:val="24"/>
          <w:szCs w:val="24"/>
        </w:rPr>
        <w:t xml:space="preserve">docs/</w:t>
      </w:r>
    </w:p>
    <w:p>
      <w:pPr>
        <w:spacing w:before="0" w:after="60"/>
      </w:pPr>
      <w:r>
        <w:rPr>
          <w:rFonts w:ascii="Georgia" w:cs="Georgia" w:eastAsia="Georgia" w:hAnsi="Georgia"/>
          <w:b/>
          <w:bCs/>
          <w:color w:val="1F3864"/>
          <w:sz w:val="52"/>
          <w:szCs w:val="52"/>
        </w:rPr>
        <w:t xml:space="preserve">01_eda_notes.docx</w:t>
      </w:r>
    </w:p>
    <w:p>
      <w:pPr>
        <w:pBdr>
          <w:bottom w:val="single" w:color="E8A020" w:sz="10" w:space="8"/>
        </w:pBdr>
        <w:spacing w:before="0" w:after="80"/>
      </w:pPr>
      <w:r>
        <w:rPr>
          <w:rFonts w:ascii="Calibri" w:cs="Calibri" w:eastAsia="Calibri" w:hAnsi="Calibri"/>
          <w:color w:val="2E5FA3"/>
          <w:sz w:val="26"/>
          <w:szCs w:val="26"/>
        </w:rPr>
        <w:t xml:space="preserve">Exploratory Data Analysis — Findings, Decisions &amp; Context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Dataset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2years.csv — 57,600 shipments × 66 features (invoice months 2024-04 through 2026-04)</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Source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Real FedEx invoice export, mattress manufacturing company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Notebook</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notebooks/01_eda.ipynb — 17 cells, 6 saved figures in figures/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Output feeds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src/02_preprocessing.py — all decisions here drive that script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Last updated</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April 2026  |  CSE 4309 Semester Project  |  Re-run on 2-year dataset</w:t>
            </w:r>
          </w:p>
        </w:tc>
      </w:tr>
    </w:tbl>
    <w:p>
      <w:pPr>
        <w:spacing w:before="0" w:after="0"/>
      </w:pPr>
      <w:r>
        <w:t xml:space="preserve"/>
      </w:r>
    </w:p>
    <w:p>
      <w:pPr>
        <w:spacing w:before="60" w:after="80"/>
      </w:pPr>
      <w:r>
        <w:rPr>
          <w:rFonts w:ascii="Calibri" w:cs="Calibri" w:eastAsia="Calibri" w:hAnsi="Calibri"/>
          <w:i/>
          <w:iCs/>
          <w:color w:val="666666"/>
          <w:sz w:val="22"/>
          <w:szCs w:val="22"/>
        </w:rPr>
        <w:t xml:space="preserve">This document explains every step of the EDA process, what was found, why it matters, and what decision was made as a result. It is written to be understood without prior context — useful for onboarding, code review, or resuming work after a break.</w:t>
      </w:r>
    </w:p>
    <w:p>
      <w:r>
        <w:br w:type="page"/>
      </w:r>
    </w:p>
    <w:p>
      <w:pPr>
        <w:pStyle w:val="Heading1"/>
        <w:spacing w:before="400" w:after="120"/>
      </w:pPr>
      <w:r>
        <w:rPr>
          <w:rFonts w:ascii="Georgia" w:cs="Georgia" w:eastAsia="Georgia" w:hAnsi="Georgia"/>
          <w:b/>
          <w:bCs/>
          <w:color w:val="1F3864"/>
          <w:sz w:val="36"/>
          <w:szCs w:val="36"/>
        </w:rPr>
        <w:t xml:space="preserve">1. What is EDA and Why It Matters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Before building any machine learning model, the data must be deeply understood. EDA (Exploratory Data Analysis) is the detective work phase — asking what is actually in the dataset, whether it is clean, and what patterns exist that a model could learn from. Skipping EDA and going straight to modeling risks building on a bad foundation and not knowing why models fail.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5A3A00"/>
                <w:sz w:val="20"/>
                <w:szCs w:val="20"/>
              </w:rPr>
              <w:t xml:space="preserve">Analogy</w:t>
            </w:r>
          </w:p>
          <w:p>
            <w:pPr>
              <w:spacing w:before="0" w:after="0"/>
            </w:pPr>
            <w:r>
              <w:rPr>
                <w:rFonts w:ascii="Calibri" w:cs="Calibri" w:eastAsia="Calibri" w:hAnsi="Calibri"/>
                <w:color w:val="222222"/>
                <w:sz w:val="20"/>
                <w:szCs w:val="20"/>
              </w:rPr>
              <w:t xml:space="preserve">Think of EDA like a chef inspecting ingredients before cooking. You are not making the meal yet — you are figuring out what you are working with, what needs trimming, and what is already spoiled.</w:t>
            </w:r>
          </w:p>
        </w:tc>
      </w:tr>
    </w:tbl>
    <w:p>
      <w:pPr>
        <w:spacing w:before="0" w:after="0"/>
      </w:pPr>
      <w:r>
        <w:t xml:space="preserve"/>
      </w:r>
    </w:p>
    <w:p>
      <w:pPr>
        <w:spacing w:before="60" w:after="80"/>
      </w:pPr>
      <w:r>
        <w:rPr>
          <w:rFonts w:ascii="Calibri" w:cs="Calibri" w:eastAsia="Calibri" w:hAnsi="Calibri"/>
          <w:color w:val="222222"/>
          <w:sz w:val="22"/>
          <w:szCs w:val="22"/>
        </w:rPr>
        <w:t xml:space="preserve">For this project, EDA had five specific goals: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Understand the raw data — shape, column types, missing values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Explore the DIM flag distribution and its relationship to dimensions, weight, and cost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Identify columns to drop, clean, or engineer into new features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Confirm and document the rated weight data leakage risk</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Produce figures for the final report and presentation</w:t>
      </w:r>
    </w:p>
    <w:p>
      <w:r>
        <w:br w:type="page"/>
      </w:r>
    </w:p>
    <w:p>
      <w:pPr>
        <w:pStyle w:val="Heading1"/>
        <w:spacing w:before="400" w:after="120"/>
      </w:pPr>
      <w:r>
        <w:rPr>
          <w:rFonts w:ascii="Georgia" w:cs="Georgia" w:eastAsia="Georgia" w:hAnsi="Georgia"/>
          <w:b/>
          <w:bCs/>
          <w:color w:val="1F3864"/>
          <w:sz w:val="36"/>
          <w:szCs w:val="36"/>
        </w:rPr>
        <w:t xml:space="preserve">2. The Dataset</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The data is a CSV of 57,600 FedEx shipments (file: 2years.csv) covering invoice months April 2024 through April 2026 — two full years of shipping activity from the mattress manufacturing company's FedEx invoicing system. Each row is one shipment. There are 66 columns describing dimensions, weight, service type, pricing zone, charges, and discounts. Dimensions in this export are recorded in centimeters and are converted to inches in preprocessing so that the FedEx domestic DIM divisor of 139 (in³/lb) stays valid.</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2.1  The Two Prediction Tasks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640"/>
        <w:gridCol w:w="3600"/>
      </w:tblGrid>
      <w:tr>
        <w:tc>
          <w:tcPr>
            <w:tcW w:type="dxa" w:w="7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Type</w:t>
            </w:r>
          </w:p>
        </w:tc>
        <w:tc>
          <w:tcPr>
            <w:tcW w:type="dxa" w:w="26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Target</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Business Goal</w:t>
            </w:r>
          </w:p>
        </w:tc>
      </w:tr>
      <w:tr>
        <w:tc>
          <w:tcPr>
            <w:tcW w:type="dxa" w:w="7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1F3864"/>
                <w:sz w:val="20"/>
                <w:szCs w:val="20"/>
              </w:rPr>
              <w:t xml:space="preserve">1</w:t>
            </w:r>
          </w:p>
        </w:tc>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Binary Classification</w:t>
            </w:r>
          </w:p>
        </w:tc>
        <w:tc>
          <w:tcPr>
            <w:tcW w:type="dxa" w:w="26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DIM Flag — Y or N</w:t>
            </w:r>
          </w:p>
        </w:tc>
        <w:tc>
          <w:tcPr>
            <w:tcW w:type="dxa" w:w="36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Flag packages for repacking before pickup</w:t>
            </w:r>
          </w:p>
        </w:tc>
      </w:tr>
      <w:tr>
        <w:tc>
          <w:tcPr>
            <w:tcW w:type="dxa" w:w="7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1F3864"/>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Regression</w:t>
            </w:r>
          </w:p>
        </w:tc>
        <w:tc>
          <w:tcPr>
            <w:tcW w:type="dxa" w:w="26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Net Charge Amount (USD)</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Estimate cost before dispatch</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2.2  Key Column Groups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Numeric: actual weight, rated weight, height, width, length, freight charge, discount, misc charges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Categorical: pricing zone (2–8), service type (Ground / Home Delivery / Express), pay type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Identifiers: tracking number, invoice number, shipper/recipient addresses — not used for modeling</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Target columns: Shipment DIM Flag (Y or N), Net Charge Amount USD</w:t>
      </w:r>
    </w:p>
    <w:p>
      <w:r>
        <w:br w:type="page"/>
      </w:r>
    </w:p>
    <w:p>
      <w:pPr>
        <w:pStyle w:val="Heading1"/>
        <w:spacing w:before="400" w:after="120"/>
      </w:pPr>
      <w:r>
        <w:rPr>
          <w:rFonts w:ascii="Georgia" w:cs="Georgia" w:eastAsia="Georgia" w:hAnsi="Georgia"/>
          <w:b/>
          <w:bCs/>
          <w:color w:val="1F3864"/>
          <w:sz w:val="36"/>
          <w:szCs w:val="36"/>
        </w:rPr>
        <w:t xml:space="preserve">3. Null Audit — Finding Missing Data</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first thing checked was whether any columns had missing values. Most columns had zero nulls, which is clean for a real-world invoice export. A small number of columns stood out as problematic.</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3.1  High-Null Columns — Drop These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Null %</w:t>
            </w:r>
          </w:p>
        </w:tc>
        <w:tc>
          <w:tcPr>
            <w:tcW w:type="dxa" w:w="4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Decision</w:t>
            </w:r>
          </w:p>
        </w:tc>
      </w:tr>
      <w:tr>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Department Number</w:t>
            </w:r>
          </w:p>
        </w:tc>
        <w:tc>
          <w:tcPr>
            <w:tcW w:type="dxa" w:w="144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bCs/>
                <w:color w:val="8B1A1A"/>
                <w:sz w:val="20"/>
                <w:szCs w:val="20"/>
              </w:rPr>
              <w:t>98.4%</w:t>
            </w:r>
          </w:p>
        </w:tc>
        <w:tc>
          <w:tcPr>
            <w:tcW w:type="dxa" w:w="432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Drop — almost nobody filled this in</w:t>
            </w:r>
          </w:p>
        </w:tc>
      </w:tr>
      <w:tr>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Customs Value Currency Code</w:t>
            </w:r>
          </w:p>
        </w:tc>
        <w:tc>
          <w:tcPr>
            <w:tcW w:type="dxa" w:w="144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bCs/>
                <w:color w:val="8B1A1A"/>
                <w:sz w:val="20"/>
                <w:szCs w:val="20"/>
              </w:rPr>
              <w:t>100.0%</w:t>
            </w:r>
          </w:p>
        </w:tc>
        <w:tc>
          <w:tcPr>
            <w:tcW w:type="dxa" w:w="432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Drop — every single value is missing</w:t>
            </w:r>
          </w:p>
        </w:tc>
      </w:tr>
      <w:tr>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Recipient Original State/Province</w:t>
            </w:r>
          </w:p>
        </w:tc>
        <w:tc>
          <w:tcPr>
            <w:tcW w:type="dxa" w:w="144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bCs/>
                <w:color w:val="8B1A1A"/>
                <w:sz w:val="20"/>
                <w:szCs w:val="20"/>
              </w:rPr>
              <w:t>99.3%</w:t>
            </w:r>
          </w:p>
        </w:tc>
        <w:tc>
          <w:tcPr>
            <w:tcW w:type="dxa" w:w="432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Drop — near-entirely empty</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3.2  Zero-Variance Columns — Drop These</w:t>
      </w:r>
    </w:p>
    <w:p>
      <w:pPr>
        <w:spacing w:before="60" w:after="80"/>
      </w:pPr>
      <w:r>
        <w:rPr>
          <w:rFonts w:ascii="Calibri" w:cs="Calibri" w:eastAsia="Calibri" w:hAnsi="Calibri"/>
          <w:color w:val="222222"/>
          <w:sz w:val="22"/>
          <w:szCs w:val="22"/>
        </w:rPr>
        <w:t xml:space="preserve">These columns are not missing, but every single row has the same value. A feature with no variation cannot help a model learn anything — it adds noise without signal.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Constant Value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Decision</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Weight Type Code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Effectively always 'lb' (57,329 of 57,330 rows; 1 stray 'kg' row)</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Drop</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Exchange Rate to USD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Always 1</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Drop — all domestic USD</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Billed Currency Code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Always 'USD'</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Drop</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Domestic/Intl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99.7% Domestic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Drop — 176 international rows excluded in preprocessing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3"/>
              <w:left w:val="thick" w:color="2E5FA3" w:sz="12"/>
              <w:bottom w:val="single" w:color="2E5FA3" w:sz="3"/>
              <w:right w:val="single" w:color="2E5FA3" w:sz="3"/>
            </w:tcBorders>
            <w:shd w:fill="D6E4F7" w:val="clear"/>
            <w:tcMar>
              <w:top w:type="dxa" w:w="120"/>
              <w:left w:type="dxa" w:w="200"/>
              <w:bottom w:type="dxa" w:w="120"/>
              <w:right w:type="dxa" w:w="200"/>
            </w:tcMar>
          </w:tcPr>
          <w:p>
            <w:pPr>
              <w:spacing w:before="0" w:after="40"/>
            </w:pPr>
            <w:r>
              <w:rPr>
                <w:rFonts w:ascii="Calibri" w:cs="Calibri" w:eastAsia="Calibri" w:hAnsi="Calibri"/>
                <w:b/>
                <w:bCs/>
                <w:color w:val="2E5FA3"/>
                <w:sz w:val="20"/>
                <w:szCs w:val="20"/>
              </w:rPr>
              <w:t xml:space="preserve">Why this matters for Claude Code</w:t>
            </w:r>
          </w:p>
          <w:p>
            <w:pPr>
              <w:spacing w:before="0" w:after="0"/>
            </w:pPr>
            <w:r>
              <w:rPr>
                <w:rFonts w:ascii="Calibri" w:cs="Calibri" w:eastAsia="Calibri" w:hAnsi="Calibri"/>
                <w:color w:val="222222"/>
                <w:sz w:val="20"/>
                <w:szCs w:val="20"/>
              </w:rPr>
              <w:t xml:space="preserve">When 02_preprocessing.py builds the feature matrix, these columns must be in the DROP_COLS list. Including them wastes memory and can confuse models by adding constant noise columns. See src/02_preprocessing.py.</w:t>
            </w:r>
          </w:p>
        </w:tc>
      </w:tr>
    </w:tbl>
    <w:p>
      <w:r>
        <w:br w:type="page"/>
      </w:r>
    </w:p>
    <w:p>
      <w:pPr>
        <w:pStyle w:val="Heading1"/>
        <w:spacing w:before="400" w:after="120"/>
      </w:pPr>
      <w:r>
        <w:rPr>
          <w:rFonts w:ascii="Georgia" w:cs="Georgia" w:eastAsia="Georgia" w:hAnsi="Georgia"/>
          <w:b/>
          <w:bCs/>
          <w:color w:val="1F3864"/>
          <w:sz w:val="36"/>
          <w:szCs w:val="36"/>
        </w:rPr>
        <w:t xml:space="preserve">4. DIM Flag Analysis — Task 1 Target</w:t>
      </w:r>
    </w:p>
    <w:p>
      <w:pPr>
        <w:pBdr>
          <w:bottom w:val="single" w:color="2E5FA3" w:sz="6" w:space="4"/>
        </w:pBdr>
        <w:spacing w:before="40" w:after="120"/>
      </w:pPr>
      <w:r>
        <w:t xml:space="preserve"/>
      </w:r>
    </w:p>
    <w:p>
      <w:pPr>
        <w:pStyle w:val="Heading2"/>
        <w:spacing w:before="280" w:after="80"/>
      </w:pPr>
      <w:r>
        <w:rPr>
          <w:rFonts w:ascii="Georgia" w:cs="Georgia" w:eastAsia="Georgia" w:hAnsi="Georgia"/>
          <w:b/>
          <w:bCs/>
          <w:color w:val="2E5FA3"/>
          <w:sz w:val="26"/>
          <w:szCs w:val="26"/>
        </w:rPr>
        <w:t xml:space="preserve">4.1  What is DIM Weight Billing?</w:t>
      </w:r>
    </w:p>
    <w:p>
      <w:pPr>
        <w:spacing w:before="60" w:after="80"/>
      </w:pPr>
      <w:r>
        <w:rPr>
          <w:rFonts w:ascii="Calibri" w:cs="Calibri" w:eastAsia="Calibri" w:hAnsi="Calibri"/>
          <w:color w:val="222222"/>
          <w:sz w:val="22"/>
          <w:szCs w:val="22"/>
        </w:rPr>
        <w:t xml:space="preserve">FedEx charges by dimensional weight when a package's volume is large relative to its actual weight. The formula 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5A3A00"/>
                <w:sz w:val="20"/>
                <w:szCs w:val="20"/>
              </w:rPr>
              <w:t xml:space="preserve">FedEx DIM Weight Formula</w:t>
            </w:r>
          </w:p>
          <w:p>
            <w:pPr>
              <w:spacing w:before="0" w:after="0"/>
            </w:pPr>
            <w:r>
              <w:rPr>
                <w:rFonts w:ascii="Calibri" w:cs="Calibri" w:eastAsia="Calibri" w:hAnsi="Calibri"/>
                <w:color w:val="222222"/>
                <w:sz w:val="20"/>
                <w:szCs w:val="20"/>
              </w:rPr>
              <w:t xml:space="preserve">Dimensional Weight = (Height × Width × Length) ÷ 139
If Dimensional Weight &gt; Actual Weight → package is DIM-flagged → charged at dimensional weight
If Actual Weight ≥ Dimensional Weight → charged at actual weight (no flag)</w:t>
            </w:r>
          </w:p>
        </w:tc>
      </w:tr>
    </w:tbl>
    <w:p>
      <w:pPr>
        <w:spacing w:before="0" w:after="0"/>
      </w:pPr>
      <w:r>
        <w:t xml:space="preserve"/>
      </w:r>
    </w:p>
    <w:p>
      <w:pPr>
        <w:spacing w:before="60" w:after="80"/>
      </w:pPr>
      <w:r>
        <w:rPr>
          <w:rFonts w:ascii="Calibri" w:cs="Calibri" w:eastAsia="Calibri" w:hAnsi="Calibri"/>
          <w:color w:val="222222"/>
          <w:sz w:val="22"/>
          <w:szCs w:val="22"/>
        </w:rPr>
        <w:t xml:space="preserve">A mattress in a large box might only weigh 40 lbs, but if its volume calculates to a dimensional weight of 60 lbs, FedEx charges for 60 lbs. This is a significant and often avoidable cost for high-volume shippers.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4.2  Distribution in the Dataset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Class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Count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Percentage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Imbalance</w:t>
            </w:r>
          </w:p>
        </w:tc>
      </w:tr>
      <w:tr>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DIM = N (not flagged)</w:t>
            </w:r>
          </w:p>
        </w:tc>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222222"/>
                <w:sz w:val="20"/>
                <w:szCs w:val="20"/>
              </w:rPr>
              <w:t>38,958</w:t>
            </w:r>
          </w:p>
        </w:tc>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68.0%</w:t>
            </w:r>
          </w:p>
        </w:tc>
        <w:tc>
          <w:tcPr>
            <w:tcW w:type="dxa" w:w="21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Majority class</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DIM = Y (flagged)</w:t>
            </w:r>
          </w:p>
        </w:tc>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18,372</w:t>
            </w:r>
          </w:p>
        </w:tc>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32.0%</w:t>
            </w:r>
          </w:p>
        </w:tc>
        <w:tc>
          <w:tcPr>
            <w:tcW w:type="dxa" w:w="21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Minority class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Total (after cleaning)</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57,330</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100%</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Ratio 2.12:1</w:t>
            </w:r>
          </w:p>
        </w:tc>
      </w:tr>
    </w:tbl>
    <w:p>
      <w:pPr>
        <w:spacing w:before="0" w:after="0"/>
      </w:pPr>
      <w:r>
        <w:t xml:space="preserve"/>
      </w:r>
    </w:p>
    <w:p>
      <w:pPr>
        <w:spacing w:before="60" w:after="80"/>
      </w:pPr>
      <w:r>
        <w:rPr>
          <w:rFonts w:ascii="Calibri" w:cs="Calibri" w:eastAsia="Calibri" w:hAnsi="Calibri"/>
          <w:color w:val="222222"/>
          <w:sz w:val="22"/>
          <w:szCs w:val="22"/>
        </w:rPr>
        <w:t>A 68/32 class split is more imbalanced than the prior 3-year export but still considered mild. At 32%, the minority class (DIM=Y) is still well-represented and manageable with standard class weighting.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3"/>
              <w:left w:val="thick" w:color="1E6B3C" w:sz="12"/>
              <w:bottom w:val="single" w:color="1E6B3C" w:sz="3"/>
              <w:right w:val="single" w:color="1E6B3C" w:sz="3"/>
            </w:tcBorders>
            <w:shd w:fill="D6F0E0" w:val="clear"/>
            <w:tcMar>
              <w:top w:type="dxa" w:w="120"/>
              <w:left w:type="dxa" w:w="200"/>
              <w:bottom w:type="dxa" w:w="120"/>
              <w:right w:type="dxa" w:w="200"/>
            </w:tcMar>
          </w:tcPr>
          <w:p>
            <w:pPr>
              <w:spacing w:before="0" w:after="40"/>
            </w:pPr>
            <w:r>
              <w:rPr>
                <w:rFonts w:ascii="Calibri" w:cs="Calibri" w:eastAsia="Calibri" w:hAnsi="Calibri"/>
                <w:b/>
                <w:bCs/>
                <w:color w:val="1E6B3C"/>
                <w:sz w:val="20"/>
                <w:szCs w:val="20"/>
              </w:rPr>
              <w:t xml:space="preserve">Decision: class_weight='balanced'</w:t>
            </w:r>
          </w:p>
          <w:p>
            <w:pPr>
              <w:spacing w:before="0" w:after="0"/>
            </w:pPr>
            <w:r>
              <w:rPr>
                <w:rFonts w:ascii="Calibri" w:cs="Calibri" w:eastAsia="Calibri" w:hAnsi="Calibri"/>
                <w:color w:val="222222"/>
                <w:sz w:val="20"/>
                <w:szCs w:val="20"/>
              </w:rPr>
              <w:t xml:space="preserve">All scikit-learn classifiers will use class_weight='balanced'. This tells the model to weight errors on the minority class (DIM=Y) more heavily, so it doesn't learn to simply predict N for everything. The PyTorch Lightning model will use pos_weight in BCEWithLogitsLoss.</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270 rows had no DIM flag value at all. Investigation showed every single one was labeled Service Type = 'NonTrans' — these are non-transport billing entries (fuel surcharges, adjustments) billed as separate line items. They are not actual shipments and were removed before any analysis.</w:t>
      </w:r>
    </w:p>
    <w:p>
      <w:pPr>
        <w:spacing w:before="60" w:after="80"/>
      </w:pPr>
      <w:r>
        <w:rPr>
          <w:rFonts w:ascii="Calibri" w:cs="Calibri" w:eastAsia="Calibri" w:hAnsi="Calibri"/>
          <w:color w:val="222222"/>
          <w:sz w:val="22"/>
          <w:szCs w:val="22"/>
        </w:rPr>
        <w:t xml:space="preserve">485 rows had no DIM flag value at all. Investigation showed every single one was labeled Service Type = 'NonTrans' — these are non-transport billing entries (fuel surcharges, adjustments) billed as separate line items. They are not actual shipments and were removed before any analysis.</w:t>
      </w:r>
    </w:p>
    <w:p>
      <w:r>
        <w:br w:type="page"/>
      </w:r>
    </w:p>
    <w:p>
      <w:pPr>
        <w:pStyle w:val="Heading1"/>
        <w:spacing w:before="400" w:after="120"/>
      </w:pPr>
      <w:r>
        <w:rPr>
          <w:rFonts w:ascii="Georgia" w:cs="Georgia" w:eastAsia="Georgia" w:hAnsi="Georgia"/>
          <w:b/>
          <w:bCs/>
          <w:color w:val="1F3864"/>
          <w:sz w:val="36"/>
          <w:szCs w:val="36"/>
        </w:rPr>
        <w:t xml:space="preserve">5. Data Leakage — The Most Critical Finding</w:t>
      </w:r>
    </w:p>
    <w:p>
      <w:pPr>
        <w:pBdr>
          <w:bottom w:val="single" w:color="2E5FA3" w:sz="6" w:space="4"/>
        </w:pBdr>
        <w:spacing w:before="40" w:after="120"/>
      </w:pPr>
      <w:r>
        <w:t xml:space="preserve"/>
      </w:r>
    </w:p>
    <w:p>
      <w:pPr>
        <w:pStyle w:val="Heading2"/>
        <w:spacing w:before="280" w:after="80"/>
      </w:pPr>
      <w:r>
        <w:rPr>
          <w:rFonts w:ascii="Georgia" w:cs="Georgia" w:eastAsia="Georgia" w:hAnsi="Georgia"/>
          <w:b/>
          <w:bCs/>
          <w:color w:val="2E5FA3"/>
          <w:sz w:val="26"/>
          <w:szCs w:val="26"/>
        </w:rPr>
        <w:t xml:space="preserve">5.1  What is Data Leakage?</w:t>
      </w:r>
    </w:p>
    <w:p>
      <w:pPr>
        <w:spacing w:before="60" w:after="80"/>
      </w:pPr>
      <w:r>
        <w:rPr>
          <w:rFonts w:ascii="Calibri" w:cs="Calibri" w:eastAsia="Calibri" w:hAnsi="Calibri"/>
          <w:color w:val="222222"/>
          <w:sz w:val="22"/>
          <w:szCs w:val="22"/>
        </w:rPr>
        <w:t xml:space="preserve">Data leakage happens when a feature in training data contains information that would not actually be available at prediction time in the real world. A leaked model looks great in testing but fails completely when deployed, because the shortcut it learned does not exist in production.</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5.2  The Leaked Feature: Rated Weight</w:t>
      </w:r>
    </w:p>
    <w:p>
      <w:pPr>
        <w:spacing w:before="60" w:after="80"/>
      </w:pPr>
      <w:r>
        <w:rPr>
          <w:rFonts w:ascii="Calibri" w:cs="Calibri" w:eastAsia="Calibri" w:hAnsi="Calibri"/>
          <w:color w:val="222222"/>
          <w:sz w:val="22"/>
          <w:szCs w:val="22"/>
        </w:rPr>
        <w:t xml:space="preserve">FedEx provides two weight columns in the invoice export: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Original Weight (Pounds) — the physical weight of the package as measured at pickup</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Shipment Rated Weight (Pounds) — the weight FedEx actually charges for</w:t>
      </w:r>
    </w:p>
    <w:p>
      <w:pPr>
        <w:spacing w:before="0" w:after="0"/>
      </w:pPr>
      <w:r>
        <w:t xml:space="preserve"/>
      </w:r>
    </w:p>
    <w:p>
      <w:pPr>
        <w:spacing w:before="60" w:after="80"/>
      </w:pPr>
      <w:r>
        <w:rPr>
          <w:rFonts w:ascii="Calibri" w:cs="Calibri" w:eastAsia="Calibri" w:hAnsi="Calibri"/>
          <w:color w:val="222222"/>
          <w:sz w:val="22"/>
          <w:szCs w:val="22"/>
        </w:rPr>
        <w:t xml:space="preserve">For non-DIM shipments, these two numbers are identical. For DIM-flagged shipments, the rated weight equals the dimensional weight — which is always higher than actual weight. This means: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3"/>
              <w:left w:val="thick" w:color="8B1A1A" w:sz="12"/>
              <w:bottom w:val="single" w:color="8B1A1A" w:sz="3"/>
              <w:right w:val="single" w:color="8B1A1A" w:sz="3"/>
            </w:tcBorders>
            <w:shd w:fill="FAE0E0" w:val="clear"/>
            <w:tcMar>
              <w:top w:type="dxa" w:w="120"/>
              <w:left w:type="dxa" w:w="200"/>
              <w:bottom w:type="dxa" w:w="120"/>
              <w:right w:type="dxa" w:w="200"/>
            </w:tcMar>
          </w:tcPr>
          <w:p>
            <w:pPr>
              <w:spacing w:before="0" w:after="40"/>
            </w:pPr>
            <w:r>
              <w:rPr>
                <w:rFonts w:ascii="Calibri" w:cs="Calibri" w:eastAsia="Calibri" w:hAnsi="Calibri"/>
                <w:b/>
                <w:bCs/>
                <w:color w:val="8B1A1A"/>
                <w:sz w:val="20"/>
                <w:szCs w:val="20"/>
              </w:rPr>
              <w:t xml:space="preserve">Why Rated Weight is Leaked</w:t>
            </w:r>
          </w:p>
          <w:p>
            <w:pPr>
              <w:spacing w:before="0" w:after="0"/>
            </w:pPr>
            <w:r>
              <w:rPr>
                <w:rFonts w:ascii="Calibri" w:cs="Calibri" w:eastAsia="Calibri" w:hAnsi="Calibri"/>
                <w:color w:val="222222"/>
                <w:sz w:val="20"/>
                <w:szCs w:val="20"/>
              </w:rPr>
              <w:t xml:space="preserve">Rated Weight is calculated BY FedEx AFTER the DIM flag is determined. You cannot know the rated weight before you know whether the shipment is DIM-flagged. In a real production system, at the time of prediction (before the shipment is sent), rated weight does not yet exist.</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5.3  Leakage Confirmed by the Numbers</w:t>
      </w:r>
    </w:p>
    <w:p>
      <w:pPr>
        <w:spacing w:before="60" w:after="80"/>
      </w:pPr>
      <w:r>
        <w:rPr>
          <w:rFonts w:ascii="Calibri" w:cs="Calibri" w:eastAsia="Calibri" w:hAnsi="Calibri"/>
          <w:color w:val="222222"/>
          <w:sz w:val="22"/>
          <w:szCs w:val="22"/>
        </w:rPr>
        <w:t xml:space="preserve">A simple one-feature test was run: try to predict the DIM flag using only a single column. Results from the actual dataset: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Effective AUC</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Interpretation</w:t>
            </w:r>
          </w:p>
        </w:tc>
      </w:tr>
      <w:tr>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Rated Weight (Pounds)</w:t>
            </w:r>
          </w:p>
        </w:tc>
        <w:tc>
          <w:tcPr>
            <w:tcW w:type="dxa" w:w="18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bCs/>
                <w:color w:val="222222"/>
                <w:sz w:val="20"/>
                <w:szCs w:val="20"/>
              </w:rPr>
              <w:t>0.8951</w:t>
            </w:r>
          </w:p>
        </w:tc>
        <w:tc>
          <w:tcPr>
            <w:tcW w:type="dxa" w:w="39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Strong predictor — but it is leaked</w:t>
            </w:r>
          </w:p>
        </w:tc>
      </w:tr>
      <w:tr>
        <w:tc>
          <w:tcPr>
            <w:tcW w:type="dxa" w:w="36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Original Weight (Pounds)</w:t>
            </w:r>
          </w:p>
        </w:tc>
        <w:tc>
          <w:tcPr>
            <w:tcW w:type="dxa" w:w="18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222222"/>
                <w:sz w:val="20"/>
                <w:szCs w:val="20"/>
              </w:rPr>
              <w:t>0.9430</w:t>
            </w:r>
          </w:p>
        </w:tc>
        <w:tc>
          <w:tcPr>
            <w:tcW w:type="dxa" w:w="39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Strong predictor — fully legitimate</w:t>
            </w:r>
          </w:p>
        </w:tc>
      </w:tr>
    </w:tbl>
    <w:p>
      <w:pPr>
        <w:spacing w:before="0" w:after="0"/>
      </w:pPr>
      <w:r>
        <w:t xml:space="preserve"/>
      </w:r>
    </w:p>
    <w:p>
      <w:pPr>
        <w:spacing w:before="60" w:after="80"/>
      </w:pPr>
      <w:r>
        <w:rPr>
          <w:rFonts w:ascii="Calibri" w:cs="Calibri" w:eastAsia="Calibri" w:hAnsi="Calibri"/>
          <w:color w:val="222222"/>
          <w:sz w:val="22"/>
          <w:szCs w:val="22"/>
        </w:rPr>
        <w:t>Note: The raw roc_auc_score for rated weight printed as 0.1049 because the relationship is inverted — DIM=Y packages have lower rated weight than DIM=N packages on average. An AUC below 0.5 means the feature is predictive in the negative direction. The effective AUC is 1 − 0.1049 = 0.8951.</w:t>
      </w:r>
    </w:p>
    <w:p>
      <w:pPr>
        <w:spacing w:before="0" w:after="0"/>
      </w:pPr>
      <w:r>
        <w:t xml:space="preserve"/>
      </w:r>
    </w:p>
    <w:p>
      <w:pPr>
        <w:spacing w:before="60" w:after="80"/>
      </w:pPr>
      <w:r>
        <w:rPr>
          <w:rFonts w:ascii="Calibri" w:cs="Calibri" w:eastAsia="Calibri" w:hAnsi="Calibri"/>
          <w:color w:val="222222"/>
          <w:sz w:val="22"/>
          <w:szCs w:val="22"/>
        </w:rPr>
        <w:t>Actual weight outperforms rated weight as a predictor (0.9430 vs 0.8951). This makes physical sense: light packages are very likely to be DIM-flagged because their volume is large relative to their weight. The signal is in actual weight, not rated weight. Both features are stronger in the 2-year dataset than they were in the prior 3-year export, consistent with a more consistent shipping mix.</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3"/>
              <w:left w:val="thick" w:color="8B1A1A" w:sz="12"/>
              <w:bottom w:val="single" w:color="8B1A1A" w:sz="3"/>
              <w:right w:val="single" w:color="8B1A1A" w:sz="3"/>
            </w:tcBorders>
            <w:shd w:fill="FAE0E0" w:val="clear"/>
            <w:tcMar>
              <w:top w:type="dxa" w:w="120"/>
              <w:left w:type="dxa" w:w="200"/>
              <w:bottom w:type="dxa" w:w="120"/>
              <w:right w:type="dxa" w:w="200"/>
            </w:tcMar>
          </w:tcPr>
          <w:p>
            <w:pPr>
              <w:spacing w:before="0" w:after="40"/>
            </w:pPr>
            <w:r>
              <w:rPr>
                <w:rFonts w:ascii="Calibri" w:cs="Calibri" w:eastAsia="Calibri" w:hAnsi="Calibri"/>
                <w:b/>
                <w:bCs/>
                <w:color w:val="8B1A1A"/>
                <w:sz w:val="20"/>
                <w:szCs w:val="20"/>
              </w:rPr>
              <w:t xml:space="preserve">Decision: Rated Weight Excluded from ALL Task 1 Inputs</w:t>
            </w:r>
          </w:p>
          <w:p>
            <w:pPr>
              <w:spacing w:before="0" w:after="0"/>
            </w:pPr>
            <w:r>
              <w:rPr>
                <w:rFonts w:ascii="Calibri" w:cs="Calibri" w:eastAsia="Calibri" w:hAnsi="Calibri"/>
                <w:color w:val="222222"/>
                <w:sz w:val="20"/>
                <w:szCs w:val="20"/>
              </w:rPr>
              <w:t xml:space="preserve">Shipment Rated Weight(Pounds) must never appear in any classification model's feature set. This applies to logistic regression, AdaBoost, XGBoost, and the PyTorch Lightning neural network. It is safe to include in Task 2 (regression) only as a diagnostic column — but is excluded there too to keep pipelines clean.</w:t>
            </w:r>
          </w:p>
        </w:tc>
      </w:tr>
    </w:tbl>
    <w:p>
      <w:r>
        <w:br w:type="page"/>
      </w:r>
    </w:p>
    <w:p>
      <w:pPr>
        <w:pStyle w:val="Heading1"/>
        <w:spacing w:before="400" w:after="120"/>
      </w:pPr>
      <w:r>
        <w:rPr>
          <w:rFonts w:ascii="Georgia" w:cs="Georgia" w:eastAsia="Georgia" w:hAnsi="Georgia"/>
          <w:b/>
          <w:bCs/>
          <w:color w:val="1F3864"/>
          <w:sz w:val="36"/>
          <w:szCs w:val="36"/>
        </w:rPr>
        <w:t xml:space="preserve">6. Engineered Features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Three new features are created from raw columns. These capture physical relationships that individual raw columns miss.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Feature Name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Formula</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volume</w:t>
            </w:r>
          </w:p>
        </w:tc>
        <w:tc>
          <w:tcPr>
            <w:tcW w:type="dxa" w:w="3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Height × Width × Length</w:t>
            </w:r>
          </w:p>
        </w:tc>
        <w:tc>
          <w:tcPr>
            <w:tcW w:type="dxa" w:w="36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Single number summarizing package size. One of the strongest DIM predictors.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dim_weight_calc</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volume ÷ 139</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What FedEx calculates as the dimensional weight. 139 is FedEx's domestic DIM divisor.</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dim_weight_ratio</w:t>
            </w:r>
          </w:p>
        </w:tc>
        <w:tc>
          <w:tcPr>
            <w:tcW w:type="dxa" w:w="3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dim_weight_calc ÷ actual_weight</w:t>
            </w:r>
          </w:p>
        </w:tc>
        <w:tc>
          <w:tcPr>
            <w:tcW w:type="dxa" w:w="36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Ratio &gt; 1.0 means dimensional weight exceeds actual weight — the exact trigger condition for DIM billing.</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cost_per_pound</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freight_charge ÷ actual_weight</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Useful for Task 2 regression. Normalizes cost by size.</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6.1  Zero-Dimension Shipments</w:t>
      </w:r>
    </w:p>
    <w:p>
      <w:pPr>
        <w:spacing w:before="60" w:after="80"/>
      </w:pPr>
      <w:r>
        <w:rPr>
          <w:rFonts w:ascii="Calibri" w:cs="Calibri" w:eastAsia="Calibri" w:hAnsi="Calibri"/>
          <w:color w:val="222222"/>
          <w:sz w:val="22"/>
          <w:szCs w:val="22"/>
        </w:rPr>
        <w:t>616 shipments (1.1%) had at least one dimension recorded as zero, which is physically impossible for a real package. Breakdown:</w:t>
      </w:r>
    </w:p>
    <w:p>
      <w:pPr>
        <w:pStyle w:val="ListParagraph"/>
        <w:numPr>
          <w:ilvl w:val="0"/>
          <w:numId w:val="2"/>
        </w:numPr>
        <w:spacing w:before="40" w:after="40"/>
      </w:pPr>
      <w:r>
        <w:rPr>
          <w:rFonts w:ascii="Calibri" w:cs="Calibri" w:eastAsia="Calibri" w:hAnsi="Calibri"/>
          <w:b w:val="false"/>
          <w:bCs w:val="false"/>
          <w:color w:val="222222"/>
          <w:sz w:val="22"/>
          <w:szCs w:val="22"/>
        </w:rPr>
        <w:t>All 616 were DIM=N — kept, but volume / dim_weight_ratio set to 0. A binary indicator column has_dimensions (0 or 1) is added so models know these rows are missing dimension data.</w:t>
      </w:r>
    </w:p>
    <w:p>
      <w:pPr>
        <w:pStyle w:val="ListParagraph"/>
        <w:numPr>
          <w:ilvl w:val="0"/>
          <w:numId w:val="2"/>
        </w:numPr>
        <w:spacing w:before="40" w:after="40"/>
      </w:pPr>
      <w:r>
        <w:rPr>
          <w:rFonts w:ascii="Calibri" w:cs="Calibri" w:eastAsia="Calibri" w:hAnsi="Calibri"/>
          <w:b w:val="false"/>
          <w:bCs w:val="false"/>
          <w:color w:val="222222"/>
          <w:sz w:val="22"/>
          <w:szCs w:val="22"/>
        </w:rPr>
        <w:t>0 were DIM=Y — unlike the prior export, the new dataset has no DIM=Y rows with zero dimensions, so the data-error filter removes nothing. The filter is retained for safety.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5A3A00"/>
                <w:sz w:val="20"/>
                <w:szCs w:val="20"/>
              </w:rPr>
              <w:t xml:space="preserve">Code note for 02_preprocessing.py</w:t>
            </w:r>
          </w:p>
          <w:p>
            <w:pPr>
              <w:spacing w:before="0" w:after="0"/>
            </w:pPr>
            <w:r>
              <w:rPr>
                <w:rFonts w:ascii="Calibri" w:cs="Calibri" w:eastAsia="Calibri" w:hAnsi="Calibri"/>
                <w:color w:val="222222"/>
                <w:sz w:val="20"/>
                <w:szCs w:val="20"/>
              </w:rPr>
              <w:t xml:space="preserve">df['has_dimensions'] = ((df['Dimmed Height (in)'] &gt; 0) &amp; (df['Dimmed Width (in)'] &gt; 0) &amp; (df['Dimmed Length (in)'] &gt; 0)).astype(int)
Drop rows where has_dimensions == 0 AND DIM flag == 'Y'.</w:t>
            </w:r>
          </w:p>
        </w:tc>
      </w:tr>
    </w:tbl>
    <w:p>
      <w:r>
        <w:br w:type="page"/>
      </w:r>
    </w:p>
    <w:p>
      <w:pPr>
        <w:pStyle w:val="Heading1"/>
        <w:spacing w:before="400" w:after="120"/>
      </w:pPr>
      <w:r>
        <w:rPr>
          <w:rFonts w:ascii="Georgia" w:cs="Georgia" w:eastAsia="Georgia" w:hAnsi="Georgia"/>
          <w:b/>
          <w:bCs/>
          <w:color w:val="1F3864"/>
          <w:sz w:val="36"/>
          <w:szCs w:val="36"/>
        </w:rPr>
        <w:t xml:space="preserve">7. Net Charge Analysis — Task 2 Target</w:t>
      </w:r>
    </w:p>
    <w:p>
      <w:pPr>
        <w:pBdr>
          <w:bottom w:val="single" w:color="2E5FA3" w:sz="6" w:space="4"/>
        </w:pBdr>
        <w:spacing w:before="40" w:after="120"/>
      </w:pPr>
      <w:r>
        <w:t xml:space="preserve"/>
      </w:r>
    </w:p>
    <w:p>
      <w:pPr>
        <w:pStyle w:val="Heading2"/>
        <w:spacing w:before="280" w:after="80"/>
      </w:pPr>
      <w:r>
        <w:rPr>
          <w:rFonts w:ascii="Georgia" w:cs="Georgia" w:eastAsia="Georgia" w:hAnsi="Georgia"/>
          <w:b/>
          <w:bCs/>
          <w:color w:val="2E5FA3"/>
          <w:sz w:val="26"/>
          <w:szCs w:val="26"/>
        </w:rPr>
        <w:t xml:space="preserve">7.1  Distribution Statistics (from actual dataset output)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Count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57,330 shipments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Mean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$56.04</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Median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$52.61</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Std Dev</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$43.53</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Min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$0.00  (23 shipments with zero charge — investigate in preprocessing)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Max</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$2,721.66</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Skewness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23.152  ← extreme right skew (essentially unchanged)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Over $500</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60 shipments (0.1%)</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7.2  Why Skewness of 23 Requires a Log Transform</w:t>
      </w:r>
    </w:p>
    <w:p>
      <w:pPr>
        <w:spacing w:before="60" w:after="80"/>
      </w:pPr>
      <w:r>
        <w:rPr>
          <w:rFonts w:ascii="Calibri" w:cs="Calibri" w:eastAsia="Calibri" w:hAnsi="Calibri"/>
          <w:color w:val="222222"/>
          <w:sz w:val="22"/>
          <w:szCs w:val="22"/>
        </w:rPr>
        <w:t xml:space="preserve">A perfectly symmetric distribution has skewness of 0. Most real-world financial data has some positive skew. A skewness of 23.2 is extreme — a small number of very expensive shipments pull the mean far above the median and dominate training.</w:t>
      </w:r>
    </w:p>
    <w:p>
      <w:pPr>
        <w:spacing w:before="0" w:after="0"/>
      </w:pPr>
      <w:r>
        <w:t xml:space="preserve"/>
      </w:r>
    </w:p>
    <w:p>
      <w:pPr>
        <w:spacing w:before="60" w:after="80"/>
      </w:pPr>
      <w:r>
        <w:rPr>
          <w:rFonts w:ascii="Calibri" w:cs="Calibri" w:eastAsia="Calibri" w:hAnsi="Calibri"/>
          <w:color w:val="222222"/>
          <w:sz w:val="22"/>
          <w:szCs w:val="22"/>
        </w:rPr>
        <w:t xml:space="preserve">The practical problem: models trained with standard mean squared error (MSE) loss are penalized proportionally to the square of their error. A single $3,500 misprediction contributes millions of units of loss. The model wastes most of its capacity trying to handle 53 outlier shipments and does poorly on the other 52,476.</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3"/>
              <w:left w:val="thick" w:color="1E6B3C" w:sz="12"/>
              <w:bottom w:val="single" w:color="1E6B3C" w:sz="3"/>
              <w:right w:val="single" w:color="1E6B3C" w:sz="3"/>
            </w:tcBorders>
            <w:shd w:fill="D6F0E0" w:val="clear"/>
            <w:tcMar>
              <w:top w:type="dxa" w:w="120"/>
              <w:left w:type="dxa" w:w="200"/>
              <w:bottom w:type="dxa" w:w="120"/>
              <w:right w:type="dxa" w:w="200"/>
            </w:tcMar>
          </w:tcPr>
          <w:p>
            <w:pPr>
              <w:spacing w:before="0" w:after="40"/>
            </w:pPr>
            <w:r>
              <w:rPr>
                <w:rFonts w:ascii="Calibri" w:cs="Calibri" w:eastAsia="Calibri" w:hAnsi="Calibri"/>
                <w:b/>
                <w:bCs/>
                <w:color w:val="1E6B3C"/>
                <w:sz w:val="20"/>
                <w:szCs w:val="20"/>
              </w:rPr>
              <w:t xml:space="preserve">Decision: Log-transform the regression target</w:t>
            </w:r>
          </w:p>
          <w:p>
            <w:pPr>
              <w:spacing w:before="0" w:after="0"/>
            </w:pPr>
            <w:r>
              <w:rPr>
                <w:rFonts w:ascii="Calibri" w:cs="Calibri" w:eastAsia="Calibri" w:hAnsi="Calibri"/>
                <w:color w:val="222222"/>
                <w:sz w:val="20"/>
                <w:szCs w:val="20"/>
              </w:rPr>
              <w:t xml:space="preserve">Training target: log1p(Net Charge Amount USD)  →  np.log1p(y_train)
Prediction output: expm1(model output)  →  np.expm1(y_pred)
log1p is used instead of log because it handles zero values (log(0) is undefined, log1p(0) = 0). Always reverse with expm1 before computing dollar-amount error metrics (RMSE, MAE) to report in real dollars.</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7.3  The Counterintuitive DIM Finding</w:t>
      </w:r>
    </w:p>
    <w:p>
      <w:pPr>
        <w:spacing w:before="60" w:after="80"/>
      </w:pPr>
      <w:r>
        <w:rPr>
          <w:rFonts w:ascii="Calibri" w:cs="Calibri" w:eastAsia="Calibri" w:hAnsi="Calibri"/>
          <w:color w:val="222222"/>
          <w:sz w:val="22"/>
          <w:szCs w:val="22"/>
        </w:rPr>
        <w:t>DIM=N shipments cost more on average ($61.92) than DIM=Y shipments ($43.58). This seems backwards — isn't DIM billing supposed to increase costs?</w:t>
      </w:r>
    </w:p>
    <w:p>
      <w:pPr>
        <w:spacing w:before="0" w:after="0"/>
      </w:pPr>
      <w:r>
        <w:t xml:space="preserve"/>
      </w:r>
    </w:p>
    <w:p>
      <w:pPr>
        <w:spacing w:before="60" w:after="80"/>
      </w:pPr>
      <w:r>
        <w:rPr>
          <w:rFonts w:ascii="Calibri" w:cs="Calibri" w:eastAsia="Calibri" w:hAnsi="Calibri"/>
          <w:color w:val="222222"/>
          <w:sz w:val="22"/>
          <w:szCs w:val="22"/>
        </w:rPr>
        <w:t xml:space="preserve">It does, but DIM=Y packages are physically lighter. The biggest cost driver in FedEx pricing is weight. Non-DIM packages are genuinely heavier overall. DIM billing adds cost relative to what the light package would have cost without the flag, but those packages are still cheaper than the heavy ones. The DIM flag is a useful feature for Task 2 precisely because it carries this pricing signal.</w:t>
      </w:r>
    </w:p>
    <w:p>
      <w:r>
        <w:br w:type="page"/>
      </w:r>
    </w:p>
    <w:p>
      <w:pPr>
        <w:pStyle w:val="Heading1"/>
        <w:spacing w:before="400" w:after="120"/>
      </w:pPr>
      <w:r>
        <w:rPr>
          <w:rFonts w:ascii="Georgia" w:cs="Georgia" w:eastAsia="Georgia" w:hAnsi="Georgia"/>
          <w:b/>
          <w:bCs/>
          <w:color w:val="1F3864"/>
          <w:sz w:val="36"/>
          <w:szCs w:val="36"/>
        </w:rPr>
        <w:t xml:space="preserve">8. Categorical Feature Analysis</w:t>
      </w:r>
    </w:p>
    <w:p>
      <w:pPr>
        <w:pBdr>
          <w:bottom w:val="single" w:color="2E5FA3" w:sz="6" w:space="4"/>
        </w:pBdr>
        <w:spacing w:before="40" w:after="120"/>
      </w:pPr>
      <w:r>
        <w:t xml:space="preserve"/>
      </w:r>
    </w:p>
    <w:p>
      <w:pPr>
        <w:pStyle w:val="Heading2"/>
        <w:spacing w:before="280" w:after="80"/>
      </w:pPr>
      <w:r>
        <w:rPr>
          <w:rFonts w:ascii="Georgia" w:cs="Georgia" w:eastAsia="Georgia" w:hAnsi="Georgia"/>
          <w:b/>
          <w:bCs/>
          <w:color w:val="2E5FA3"/>
          <w:sz w:val="26"/>
          <w:szCs w:val="26"/>
        </w:rPr>
        <w:t xml:space="preserve">8.1  Pricing Zone</w:t>
      </w:r>
    </w:p>
    <w:p>
      <w:pPr>
        <w:spacing w:before="60" w:after="80"/>
      </w:pPr>
      <w:r>
        <w:rPr>
          <w:rFonts w:ascii="Calibri" w:cs="Calibri" w:eastAsia="Calibri" w:hAnsi="Calibri"/>
          <w:color w:val="222222"/>
          <w:sz w:val="22"/>
          <w:szCs w:val="22"/>
        </w:rPr>
        <w:t xml:space="preserve">Pricing zone is FedEx's measure of shipping distance. Zone 2 is short distance (same region), Zone 8 is cross-country. The data had a formatting inconsistency — the same zone was recorded in two formats: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Dirty Value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Correct Value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Count</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"2"</w:t>
            </w:r>
          </w:p>
        </w:tc>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"02"</w:t>
            </w:r>
          </w:p>
        </w:tc>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3,599 rows</w:t>
            </w:r>
          </w:p>
        </w:tc>
        <w:tc>
          <w:tcPr>
            <w:tcW w:type="dxa" w:w="21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Normalize</w:t>
            </w:r>
          </w:p>
        </w:tc>
      </w:tr>
      <w:tr>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"4"</w:t>
            </w:r>
          </w:p>
        </w:tc>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"04"</w:t>
            </w:r>
          </w:p>
        </w:tc>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7,808 rows</w:t>
            </w:r>
          </w:p>
        </w:tc>
        <w:tc>
          <w:tcPr>
            <w:tcW w:type="dxa" w:w="21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Normalize</w:t>
            </w:r>
          </w:p>
        </w:tc>
      </w:tr>
      <w:tr>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"5"</w:t>
            </w:r>
          </w:p>
        </w:tc>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"05"</w:t>
            </w:r>
          </w:p>
        </w:tc>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13,096 rows</w:t>
            </w:r>
          </w:p>
        </w:tc>
        <w:tc>
          <w:tcPr>
            <w:tcW w:type="dxa" w:w="21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Normalize</w:t>
            </w:r>
          </w:p>
        </w:tc>
      </w:tr>
      <w:tr>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"6"</w:t>
            </w:r>
          </w:p>
        </w:tc>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"06"</w:t>
            </w:r>
          </w:p>
        </w:tc>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9,597 rows</w:t>
            </w:r>
          </w:p>
        </w:tc>
        <w:tc>
          <w:tcPr>
            <w:tcW w:type="dxa" w:w="21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Normalize</w:t>
            </w:r>
          </w:p>
        </w:tc>
      </w:tr>
      <w:tr>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"7"</w:t>
            </w:r>
          </w:p>
        </w:tc>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"07"</w:t>
            </w:r>
          </w:p>
        </w:tc>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7,235 rows</w:t>
            </w:r>
          </w:p>
        </w:tc>
        <w:tc>
          <w:tcPr>
            <w:tcW w:type="dxa" w:w="21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Normalize</w:t>
            </w:r>
          </w:p>
        </w:tc>
      </w:tr>
      <w:tr>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"8"</w:t>
            </w:r>
          </w:p>
        </w:tc>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"08"</w:t>
            </w:r>
          </w:p>
        </w:tc>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13,827 rows</w:t>
            </w:r>
          </w:p>
        </w:tc>
        <w:tc>
          <w:tcPr>
            <w:tcW w:type="dxa" w:w="21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Normalize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 "A", "C", "N", "51"+ etc.</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"Other"</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~500 rows total (Non Zone, 9, 51, 0, 17, etc.)</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Collapse to Other</w:t>
            </w:r>
          </w:p>
        </w:tc>
      </w:tr>
    </w:tbl>
    <w:p>
      <w:pPr>
        <w:spacing w:before="0" w:after="0"/>
      </w:pPr>
      <w:r>
        <w:t xml:space="preserve"/>
      </w:r>
    </w:p>
    <w:p>
      <w:pPr>
        <w:spacing w:before="60" w:after="80"/>
      </w:pPr>
      <w:r>
        <w:rPr>
          <w:rFonts w:ascii="Calibri" w:cs="Calibri" w:eastAsia="Calibri" w:hAnsi="Calibri"/>
          <w:color w:val="222222"/>
          <w:sz w:val="22"/>
          <w:szCs w:val="22"/>
        </w:rPr>
        <w:t xml:space="preserve">The unusual codes (D, A, C, N, 51, 52, 53, 17) represent international shipments, special FedEx programs, and non-standard routes. There are too few of each to warrant individual one-hot columns — they get collapsed into a single 'Other' category.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5A3A00"/>
                <w:sz w:val="20"/>
                <w:szCs w:val="20"/>
              </w:rPr>
              <w:t xml:space="preserve">Normalization function for 02_preprocessing.py</w:t>
            </w:r>
          </w:p>
          <w:p>
            <w:pPr>
              <w:spacing w:before="0" w:after="0"/>
            </w:pPr>
            <w:r>
              <w:rPr>
                <w:rFonts w:ascii="Calibri" w:cs="Calibri" w:eastAsia="Calibri" w:hAnsi="Calibri"/>
                <w:color w:val="222222"/>
                <w:sz w:val="20"/>
                <w:szCs w:val="20"/>
              </w:rPr>
              <w:t xml:space="preserve">STANDARD_ZONES = {'02', '03', '04', '05', '06', '07', '08', '09'}
def normalize_zone(z):
    try:
        normalized = f'{int(z):02d}'
        return normalized if normalized in STANDARD_ZONES else 'Other'
    except:
        return 'Other'</w:t>
            </w:r>
          </w:p>
        </w:tc>
      </w:tr>
    </w:tbl>
    <w:p>
      <w:pPr>
        <w:spacing w:before="0" w:after="0"/>
      </w:pPr>
      <w:r>
        <w:t xml:space="preserve"/>
      </w:r>
    </w:p>
    <w:p>
      <w:pPr>
        <w:spacing w:before="60" w:after="80"/>
      </w:pPr>
      <w:r>
        <w:rPr>
          <w:rFonts w:ascii="Calibri" w:cs="Calibri" w:eastAsia="Calibri" w:hAnsi="Calibri"/>
          <w:color w:val="222222"/>
          <w:sz w:val="22"/>
          <w:szCs w:val="22"/>
        </w:rPr>
        <w:t>DIM rate by zone from the EDA: zone 03 has the highest rate at 42.8%, zones 05 and 06 sit around 36–39%, and zone 08 (cross-country) drops to 21.7%. This still makes sense — local deliveries are disproportionately large furniture/mattress items, while cross-country shipments include more small/dense packages.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8.2  Service Type</w:t>
      </w:r>
    </w:p>
    <w:p>
      <w:pPr>
        <w:spacing w:before="60" w:after="80"/>
      </w:pPr>
      <w:r>
        <w:rPr>
          <w:rFonts w:ascii="Calibri" w:cs="Calibri" w:eastAsia="Calibri" w:hAnsi="Calibri"/>
          <w:color w:val="222222"/>
          <w:sz w:val="22"/>
          <w:szCs w:val="22"/>
        </w:rPr>
        <w:t>Service type still shows meaningful variation in DIM rates, though the mix of service codes is different in the 2-year data (Return Manager and Express Saver are absent; Ground Call Tag and Ground Multiweight appear):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1800"/>
        <w:gridCol w:w="3000"/>
      </w:tblGrid>
      <w:tr>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Code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DIM Rate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Why</w:t>
            </w:r>
          </w:p>
        </w:tc>
      </w:tr>
      <w:tr>
        <w:tc>
          <w:tcPr>
            <w:tcW w:type="dxa" w:w="14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E5FA3"/>
                <w:sz w:val="20"/>
                <w:szCs w:val="20"/>
              </w:rPr>
              <w:t>QH</w:t>
            </w:r>
          </w:p>
        </w:tc>
        <w:tc>
          <w:tcPr>
            <w:tcW w:type="dxa" w:w="31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Home Delivery</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8B1A1A"/>
                <w:sz w:val="20"/>
                <w:szCs w:val="20"/>
              </w:rPr>
              <w:t>37.2%</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Still the biggest slice (31,086 shipments); furniture/mattress mix</w:t>
            </w:r>
          </w:p>
        </w:tc>
      </w:tr>
      <w:tr>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SG</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FedEx Ground</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8B1A1A"/>
                <w:sz w:val="20"/>
                <w:szCs w:val="20"/>
              </w:rPr>
              <w:t>26.1%</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Mixed general-parcel volume (24,739 shipments); heavy items dominate</w:t>
            </w:r>
          </w:p>
        </w:tc>
      </w:tr>
      <w:tr>
        <w:tc>
          <w:tcPr>
            <w:tcW w:type="dxa" w:w="14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E5FA3"/>
                <w:sz w:val="20"/>
                <w:szCs w:val="20"/>
              </w:rPr>
              <w:t>CTAG</w:t>
            </w:r>
          </w:p>
        </w:tc>
        <w:tc>
          <w:tcPr>
            <w:tcW w:type="dxa" w:w="31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Ground Call Tag</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1E6B3C"/>
                <w:sz w:val="20"/>
                <w:szCs w:val="20"/>
              </w:rPr>
              <w:t>45.6%</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Highest DIM rate — bulky return pickups (only 114 shipments)</w:t>
            </w:r>
          </w:p>
        </w:tc>
      </w:tr>
      <w:tr>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PO</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Priority Overnight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1E6B3C"/>
                <w:sz w:val="20"/>
                <w:szCs w:val="20"/>
              </w:rPr>
              <w:t>12.7%</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Express = small/dense documents &amp; parts, rarely DIM-triggered</w:t>
            </w:r>
          </w:p>
        </w:tc>
      </w:tr>
    </w:tbl>
    <w:p>
      <w:pPr>
        <w:spacing w:before="0" w:after="0"/>
      </w:pPr>
      <w:r>
        <w:t xml:space="preserve"/>
      </w:r>
    </w:p>
    <w:p>
      <w:pPr>
        <w:spacing w:before="60" w:after="80"/>
      </w:pPr>
      <w:r>
        <w:rPr>
          <w:rFonts w:ascii="Calibri" w:cs="Calibri" w:eastAsia="Calibri" w:hAnsi="Calibri"/>
          <w:color w:val="222222"/>
          <w:sz w:val="22"/>
          <w:szCs w:val="22"/>
        </w:rPr>
        <w:t xml:space="preserve">Service type will be one-hot encoded in preprocessing. Given only ~6 meaningful categories, this adds a small number of columns without creating the sparse matrix problem that high-cardinality categoricals cause.</w:t>
      </w:r>
    </w:p>
    <w:p>
      <w:r>
        <w:br w:type="page"/>
      </w:r>
    </w:p>
    <w:p>
      <w:pPr>
        <w:pStyle w:val="Heading1"/>
        <w:spacing w:before="400" w:after="120"/>
      </w:pPr>
      <w:r>
        <w:rPr>
          <w:rFonts w:ascii="Georgia" w:cs="Georgia" w:eastAsia="Georgia" w:hAnsi="Georgia"/>
          <w:b/>
          <w:bCs/>
          <w:color w:val="1F3864"/>
          <w:sz w:val="36"/>
          <w:szCs w:val="36"/>
        </w:rPr>
        <w:t xml:space="preserve">9. Correlation Heatmap Findings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A lower-triangle correlation matrix was computed for all key numeric features. Correlation ranges from -1 (perfect inverse relationship) to +1 (perfect positive relationship). 0 means no linear relationship.</w:t>
      </w:r>
    </w:p>
    <w:p>
      <w:pPr>
        <w:spacing w:before="0" w:after="0"/>
      </w:pPr>
      <w:r>
        <w:t xml:space="preserve"/>
      </w:r>
    </w:p>
    <w:p>
      <w:pPr>
        <w:spacing w:before="60" w:after="80"/>
      </w:pPr>
      <w:r>
        <w:rPr>
          <w:rFonts w:ascii="Calibri" w:cs="Calibri" w:eastAsia="Calibri" w:hAnsi="Calibri"/>
          <w:color w:val="222222"/>
          <w:sz w:val="22"/>
          <w:szCs w:val="22"/>
        </w:rPr>
        <w:t xml:space="preserve">Key findings from the heatmap: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Feature Pair</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Correlation</w:t>
            </w:r>
          </w:p>
        </w:tc>
        <w:tc>
          <w:tcPr>
            <w:tcW w:type="dxa" w:w="4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Volume ↔ DIM Flag</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Strong +</w:t>
            </w:r>
          </w:p>
        </w:tc>
        <w:tc>
          <w:tcPr>
            <w:tcW w:type="dxa" w:w="432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Bigger packages get flagged more</w:t>
            </w:r>
          </w:p>
        </w:tc>
      </w:tr>
      <w:tr>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Actual Weight ↔ DIM Flag</w:t>
            </w:r>
          </w:p>
        </w:tc>
        <w:tc>
          <w:tcPr>
            <w:tcW w:type="dxa" w:w="144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Strong −</w:t>
            </w:r>
          </w:p>
        </w:tc>
        <w:tc>
          <w:tcPr>
            <w:tcW w:type="dxa" w:w="432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Lighter packages get flagged more</w:t>
            </w:r>
          </w:p>
        </w:tc>
      </w:tr>
      <w:tr>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Rated Weight ↔ DIM Flag</w:t>
            </w:r>
          </w:p>
        </w:tc>
        <w:tc>
          <w:tcPr>
            <w:tcW w:type="dxa" w:w="144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Very Strong</w:t>
            </w:r>
          </w:p>
        </w:tc>
        <w:tc>
          <w:tcPr>
            <w:tcW w:type="dxa" w:w="432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Confirms leakage — visually unmistakable</w:t>
            </w:r>
          </w:p>
        </w:tc>
      </w:tr>
      <w:tr>
        <w:tc>
          <w:tcPr>
            <w:tcW w:type="dxa" w:w="36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Net Charge ↔ Actual Weight</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Strong +</w:t>
            </w:r>
          </w:p>
        </w:tc>
        <w:tc>
          <w:tcPr>
            <w:tcW w:type="dxa" w:w="432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Heavier shipments cost more</w:t>
            </w:r>
          </w:p>
        </w:tc>
      </w:tr>
      <w:tr>
        <w:tc>
          <w:tcPr>
            <w:tcW w:type="dxa" w:w="36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Net Charge ↔ Freight Charge</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Very Strong +</w:t>
            </w:r>
          </w:p>
        </w:tc>
        <w:tc>
          <w:tcPr>
            <w:tcW w:type="dxa" w:w="432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Net charge is derived from freight charge</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Height ↔ Width</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Moderate +</w:t>
            </w:r>
          </w:p>
        </w:tc>
        <w:tc>
          <w:tcPr>
            <w:tcW w:type="dxa" w:w="43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Packages tend to be roughly proportional</w:t>
            </w:r>
          </w:p>
        </w:tc>
      </w:tr>
    </w:tbl>
    <w:p>
      <w:pPr>
        <w:spacing w:before="0" w:after="0"/>
      </w:pPr>
      <w:r>
        <w:t xml:space="preserve"/>
      </w:r>
    </w:p>
    <w:p>
      <w:pPr>
        <w:spacing w:before="60" w:after="80"/>
      </w:pPr>
      <w:r>
        <w:rPr>
          <w:rFonts w:ascii="Calibri" w:cs="Calibri" w:eastAsia="Calibri" w:hAnsi="Calibri"/>
          <w:color w:val="222222"/>
          <w:sz w:val="22"/>
          <w:szCs w:val="22"/>
        </w:rPr>
        <w:t xml:space="preserve">The heatmap is saved as figures/06_correlation_heatmap.png and is a good candidate for the report's methods section — it clearly shows which features carry signal and confirms the leakage visually.</w:t>
      </w:r>
    </w:p>
    <w:p>
      <w:r>
        <w:br w:type="page"/>
      </w:r>
    </w:p>
    <w:p>
      <w:pPr>
        <w:pStyle w:val="Heading1"/>
        <w:spacing w:before="400" w:after="120"/>
      </w:pPr>
      <w:r>
        <w:rPr>
          <w:rFonts w:ascii="Georgia" w:cs="Georgia" w:eastAsia="Georgia" w:hAnsi="Georgia"/>
          <w:b/>
          <w:bCs/>
          <w:color w:val="1F3864"/>
          <w:sz w:val="36"/>
          <w:szCs w:val="36"/>
        </w:rPr>
        <w:t xml:space="preserve">10. Full Decision Log for Preprocessing</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Everything below feeds directly into src/02_preprocessing.py. This is the authoritative list of what to do and why.</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10.1  Rows to Remove</w:t>
      </w:r>
    </w:p>
    <w:p>
      <w:pPr>
        <w:pStyle w:val="ListParagraph"/>
        <w:numPr>
          <w:ilvl w:val="0"/>
          <w:numId w:val="2"/>
        </w:numPr>
        <w:spacing w:before="40" w:after="40"/>
      </w:pPr>
      <w:r>
        <w:rPr>
          <w:rFonts w:ascii="Calibri" w:cs="Calibri" w:eastAsia="Calibri" w:hAnsi="Calibri"/>
          <w:b w:val="false"/>
          <w:bCs w:val="false"/>
          <w:color w:val="222222"/>
          <w:sz w:val="22"/>
          <w:szCs w:val="22"/>
        </w:rPr>
        <w:t>270 NonTrans rows — no DIM flag, not real shipments</w:t>
      </w:r>
    </w:p>
    <w:p>
      <w:pPr>
        <w:pStyle w:val="ListParagraph"/>
        <w:numPr>
          <w:ilvl w:val="0"/>
          <w:numId w:val="2"/>
        </w:numPr>
        <w:spacing w:before="40" w:after="40"/>
      </w:pPr>
      <w:r>
        <w:rPr>
          <w:rFonts w:ascii="Calibri" w:cs="Calibri" w:eastAsia="Calibri" w:hAnsi="Calibri"/>
          <w:b w:val="false"/>
          <w:bCs w:val="false"/>
          <w:color w:val="222222"/>
          <w:sz w:val="22"/>
          <w:szCs w:val="22"/>
        </w:rPr>
        <w:t>0 DIM=Y rows with zero dimensions — none present in the 2-year data, but the filter is retained for safety</w:t>
      </w:r>
    </w:p>
    <w:p>
      <w:pPr>
        <w:pStyle w:val="ListParagraph"/>
        <w:numPr>
          <w:ilvl w:val="0"/>
          <w:numId w:val="2"/>
        </w:numPr>
        <w:spacing w:before="40" w:after="40"/>
      </w:pPr>
      <w:r>
        <w:rPr>
          <w:rFonts w:ascii="Calibri" w:cs="Calibri" w:eastAsia="Calibri" w:hAnsi="Calibri"/>
          <w:b w:val="false"/>
          <w:bCs w:val="false"/>
          <w:color w:val="222222"/>
          <w:sz w:val="22"/>
          <w:szCs w:val="22"/>
        </w:rPr>
        <w:t>176 international shipments — out of scope for domestic model</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10.2  Columns to Drop</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Department Number, Customs Value Currency Code, Recipient Original State/Province — &gt;99% null</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Weight Type Code, Exchange Rate to USD, Billed Currency Code — zero variance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All identifier columns — Tracking Number, Invoice Number, Master Tracking Number, Customer Order Number</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All address/name columns — Shipper Address/City/State, Recipient Address/City/State/Name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Shipment Rated Weight(Pounds) — leaked feature, excluded from both tasks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Shipment Duty and Tax Charge USD — near-zero for all domestic shipments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10.3  Columns to Clean</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Pricing Zone — normalize with normalize_zone() function, collapse non-standard to 'Other'</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Shipment DIM Flag — map Y → 1, N → 0 for model inputs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10.4  Features to Engineer</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volume = Dimmed Height × Dimmed Width × Dimmed Length</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dim_weight_calc = volume ÷ 139</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dim_weight_ratio = dim_weight_calc ÷ Original Weight (replace 0 actual weight with NaN first)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cost_per_pound = Shipment Freight Charge Amount USD ÷ Original Weight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has_dimensions = 1 if all three dims &gt; 0, else 0</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10.5  Encoding</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Service Type — one-hot encode (OHE), ~6 meaningful categories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Pay Type — OHE (3 categories: Bill_Sender_Prepaid, Bill_Third_Party, Bill_Recipient)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Pricing Zone (cleaned) — OHE (8 standard zones + Other)</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10.6  Scaling</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StandardScaler on all numeric features — required for PyTorch Lightning neural network</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Tree models (XGBoost, AdaBoost) use raw unscaled values — save both versions as separate parquet files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10.7  Target Transforms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Task 1 (classification): DIM Flag → binary 0/1, no transform needed</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Task 2 (regression): Net Charge → np.log1p(y) for training, np.expm1(pred) to recover dollars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10.8  Train / Val / Test Split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80 / 10 / 10 stratified split, stratify on DIM flag to preserve class balance in all three sets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random_state=42 for full reproducibility</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Save as parquet: data/train.parquet, data/val.parquet, data/test.parquet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3"/>
              <w:left w:val="thick" w:color="2E5FA3" w:sz="12"/>
              <w:bottom w:val="single" w:color="2E5FA3" w:sz="3"/>
              <w:right w:val="single" w:color="2E5FA3" w:sz="3"/>
            </w:tcBorders>
            <w:shd w:fill="D6E4F7" w:val="clear"/>
            <w:tcMar>
              <w:top w:type="dxa" w:w="120"/>
              <w:left w:type="dxa" w:w="200"/>
              <w:bottom w:type="dxa" w:w="120"/>
              <w:right w:type="dxa" w:w="200"/>
            </w:tcMar>
          </w:tcPr>
          <w:p>
            <w:pPr>
              <w:spacing w:before="0" w:after="40"/>
            </w:pPr>
            <w:r>
              <w:rPr>
                <w:rFonts w:ascii="Calibri" w:cs="Calibri" w:eastAsia="Calibri" w:hAnsi="Calibri"/>
                <w:b/>
                <w:bCs/>
                <w:color w:val="2E5FA3"/>
                <w:sz w:val="20"/>
                <w:szCs w:val="20"/>
              </w:rPr>
              <w:t>For Claude Code — preprocessing target</w:t>
              <w:br/>
              <w:br/>
              <w:t>src/02_preprocessing.py</w:t>
              <w:br/>
              <w:br/>
              <w:t>This script reads 2years.csv, applies every decision in Section 10, and writes the processed splits to data/. It also saves the fitted StandardScaler as models/preprocessor.pkl so it can be applied identically to new data at inference time. Dimensions are converted from cm to inches during feature engineering.</w:t>
            </w:r>
          </w:p>
        </w:tc>
      </w:tr>
    </w:tbl>
    <w:p>
      <w:r>
        <w:br w:type="page"/>
      </w:r>
    </w:p>
    <w:p>
      <w:pPr>
        <w:pStyle w:val="Heading1"/>
        <w:spacing w:before="400" w:after="120"/>
      </w:pPr>
      <w:r>
        <w:rPr>
          <w:rFonts w:ascii="Georgia" w:cs="Georgia" w:eastAsia="Georgia" w:hAnsi="Georgia"/>
          <w:b/>
          <w:bCs/>
          <w:color w:val="1F3864"/>
          <w:sz w:val="36"/>
          <w:szCs w:val="36"/>
        </w:rPr>
        <w:t xml:space="preserve">11. Figures Generated</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All figures are saved to the figures/ directory in the project root. Run 01_eda.ipynb top-to-bottom to regenerate them.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Filename</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01_dim_flag_distribution.png</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Bar chart and pie chart of DIM=Y vs DIM=N counts and percentages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02_weight_analysis.png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Actual weight histograms by flag, rated vs actual scatter (DIM=Y), uplift distribution</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03_dimension_analysis.png</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H/W/L distributions, volume histogram, DIM ratio, volume vs weight scatter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04_net_charge_analysis.png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Net charge distribution, log-transformed version, box plots by DIM flag</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05_dim_by_category.png</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DIM rate by pricing zone (bar) and service type (horizontal bar)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06_correlation_heatmap.png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Lower-triangle heatmap of all key numeric features, leakage labeled</w:t>
            </w:r>
          </w:p>
        </w:tc>
      </w:tr>
    </w:tbl>
    <w:p>
      <w:pPr>
        <w:spacing w:before="0" w:after="0"/>
      </w:pPr>
      <w:r>
        <w:t xml:space="preserve"/>
      </w:r>
    </w:p>
    <w:p>
      <w:pPr>
        <w:spacing w:before="240" w:after="0"/>
        <w:jc w:val="center"/>
      </w:pPr>
      <w:r>
        <w:rPr>
          <w:rFonts w:ascii="Calibri" w:cs="Calibri" w:eastAsia="Calibri" w:hAnsi="Calibri"/>
          <w:i/>
          <w:iCs/>
          <w:color w:val="666666"/>
          <w:sz w:val="20"/>
          <w:szCs w:val="20"/>
        </w:rPr>
        <w:t xml:space="preserve">End of EDA documentation. Next file: docs/02_preprocessing_notes.docx</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6"/>
      </w:pBdr>
      <w:tabs>
        <w:tab w:val="right" w:pos="9026"/>
      </w:tabs>
      <w:spacing w:before="80" w:after="0"/>
    </w:pPr>
    <w:r>
      <w:rPr>
        <w:rFonts w:ascii="Calibri" w:cs="Calibri" w:eastAsia="Calibri" w:hAnsi="Calibri"/>
        <w:color w:val="666666"/>
        <w:sz w:val="18"/>
        <w:szCs w:val="18"/>
      </w:rPr>
      <w:t xml:space="preserve">CSE 4309 — Machine Learning  |  UTA Spring 2026</w:t>
    </w:r>
    <w:r>
      <w:rPr>
        <w:rFonts w:ascii="Calibri" w:cs="Calibri" w:eastAsia="Calibri" w:hAnsi="Calibri"/>
        <w:color w:val="666666"/>
        <w:sz w:val="18"/>
        <w:szCs w:val="18"/>
      </w:rPr>
      <w:t xml:space="preserve">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6"/>
      </w:pBdr>
      <w:spacing w:before="0" w:after="80"/>
    </w:pPr>
    <w:r>
      <w:rPr>
        <w:rFonts w:ascii="Calibri" w:cs="Calibri" w:eastAsia="Calibri" w:hAnsi="Calibri"/>
        <w:color w:val="666666"/>
        <w:sz w:val="18"/>
        <w:szCs w:val="18"/>
      </w:rPr>
      <w:t xml:space="preserve">FedEx DIM Weight Predictor  |  docs/01_eda_notes.docx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20"/>
      <w:outlineLvl w:val="0"/>
    </w:pPr>
    <w:rPr>
      <w:rFonts w:ascii="Georgia" w:cs="Georgia" w:eastAsia="Georgia" w:hAnsi="Georgia"/>
      <w:b/>
      <w:bCs/>
      <w:color w:val="1F3864"/>
      <w:sz w:val="36"/>
      <w:szCs w:val="36"/>
    </w:rPr>
  </w:style>
  <w:style w:type="paragraph" w:styleId="Heading2">
    <w:name w:val="Heading 2"/>
    <w:basedOn w:val="Normal"/>
    <w:next w:val="Normal"/>
    <w:pPr>
      <w:spacing w:before="280" w:after="80"/>
      <w:outlineLvl w:val="1"/>
    </w:pPr>
    <w:rPr>
      <w:rFonts w:ascii="Georgia" w:cs="Georgia" w:eastAsia="Georgia" w:hAnsi="Georgia"/>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2026-03-24T16:02:41.262Z</dcterms:created>
  <dcterms:modified xsi:type="dcterms:W3CDTF">2026-03-24T16:02:41.263Z</dcterms:modified>
</cp:coreProperties>
</file>

<file path=docProps/custom.xml><?xml version="1.0" encoding="utf-8"?>
<Properties xmlns="http://schemas.openxmlformats.org/officeDocument/2006/custom-properties" xmlns:vt="http://schemas.openxmlformats.org/officeDocument/2006/docPropsVTypes"/>
</file>