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809"/>
        <w:gridCol w:w="3339"/>
        <w:gridCol w:w="1980"/>
        <w:gridCol w:w="3240"/>
      </w:tblGrid>
      <w:tr w:rsidR="003A4325" w:rsidTr="003A4325">
        <w:tc>
          <w:tcPr>
            <w:tcW w:w="1809" w:type="dxa"/>
            <w:hideMark/>
          </w:tcPr>
          <w:p w:rsidR="003A4325" w:rsidRDefault="003A4325" w:rsidP="003A4325">
            <w:r>
              <w:t>Patient:</w:t>
            </w:r>
          </w:p>
        </w:tc>
        <w:tc>
          <w:tcPr>
            <w:tcW w:w="3339" w:type="dxa"/>
            <w:hideMark/>
          </w:tcPr>
          <w:p w:rsidR="003A4325" w:rsidRDefault="00691D8C" w:rsidP="003A4325">
            <w:pPr>
              <w:rPr>
                <w:b/>
              </w:rPr>
            </w:pPr>
            <w:bookmarkStart w:id="0" w:name="Patient_full_name"/>
            <w:r>
              <w:rPr>
                <w:b/>
              </w:rPr>
              <w:t>Dummy</w:t>
            </w:r>
            <w:r w:rsidR="003A4325">
              <w:rPr>
                <w:b/>
              </w:rPr>
              <w:t xml:space="preserve"> </w:t>
            </w:r>
            <w:bookmarkEnd w:id="0"/>
            <w:r w:rsidR="003A4325">
              <w:rPr>
                <w:b/>
              </w:rPr>
              <w:t>ZZZTESTJM</w:t>
            </w:r>
          </w:p>
        </w:tc>
        <w:tc>
          <w:tcPr>
            <w:tcW w:w="1980" w:type="dxa"/>
            <w:hideMark/>
          </w:tcPr>
          <w:p w:rsidR="003A4325" w:rsidRDefault="003A4325" w:rsidP="003A4325">
            <w:r>
              <w:t>GP:</w:t>
            </w:r>
          </w:p>
        </w:tc>
        <w:tc>
          <w:tcPr>
            <w:tcW w:w="3240" w:type="dxa"/>
            <w:hideMark/>
          </w:tcPr>
          <w:p w:rsidR="003A4325" w:rsidRPr="004545C4" w:rsidRDefault="004545C4" w:rsidP="003A4325">
            <w:pPr>
              <w:rPr>
                <w:b/>
              </w:rPr>
            </w:pPr>
            <w:proofErr w:type="spellStart"/>
            <w:r w:rsidRPr="004545C4">
              <w:rPr>
                <w:b/>
              </w:rPr>
              <w:t>Dr.</w:t>
            </w:r>
            <w:proofErr w:type="spellEnd"/>
            <w:r w:rsidRPr="004545C4">
              <w:rPr>
                <w:b/>
              </w:rPr>
              <w:t xml:space="preserve"> Willow D. Rosenberg</w:t>
            </w:r>
          </w:p>
        </w:tc>
      </w:tr>
      <w:tr w:rsidR="003A4325" w:rsidTr="003A4325">
        <w:tc>
          <w:tcPr>
            <w:tcW w:w="1809" w:type="dxa"/>
          </w:tcPr>
          <w:p w:rsidR="003A4325" w:rsidRDefault="003A4325" w:rsidP="003A4325"/>
        </w:tc>
        <w:tc>
          <w:tcPr>
            <w:tcW w:w="3339" w:type="dxa"/>
          </w:tcPr>
          <w:p w:rsidR="003A4325" w:rsidRDefault="003A4325" w:rsidP="003A4325">
            <w:bookmarkStart w:id="1" w:name="Patient_addr_multiline"/>
            <w:r>
              <w:t xml:space="preserve">123 </w:t>
            </w:r>
            <w:r w:rsidR="00221D21">
              <w:t>Fake</w:t>
            </w:r>
            <w:r>
              <w:t xml:space="preserve"> Road,</w:t>
            </w:r>
          </w:p>
          <w:p w:rsidR="003A4325" w:rsidRDefault="003A4325" w:rsidP="003A4325">
            <w:r>
              <w:t>Taunton,</w:t>
            </w:r>
          </w:p>
          <w:p w:rsidR="003A4325" w:rsidRDefault="003A4325" w:rsidP="003A4325">
            <w:r>
              <w:t>Somerset,</w:t>
            </w:r>
          </w:p>
          <w:p w:rsidR="003A4325" w:rsidRDefault="003A4325" w:rsidP="003A4325">
            <w:r>
              <w:t>TA1 1AA</w:t>
            </w:r>
            <w:bookmarkEnd w:id="1"/>
          </w:p>
          <w:p w:rsidR="003A4325" w:rsidRDefault="003A4325" w:rsidP="003A4325">
            <w:bookmarkStart w:id="2" w:name="Patient_telephone"/>
            <w:bookmarkEnd w:id="2"/>
          </w:p>
        </w:tc>
        <w:tc>
          <w:tcPr>
            <w:tcW w:w="1980" w:type="dxa"/>
          </w:tcPr>
          <w:p w:rsidR="003A4325" w:rsidRDefault="003A4325" w:rsidP="003A4325"/>
        </w:tc>
        <w:tc>
          <w:tcPr>
            <w:tcW w:w="3240" w:type="dxa"/>
            <w:hideMark/>
          </w:tcPr>
          <w:p w:rsidR="003A4325" w:rsidRDefault="003A4325" w:rsidP="003A4325">
            <w:bookmarkStart w:id="3" w:name="GP_addr_multiline"/>
            <w:r>
              <w:t>St James Medical Centre,</w:t>
            </w:r>
          </w:p>
          <w:p w:rsidR="003A4325" w:rsidRDefault="003A4325" w:rsidP="003A4325">
            <w:r>
              <w:t>Coal Orchard,</w:t>
            </w:r>
          </w:p>
          <w:p w:rsidR="003A4325" w:rsidRDefault="003A4325" w:rsidP="003A4325">
            <w:r>
              <w:t>Taunton,</w:t>
            </w:r>
          </w:p>
          <w:p w:rsidR="003A4325" w:rsidRDefault="003A4325" w:rsidP="003A4325">
            <w:r>
              <w:t>Somerset,</w:t>
            </w:r>
          </w:p>
          <w:p w:rsidR="003A4325" w:rsidRDefault="003A4325" w:rsidP="003A4325">
            <w:r>
              <w:t>TA1 1JP</w:t>
            </w:r>
            <w:bookmarkStart w:id="4" w:name="_GoBack"/>
            <w:bookmarkEnd w:id="3"/>
            <w:bookmarkEnd w:id="4"/>
          </w:p>
        </w:tc>
      </w:tr>
      <w:tr w:rsidR="003A4325" w:rsidTr="003A4325">
        <w:tc>
          <w:tcPr>
            <w:tcW w:w="1809" w:type="dxa"/>
          </w:tcPr>
          <w:p w:rsidR="003A4325" w:rsidRDefault="003A4325" w:rsidP="003A4325"/>
        </w:tc>
        <w:tc>
          <w:tcPr>
            <w:tcW w:w="3339" w:type="dxa"/>
          </w:tcPr>
          <w:p w:rsidR="003A4325" w:rsidRDefault="003A4325" w:rsidP="003A4325"/>
        </w:tc>
        <w:tc>
          <w:tcPr>
            <w:tcW w:w="1980" w:type="dxa"/>
          </w:tcPr>
          <w:p w:rsidR="003A4325" w:rsidRDefault="003A4325" w:rsidP="003A4325"/>
        </w:tc>
        <w:tc>
          <w:tcPr>
            <w:tcW w:w="3240" w:type="dxa"/>
          </w:tcPr>
          <w:p w:rsidR="003A4325" w:rsidRDefault="003A4325" w:rsidP="003A4325"/>
        </w:tc>
      </w:tr>
      <w:tr w:rsidR="003A4325" w:rsidTr="003A4325">
        <w:tc>
          <w:tcPr>
            <w:tcW w:w="1809" w:type="dxa"/>
            <w:hideMark/>
          </w:tcPr>
          <w:p w:rsidR="003A4325" w:rsidRDefault="003A4325" w:rsidP="003A4325">
            <w:r>
              <w:t>Born Date:</w:t>
            </w:r>
          </w:p>
        </w:tc>
        <w:tc>
          <w:tcPr>
            <w:tcW w:w="3339" w:type="dxa"/>
            <w:hideMark/>
          </w:tcPr>
          <w:p w:rsidR="003A4325" w:rsidRDefault="003A4325" w:rsidP="003A4325">
            <w:bookmarkStart w:id="5" w:name="Patient_DOB"/>
            <w:r>
              <w:t>20 Jun</w:t>
            </w:r>
            <w:r w:rsidR="008A1DD9">
              <w:t>e</w:t>
            </w:r>
            <w:r>
              <w:t xml:space="preserve"> 1989</w:t>
            </w:r>
            <w:bookmarkEnd w:id="5"/>
          </w:p>
        </w:tc>
        <w:tc>
          <w:tcPr>
            <w:tcW w:w="1980" w:type="dxa"/>
            <w:hideMark/>
          </w:tcPr>
          <w:p w:rsidR="003A4325" w:rsidRDefault="003A4325" w:rsidP="003A4325">
            <w:r>
              <w:t>Consultant:</w:t>
            </w:r>
          </w:p>
        </w:tc>
        <w:tc>
          <w:tcPr>
            <w:tcW w:w="3240" w:type="dxa"/>
            <w:hideMark/>
          </w:tcPr>
          <w:p w:rsidR="003A4325" w:rsidRDefault="003A4325" w:rsidP="00075EE5">
            <w:bookmarkStart w:id="6" w:name="ip_episode_consultant"/>
            <w:r>
              <w:t xml:space="preserve">Mr. </w:t>
            </w:r>
            <w:r w:rsidR="00075EE5">
              <w:t>D</w:t>
            </w:r>
            <w:r>
              <w:t xml:space="preserve">. </w:t>
            </w:r>
            <w:bookmarkEnd w:id="6"/>
            <w:proofErr w:type="spellStart"/>
            <w:r w:rsidR="00075EE5">
              <w:t>Acula</w:t>
            </w:r>
            <w:proofErr w:type="spellEnd"/>
          </w:p>
        </w:tc>
      </w:tr>
      <w:tr w:rsidR="003A4325" w:rsidTr="003A4325">
        <w:tc>
          <w:tcPr>
            <w:tcW w:w="1809" w:type="dxa"/>
            <w:hideMark/>
          </w:tcPr>
          <w:p w:rsidR="003A4325" w:rsidRDefault="003A4325" w:rsidP="003A4325">
            <w:r>
              <w:t>Hospital No:</w:t>
            </w:r>
          </w:p>
        </w:tc>
        <w:tc>
          <w:tcPr>
            <w:tcW w:w="3339" w:type="dxa"/>
            <w:hideMark/>
          </w:tcPr>
          <w:p w:rsidR="003A4325" w:rsidRDefault="003A4325" w:rsidP="003A4325">
            <w:r>
              <w:t>1234567</w:t>
            </w:r>
          </w:p>
        </w:tc>
        <w:tc>
          <w:tcPr>
            <w:tcW w:w="1980" w:type="dxa"/>
            <w:hideMark/>
          </w:tcPr>
          <w:p w:rsidR="003A4325" w:rsidRDefault="003A4325" w:rsidP="003A4325">
            <w:r>
              <w:t>Specialty:</w:t>
            </w:r>
          </w:p>
        </w:tc>
        <w:tc>
          <w:tcPr>
            <w:tcW w:w="3240" w:type="dxa"/>
            <w:hideMark/>
          </w:tcPr>
          <w:p w:rsidR="003A4325" w:rsidRDefault="003A4325" w:rsidP="003A4325">
            <w:bookmarkStart w:id="7" w:name="ip_episode_specialty"/>
            <w:r>
              <w:t>trauma &amp; orthopaedics</w:t>
            </w:r>
            <w:bookmarkEnd w:id="7"/>
          </w:p>
        </w:tc>
      </w:tr>
      <w:tr w:rsidR="003A4325" w:rsidTr="003A4325">
        <w:trPr>
          <w:trHeight w:val="438"/>
        </w:trPr>
        <w:tc>
          <w:tcPr>
            <w:tcW w:w="1809" w:type="dxa"/>
            <w:hideMark/>
          </w:tcPr>
          <w:p w:rsidR="003A4325" w:rsidRDefault="003A4325" w:rsidP="003A4325">
            <w:r>
              <w:t>NHS Number:</w:t>
            </w:r>
          </w:p>
        </w:tc>
        <w:tc>
          <w:tcPr>
            <w:tcW w:w="3339" w:type="dxa"/>
            <w:hideMark/>
          </w:tcPr>
          <w:p w:rsidR="003A4325" w:rsidRDefault="003A4325" w:rsidP="003A4325">
            <w:bookmarkStart w:id="8" w:name="Patient_NHS_No_Verified_Only"/>
            <w:r>
              <w:t>999 332 0280</w:t>
            </w:r>
            <w:bookmarkEnd w:id="8"/>
          </w:p>
        </w:tc>
        <w:tc>
          <w:tcPr>
            <w:tcW w:w="1980" w:type="dxa"/>
            <w:hideMark/>
          </w:tcPr>
          <w:p w:rsidR="003A4325" w:rsidRDefault="003A4325" w:rsidP="003A4325">
            <w:r>
              <w:t>Ward:</w:t>
            </w:r>
          </w:p>
        </w:tc>
        <w:tc>
          <w:tcPr>
            <w:tcW w:w="3240" w:type="dxa"/>
            <w:hideMark/>
          </w:tcPr>
          <w:p w:rsidR="003A4325" w:rsidRDefault="003A4325" w:rsidP="003A4325">
            <w:bookmarkStart w:id="9" w:name="ip_episode_ward"/>
            <w:proofErr w:type="spellStart"/>
            <w:r>
              <w:t>Hestercombe</w:t>
            </w:r>
            <w:proofErr w:type="spellEnd"/>
            <w:r>
              <w:t xml:space="preserve"> Ward JB</w:t>
            </w:r>
            <w:bookmarkEnd w:id="9"/>
          </w:p>
        </w:tc>
      </w:tr>
      <w:tr w:rsidR="003A4325" w:rsidTr="003A4325">
        <w:tc>
          <w:tcPr>
            <w:tcW w:w="1809" w:type="dxa"/>
            <w:hideMark/>
          </w:tcPr>
          <w:p w:rsidR="003A4325" w:rsidRDefault="003A4325" w:rsidP="003A4325">
            <w:r>
              <w:t>Admission Date:</w:t>
            </w:r>
          </w:p>
        </w:tc>
        <w:tc>
          <w:tcPr>
            <w:tcW w:w="3339" w:type="dxa"/>
            <w:hideMark/>
          </w:tcPr>
          <w:p w:rsidR="003A4325" w:rsidRDefault="003A4325" w:rsidP="003A4325">
            <w:bookmarkStart w:id="10" w:name="ip_episode_start_date"/>
            <w:r>
              <w:t xml:space="preserve">06 </w:t>
            </w:r>
            <w:r w:rsidR="00221D21">
              <w:t>June</w:t>
            </w:r>
            <w:r>
              <w:t xml:space="preserve"> 2019</w:t>
            </w:r>
            <w:bookmarkEnd w:id="10"/>
          </w:p>
        </w:tc>
        <w:tc>
          <w:tcPr>
            <w:tcW w:w="1980" w:type="dxa"/>
            <w:hideMark/>
          </w:tcPr>
          <w:p w:rsidR="003A4325" w:rsidRDefault="003A4325" w:rsidP="003A4325">
            <w:r>
              <w:t>Discharge Date:</w:t>
            </w:r>
          </w:p>
        </w:tc>
        <w:tc>
          <w:tcPr>
            <w:tcW w:w="3240" w:type="dxa"/>
            <w:hideMark/>
          </w:tcPr>
          <w:p w:rsidR="003A4325" w:rsidRDefault="00221D21" w:rsidP="00221D21">
            <w:bookmarkStart w:id="11" w:name="ip_episode_edd_or_end_date"/>
            <w:r>
              <w:t>21</w:t>
            </w:r>
            <w:r w:rsidR="003A4325">
              <w:t xml:space="preserve"> </w:t>
            </w:r>
            <w:r>
              <w:t>June</w:t>
            </w:r>
            <w:r w:rsidR="003A4325">
              <w:t xml:space="preserve"> 2019</w:t>
            </w:r>
            <w:bookmarkEnd w:id="11"/>
          </w:p>
        </w:tc>
      </w:tr>
      <w:tr w:rsidR="003A4325" w:rsidTr="003A4325">
        <w:tc>
          <w:tcPr>
            <w:tcW w:w="1809" w:type="dxa"/>
            <w:hideMark/>
          </w:tcPr>
          <w:p w:rsidR="003A4325" w:rsidRDefault="003A4325" w:rsidP="003A4325">
            <w:r>
              <w:t>Admitted From:</w:t>
            </w:r>
          </w:p>
        </w:tc>
        <w:tc>
          <w:tcPr>
            <w:tcW w:w="3339" w:type="dxa"/>
            <w:hideMark/>
          </w:tcPr>
          <w:p w:rsidR="003A4325" w:rsidRDefault="003A4325" w:rsidP="003A4325">
            <w:bookmarkStart w:id="12" w:name="ip_episode_source"/>
            <w:r>
              <w:t>Usual Place of Residence</w:t>
            </w:r>
            <w:bookmarkEnd w:id="12"/>
          </w:p>
        </w:tc>
        <w:tc>
          <w:tcPr>
            <w:tcW w:w="1980" w:type="dxa"/>
            <w:hideMark/>
          </w:tcPr>
          <w:p w:rsidR="003A4325" w:rsidRDefault="003A4325" w:rsidP="003A4325">
            <w:r>
              <w:t>Discharge To:</w:t>
            </w:r>
          </w:p>
        </w:tc>
        <w:tc>
          <w:tcPr>
            <w:tcW w:w="3240" w:type="dxa"/>
            <w:hideMark/>
          </w:tcPr>
          <w:p w:rsidR="003A4325" w:rsidRDefault="003A4325" w:rsidP="003A4325">
            <w:r>
              <w:t>Home</w:t>
            </w:r>
          </w:p>
        </w:tc>
      </w:tr>
    </w:tbl>
    <w:p w:rsidR="003A4325" w:rsidRDefault="003A4325" w:rsidP="003A4325"/>
    <w:p w:rsidR="003A4325" w:rsidRDefault="003A4325" w:rsidP="003A4325"/>
    <w:p w:rsidR="003A4325" w:rsidRDefault="003A4325" w:rsidP="003A4325"/>
    <w:tbl>
      <w:tblPr>
        <w:tblW w:w="10320" w:type="dxa"/>
        <w:tblLayout w:type="fixed"/>
        <w:tblLook w:val="01E0" w:firstRow="1" w:lastRow="1" w:firstColumn="1" w:lastColumn="1" w:noHBand="0" w:noVBand="0"/>
      </w:tblPr>
      <w:tblGrid>
        <w:gridCol w:w="4935"/>
        <w:gridCol w:w="236"/>
        <w:gridCol w:w="5149"/>
      </w:tblGrid>
      <w:tr w:rsidR="003A4325" w:rsidTr="003A4325">
        <w:trPr>
          <w:cantSplit/>
        </w:trPr>
        <w:tc>
          <w:tcPr>
            <w:tcW w:w="4932" w:type="dxa"/>
            <w:shd w:val="clear" w:color="auto" w:fill="F2F2F2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A4325" w:rsidRDefault="003A4325" w:rsidP="003A4325">
            <w:pPr>
              <w:rPr>
                <w:b/>
                <w:i/>
              </w:rPr>
            </w:pPr>
            <w:r>
              <w:rPr>
                <w:b/>
                <w:i/>
              </w:rPr>
              <w:t>Action for GP Teams</w:t>
            </w:r>
          </w:p>
          <w:p w:rsidR="003A4325" w:rsidRDefault="003A4325" w:rsidP="003A4325">
            <w:pPr>
              <w:rPr>
                <w:b/>
              </w:rPr>
            </w:pPr>
            <w:bookmarkStart w:id="13" w:name="GP_recommendations"/>
            <w:r>
              <w:rPr>
                <w:b/>
              </w:rPr>
              <w:t xml:space="preserve">Review analgesia as pain improves please </w:t>
            </w:r>
          </w:p>
          <w:p w:rsidR="003A4325" w:rsidRDefault="003A4325" w:rsidP="003A4325">
            <w:pPr>
              <w:rPr>
                <w:b/>
              </w:rPr>
            </w:pPr>
          </w:p>
          <w:p w:rsidR="003A4325" w:rsidRDefault="003A4325" w:rsidP="003A4325">
            <w:pPr>
              <w:rPr>
                <w:b/>
              </w:rPr>
            </w:pPr>
            <w:r>
              <w:rPr>
                <w:b/>
              </w:rPr>
              <w:t xml:space="preserve">Wound check 7-10 days </w:t>
            </w:r>
          </w:p>
          <w:p w:rsidR="003A4325" w:rsidRDefault="003A4325" w:rsidP="003A4325">
            <w:pPr>
              <w:rPr>
                <w:b/>
              </w:rPr>
            </w:pPr>
          </w:p>
          <w:p w:rsidR="003A4325" w:rsidRDefault="003A4325" w:rsidP="003A4325">
            <w:pPr>
              <w:rPr>
                <w:b/>
              </w:rPr>
            </w:pPr>
            <w:r>
              <w:rPr>
                <w:b/>
              </w:rPr>
              <w:t>Please refer back to Spinal Team if any concerns about the wound arise.</w:t>
            </w:r>
          </w:p>
          <w:p w:rsidR="003A4325" w:rsidRDefault="003A4325" w:rsidP="003A4325">
            <w:pPr>
              <w:rPr>
                <w:b/>
              </w:rPr>
            </w:pPr>
          </w:p>
          <w:p w:rsidR="003A4325" w:rsidRDefault="003A4325" w:rsidP="003A4325">
            <w:pPr>
              <w:rPr>
                <w:b/>
              </w:rPr>
            </w:pPr>
            <w:r>
              <w:rPr>
                <w:b/>
              </w:rPr>
              <w:t>Bleep: 3027 via the MPH Switchboard.</w:t>
            </w:r>
            <w:bookmarkEnd w:id="13"/>
          </w:p>
        </w:tc>
        <w:tc>
          <w:tcPr>
            <w:tcW w:w="236" w:type="dxa"/>
          </w:tcPr>
          <w:p w:rsidR="003A4325" w:rsidRDefault="003A4325" w:rsidP="003A4325"/>
        </w:tc>
        <w:tc>
          <w:tcPr>
            <w:tcW w:w="5146" w:type="dxa"/>
            <w:shd w:val="clear" w:color="auto" w:fill="F2F2F2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A4325" w:rsidRDefault="003A4325" w:rsidP="003A4325">
            <w:pPr>
              <w:rPr>
                <w:b/>
                <w:i/>
              </w:rPr>
            </w:pPr>
            <w:r>
              <w:rPr>
                <w:b/>
                <w:i/>
              </w:rPr>
              <w:t>Relevant Treatment Changes</w:t>
            </w:r>
          </w:p>
          <w:p w:rsidR="003A4325" w:rsidRDefault="003A4325" w:rsidP="003A4325">
            <w:r>
              <w:t>None</w:t>
            </w:r>
          </w:p>
          <w:p w:rsidR="003A4325" w:rsidRDefault="003A4325" w:rsidP="003A4325">
            <w:bookmarkStart w:id="14" w:name="medication_changes_details"/>
            <w:bookmarkEnd w:id="14"/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Reason for admission and presenting complaint(s)</w:t>
            </w:r>
          </w:p>
        </w:tc>
        <w:tc>
          <w:tcPr>
            <w:tcW w:w="236" w:type="dxa"/>
            <w:vMerge w:val="restart"/>
          </w:tcPr>
          <w:p w:rsidR="003A4325" w:rsidRDefault="003A4325" w:rsidP="003A4325"/>
        </w:tc>
        <w:tc>
          <w:tcPr>
            <w:tcW w:w="5146" w:type="dxa"/>
            <w:shd w:val="clear" w:color="auto" w:fill="F2F2F2"/>
            <w:hideMark/>
          </w:tcPr>
          <w:p w:rsidR="003A4325" w:rsidRDefault="003A4325" w:rsidP="003A4325">
            <w:r>
              <w:t>Information given to patient</w:t>
            </w:r>
          </w:p>
        </w:tc>
      </w:tr>
      <w:tr w:rsidR="003A4325" w:rsidTr="003A4325">
        <w:tc>
          <w:tcPr>
            <w:tcW w:w="4932" w:type="dxa"/>
            <w:hideMark/>
          </w:tcPr>
          <w:p w:rsidR="003A4325" w:rsidRDefault="003A4325" w:rsidP="003A4325">
            <w:bookmarkStart w:id="15" w:name="reason_for_admission"/>
            <w:r>
              <w:t>Elective</w:t>
            </w:r>
            <w:bookmarkEnd w:id="15"/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>
            <w:bookmarkStart w:id="16" w:name="information_given"/>
            <w:r>
              <w:t>Please refer to your spinal passport for information and advice. Pain medication works more effectively when taken regularly.</w:t>
            </w:r>
            <w:bookmarkEnd w:id="16"/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Main diagnosis / discharge diagnosis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shd w:val="clear" w:color="auto" w:fill="F2F2F2"/>
            <w:hideMark/>
          </w:tcPr>
          <w:p w:rsidR="003A4325" w:rsidRDefault="003A4325" w:rsidP="003A4325">
            <w:r>
              <w:t>Physical ability and cognitive function</w:t>
            </w:r>
          </w:p>
        </w:tc>
      </w:tr>
      <w:tr w:rsidR="003A4325" w:rsidTr="003A4325">
        <w:tc>
          <w:tcPr>
            <w:tcW w:w="4932" w:type="dxa"/>
            <w:hideMark/>
          </w:tcPr>
          <w:p w:rsidR="003A4325" w:rsidRDefault="003A4325" w:rsidP="003A4325">
            <w:bookmarkStart w:id="17" w:name="diagnosis_at_discharge"/>
            <w:r>
              <w:t>Spondylolysis L5 bilaterally with back pain on activity, normal disc and positive pars block.</w:t>
            </w:r>
            <w:bookmarkEnd w:id="17"/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hideMark/>
          </w:tcPr>
          <w:p w:rsidR="003A4325" w:rsidRDefault="003A4325" w:rsidP="003A4325">
            <w:r>
              <w:t>Not applicable</w:t>
            </w:r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Operations and procedures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shd w:val="clear" w:color="auto" w:fill="F2F2F2"/>
            <w:hideMark/>
          </w:tcPr>
          <w:p w:rsidR="003A4325" w:rsidRDefault="003A4325" w:rsidP="003A4325">
            <w:r>
              <w:t>Follow-up arranged</w:t>
            </w:r>
          </w:p>
        </w:tc>
      </w:tr>
      <w:tr w:rsidR="003A4325" w:rsidTr="003A4325">
        <w:tc>
          <w:tcPr>
            <w:tcW w:w="4932" w:type="dxa"/>
            <w:hideMark/>
          </w:tcPr>
          <w:p w:rsidR="003A4325" w:rsidRDefault="003A4325" w:rsidP="003A4325">
            <w:bookmarkStart w:id="18" w:name="operations_procedures"/>
            <w:r>
              <w:t xml:space="preserve">Modified Bradford repair using Viper 2 </w:t>
            </w:r>
            <w:proofErr w:type="spellStart"/>
            <w:r>
              <w:t>polyaxial</w:t>
            </w:r>
            <w:proofErr w:type="spellEnd"/>
            <w:r>
              <w:t xml:space="preserve"> screws and SILC ligament (G</w:t>
            </w:r>
            <w:r w:rsidR="00221D21">
              <w:t xml:space="preserve">lobus) with </w:t>
            </w:r>
            <w:proofErr w:type="spellStart"/>
            <w:r w:rsidR="00221D21">
              <w:t>Allomatrix</w:t>
            </w:r>
            <w:proofErr w:type="spellEnd"/>
            <w:r w:rsidR="00221D21">
              <w:t xml:space="preserve"> graft 18/6</w:t>
            </w:r>
            <w:r>
              <w:t>/</w:t>
            </w:r>
            <w:bookmarkEnd w:id="18"/>
            <w:r w:rsidR="00221D21">
              <w:t>19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hideMark/>
          </w:tcPr>
          <w:p w:rsidR="003A4325" w:rsidRDefault="003A4325" w:rsidP="003A4325">
            <w:bookmarkStart w:id="19" w:name="follow_up"/>
            <w:r>
              <w:t>3 Weeks - Physio examination Clinic.</w:t>
            </w:r>
          </w:p>
          <w:p w:rsidR="003A4325" w:rsidRDefault="00075EE5" w:rsidP="003A4325">
            <w:r>
              <w:t>6 Weeks - Consultant: D</w:t>
            </w:r>
            <w:r w:rsidR="003A4325">
              <w:t>X</w:t>
            </w:r>
            <w:bookmarkEnd w:id="19"/>
            <w:r>
              <w:t>A</w:t>
            </w:r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Clinical narrative / complications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shd w:val="clear" w:color="auto" w:fill="F2F2F2"/>
            <w:hideMark/>
          </w:tcPr>
          <w:p w:rsidR="003A4325" w:rsidRDefault="003A4325" w:rsidP="003A4325">
            <w:r>
              <w:t>Allergies</w:t>
            </w:r>
          </w:p>
        </w:tc>
      </w:tr>
      <w:tr w:rsidR="003A4325" w:rsidTr="003A4325">
        <w:tc>
          <w:tcPr>
            <w:tcW w:w="4932" w:type="dxa"/>
          </w:tcPr>
          <w:p w:rsidR="003A4325" w:rsidRDefault="003A4325" w:rsidP="003A4325">
            <w:bookmarkStart w:id="20" w:name="clinical_narrative"/>
            <w:r>
              <w:t>No lower limb pain on discharge</w:t>
            </w:r>
          </w:p>
          <w:p w:rsidR="003A4325" w:rsidRDefault="003A4325" w:rsidP="003A4325"/>
          <w:p w:rsidR="003A4325" w:rsidRDefault="003A4325" w:rsidP="003A4325">
            <w:r>
              <w:t>Wound - Clean and Dry.</w:t>
            </w:r>
            <w:bookmarkEnd w:id="20"/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hideMark/>
          </w:tcPr>
          <w:p w:rsidR="003A4325" w:rsidRDefault="00221D21" w:rsidP="003A4325">
            <w:pPr>
              <w:rPr>
                <w:color w:val="943634"/>
              </w:rPr>
            </w:pPr>
            <w:bookmarkStart w:id="21" w:name="allergies_risks"/>
            <w:r>
              <w:rPr>
                <w:color w:val="943634"/>
              </w:rPr>
              <w:t>Latex</w:t>
            </w:r>
            <w:r w:rsidR="003A4325">
              <w:rPr>
                <w:color w:val="943634"/>
              </w:rPr>
              <w:t xml:space="preserve"> — Other Immune Reaction</w:t>
            </w:r>
            <w:bookmarkEnd w:id="21"/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Co-morbidities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shd w:val="clear" w:color="auto" w:fill="FFFFFF"/>
          </w:tcPr>
          <w:p w:rsidR="003A4325" w:rsidRDefault="003A4325" w:rsidP="003A4325"/>
        </w:tc>
      </w:tr>
      <w:tr w:rsidR="003A4325" w:rsidTr="003A4325">
        <w:tc>
          <w:tcPr>
            <w:tcW w:w="4932" w:type="dxa"/>
            <w:hideMark/>
          </w:tcPr>
          <w:p w:rsidR="003A4325" w:rsidRDefault="003A4325" w:rsidP="003A4325">
            <w:bookmarkStart w:id="22" w:name="comorbidities"/>
            <w:r>
              <w:t xml:space="preserve">Nil relevant </w:t>
            </w:r>
            <w:bookmarkEnd w:id="22"/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vMerge w:val="restart"/>
          </w:tcPr>
          <w:p w:rsidR="003A4325" w:rsidRDefault="003A4325" w:rsidP="003A4325">
            <w:pPr>
              <w:rPr>
                <w:color w:val="943634"/>
              </w:rPr>
            </w:pPr>
            <w:bookmarkStart w:id="23" w:name="DSOutcome2"/>
            <w:bookmarkStart w:id="24" w:name="DSOutcome1"/>
            <w:bookmarkStart w:id="25" w:name="TT_brain_dysfunction"/>
            <w:bookmarkEnd w:id="23"/>
            <w:bookmarkEnd w:id="24"/>
            <w:bookmarkEnd w:id="25"/>
          </w:p>
        </w:tc>
      </w:tr>
      <w:tr w:rsidR="003A4325" w:rsidTr="003A4325">
        <w:tc>
          <w:tcPr>
            <w:tcW w:w="4932" w:type="dxa"/>
          </w:tcPr>
          <w:p w:rsidR="003A4325" w:rsidRDefault="003A4325" w:rsidP="003A4325"/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vMerge/>
            <w:vAlign w:val="center"/>
            <w:hideMark/>
          </w:tcPr>
          <w:p w:rsidR="003A4325" w:rsidRDefault="003A4325" w:rsidP="003A4325">
            <w:pPr>
              <w:rPr>
                <w:color w:val="943634"/>
              </w:rPr>
            </w:pPr>
          </w:p>
        </w:tc>
      </w:tr>
      <w:tr w:rsidR="003A4325" w:rsidTr="003A4325">
        <w:tc>
          <w:tcPr>
            <w:tcW w:w="4932" w:type="dxa"/>
            <w:shd w:val="clear" w:color="auto" w:fill="F2F2F2"/>
            <w:hideMark/>
          </w:tcPr>
          <w:p w:rsidR="003A4325" w:rsidRDefault="003A4325" w:rsidP="003A4325">
            <w:r>
              <w:t>Relevant investigations and results</w:t>
            </w:r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vMerge/>
            <w:vAlign w:val="center"/>
            <w:hideMark/>
          </w:tcPr>
          <w:p w:rsidR="003A4325" w:rsidRDefault="003A4325" w:rsidP="003A4325">
            <w:pPr>
              <w:rPr>
                <w:color w:val="943634"/>
              </w:rPr>
            </w:pPr>
          </w:p>
        </w:tc>
      </w:tr>
      <w:tr w:rsidR="003A4325" w:rsidTr="003A4325">
        <w:tc>
          <w:tcPr>
            <w:tcW w:w="4932" w:type="dxa"/>
            <w:hideMark/>
          </w:tcPr>
          <w:p w:rsidR="003A4325" w:rsidRDefault="003A4325" w:rsidP="003A4325">
            <w:bookmarkStart w:id="26" w:name="relevant_investigations"/>
            <w:r>
              <w:t>Standing X-ray.</w:t>
            </w:r>
            <w:bookmarkEnd w:id="26"/>
          </w:p>
        </w:tc>
        <w:tc>
          <w:tcPr>
            <w:tcW w:w="236" w:type="dxa"/>
            <w:vMerge/>
            <w:vAlign w:val="center"/>
            <w:hideMark/>
          </w:tcPr>
          <w:p w:rsidR="003A4325" w:rsidRDefault="003A4325" w:rsidP="003A4325"/>
        </w:tc>
        <w:tc>
          <w:tcPr>
            <w:tcW w:w="5146" w:type="dxa"/>
            <w:vMerge/>
            <w:vAlign w:val="center"/>
            <w:hideMark/>
          </w:tcPr>
          <w:p w:rsidR="003A4325" w:rsidRDefault="003A4325" w:rsidP="003A4325">
            <w:pPr>
              <w:rPr>
                <w:color w:val="943634"/>
              </w:rPr>
            </w:pPr>
          </w:p>
        </w:tc>
      </w:tr>
    </w:tbl>
    <w:p w:rsidR="003A4325" w:rsidRDefault="003A4325" w:rsidP="003A4325">
      <w:pPr>
        <w:spacing w:before="240"/>
        <w:rPr>
          <w:b/>
          <w:color w:val="FF0000"/>
        </w:rPr>
      </w:pPr>
    </w:p>
    <w:p w:rsidR="003A4325" w:rsidRDefault="003A4325" w:rsidP="003A4325">
      <w:pPr>
        <w:spacing w:before="240"/>
        <w:rPr>
          <w:b/>
        </w:rPr>
      </w:pPr>
      <w:bookmarkStart w:id="27" w:name="EOL_placeholder_message"/>
      <w:bookmarkEnd w:id="27"/>
    </w:p>
    <w:p w:rsidR="003A4325" w:rsidRDefault="003A4325" w:rsidP="003A4325">
      <w:pPr>
        <w:spacing w:before="240"/>
        <w:rPr>
          <w:b/>
          <w:color w:val="7030A0"/>
        </w:rPr>
      </w:pPr>
      <w:bookmarkStart w:id="28" w:name="EOL1"/>
      <w:bookmarkStart w:id="29" w:name="EOL2"/>
      <w:bookmarkEnd w:id="28"/>
      <w:bookmarkEnd w:id="29"/>
    </w:p>
    <w:p w:rsidR="003A4325" w:rsidRDefault="003A4325" w:rsidP="003A4325">
      <w:pPr>
        <w:rPr>
          <w:color w:val="FF0000"/>
        </w:rPr>
      </w:pPr>
    </w:p>
    <w:p w:rsidR="003A4325" w:rsidRDefault="003A4325" w:rsidP="003A4325">
      <w:pPr>
        <w:spacing w:after="60"/>
        <w:rPr>
          <w:b/>
        </w:rPr>
      </w:pPr>
      <w:r>
        <w:rPr>
          <w:b/>
        </w:rPr>
        <w:lastRenderedPageBreak/>
        <w:t>Discharge medications (including regular medication)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1047"/>
        <w:gridCol w:w="7654"/>
      </w:tblGrid>
      <w:tr w:rsidR="003A4325" w:rsidTr="00221D21">
        <w:trPr>
          <w:cantSplit/>
          <w:tblHeader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C7C7C7"/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t>Dates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C7C7C7"/>
            <w:tcMar>
              <w:top w:w="28" w:type="dxa"/>
              <w:left w:w="57" w:type="dxa"/>
              <w:bottom w:w="0" w:type="dxa"/>
              <w:right w:w="28" w:type="dxa"/>
            </w:tcMar>
          </w:tcPr>
          <w:p w:rsidR="003A4325" w:rsidRDefault="003A4325" w:rsidP="003A4325">
            <w:pPr>
              <w:pStyle w:val="Drugs"/>
            </w:pP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shd w:val="clear" w:color="auto" w:fill="C7C7C7"/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t>Drug</w:t>
            </w:r>
          </w:p>
        </w:tc>
      </w:tr>
      <w:tr w:rsidR="003A4325" w:rsidTr="00221D21">
        <w:trPr>
          <w:cantSplit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prescribed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221D21" w:rsidP="003A4325">
            <w:pPr>
              <w:pStyle w:val="Drugs"/>
            </w:pPr>
            <w:r>
              <w:t>18</w:t>
            </w:r>
            <w:r w:rsidR="003A4325">
              <w:t xml:space="preserve"> </w:t>
            </w:r>
            <w:r>
              <w:t>June</w:t>
            </w:r>
            <w:r w:rsidR="003A4325">
              <w:t xml:space="preserve"> 2019</w:t>
            </w: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rStyle w:val="moiety"/>
                <w:b/>
                <w:bCs/>
              </w:rPr>
              <w:t>paracetamol</w:t>
            </w:r>
            <w:r>
              <w:t xml:space="preserve"> </w:t>
            </w:r>
            <w:r>
              <w:rPr>
                <w:rStyle w:val="mdash"/>
              </w:rPr>
              <w:t>—</w:t>
            </w:r>
            <w:r>
              <w:t xml:space="preserve"> 500 mg </w:t>
            </w:r>
            <w:r>
              <w:rPr>
                <w:rStyle w:val="mdash"/>
              </w:rPr>
              <w:t>—</w:t>
            </w:r>
            <w:r>
              <w:t xml:space="preserve"> tablets</w:t>
            </w:r>
          </w:p>
          <w:p w:rsidR="003A4325" w:rsidRDefault="003A4325" w:rsidP="003A4325">
            <w:pPr>
              <w:pStyle w:val="Drugs"/>
            </w:pPr>
            <w:r>
              <w:rPr>
                <w:b/>
                <w:bCs/>
                <w:color w:val="5096DC"/>
                <w:sz w:val="14"/>
                <w:szCs w:val="14"/>
              </w:rPr>
              <w:t>DOSE</w:t>
            </w:r>
            <w:r>
              <w:t> </w:t>
            </w:r>
            <w:r>
              <w:rPr>
                <w:b/>
                <w:bCs/>
              </w:rPr>
              <w:t>1,000 mg</w:t>
            </w:r>
            <w:r>
              <w:t> — oral — 4 times / day as required</w:t>
            </w:r>
          </w:p>
        </w:tc>
      </w:tr>
      <w:tr w:rsidR="003A4325" w:rsidTr="00221D21">
        <w:trPr>
          <w:cantSplit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start</w:t>
            </w:r>
          </w:p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end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t xml:space="preserve">07 </w:t>
            </w:r>
            <w:r w:rsidR="00221D21">
              <w:t>June</w:t>
            </w:r>
            <w:r>
              <w:t xml:space="preserve"> 2019</w:t>
            </w:r>
          </w:p>
          <w:p w:rsidR="003A4325" w:rsidRDefault="003A4325" w:rsidP="003A4325">
            <w:pPr>
              <w:pStyle w:val="Drugs"/>
            </w:pPr>
            <w:r>
              <w:rPr>
                <w:shd w:val="clear" w:color="auto" w:fill="DDDDDD"/>
              </w:rPr>
              <w:t xml:space="preserve">21 </w:t>
            </w:r>
            <w:r w:rsidR="00221D21">
              <w:rPr>
                <w:shd w:val="clear" w:color="auto" w:fill="DDDDDD"/>
              </w:rPr>
              <w:t>June</w:t>
            </w:r>
            <w:r>
              <w:rPr>
                <w:shd w:val="clear" w:color="auto" w:fill="DDDDDD"/>
              </w:rPr>
              <w:t xml:space="preserve"> 2019</w:t>
            </w: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rStyle w:val="moiety"/>
                <w:b/>
                <w:bCs/>
              </w:rPr>
              <w:t>ibuprofen</w:t>
            </w:r>
            <w:r>
              <w:t xml:space="preserve"> </w:t>
            </w:r>
            <w:r>
              <w:rPr>
                <w:rStyle w:val="mdash"/>
              </w:rPr>
              <w:t>—</w:t>
            </w:r>
            <w:r>
              <w:t xml:space="preserve"> 400 mg </w:t>
            </w:r>
            <w:r>
              <w:rPr>
                <w:rStyle w:val="mdash"/>
              </w:rPr>
              <w:t>—</w:t>
            </w:r>
            <w:r>
              <w:t xml:space="preserve"> tablets</w:t>
            </w:r>
          </w:p>
          <w:p w:rsidR="003A4325" w:rsidRDefault="003A4325" w:rsidP="003A4325">
            <w:pPr>
              <w:pStyle w:val="Drugs"/>
            </w:pPr>
            <w:r>
              <w:rPr>
                <w:b/>
                <w:bCs/>
                <w:color w:val="5096DC"/>
                <w:sz w:val="14"/>
                <w:szCs w:val="14"/>
              </w:rPr>
              <w:t>DOSE</w:t>
            </w:r>
            <w:r>
              <w:t> </w:t>
            </w:r>
            <w:r>
              <w:rPr>
                <w:b/>
                <w:bCs/>
              </w:rPr>
              <w:t>400 mg</w:t>
            </w:r>
            <w:r>
              <w:t> — oral — 3 times / day</w:t>
            </w:r>
          </w:p>
          <w:p w:rsidR="003A4325" w:rsidRDefault="003A4325" w:rsidP="003A4325">
            <w:pPr>
              <w:pStyle w:val="Drugs"/>
            </w:pPr>
            <w:r>
              <w:t>take as required for pain</w:t>
            </w:r>
          </w:p>
        </w:tc>
      </w:tr>
      <w:tr w:rsidR="003A4325" w:rsidTr="00221D21">
        <w:trPr>
          <w:cantSplit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prescribed</w:t>
            </w:r>
          </w:p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end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221D21" w:rsidP="003A4325">
            <w:pPr>
              <w:pStyle w:val="Drugs"/>
            </w:pPr>
            <w:r>
              <w:t>18</w:t>
            </w:r>
            <w:r w:rsidR="003A4325">
              <w:t xml:space="preserve"> </w:t>
            </w:r>
            <w:r>
              <w:t>June</w:t>
            </w:r>
            <w:r w:rsidR="003A4325">
              <w:t xml:space="preserve"> 2019</w:t>
            </w:r>
          </w:p>
          <w:p w:rsidR="003A4325" w:rsidRDefault="003A4325" w:rsidP="003A4325">
            <w:pPr>
              <w:pStyle w:val="Drugs"/>
            </w:pPr>
            <w:r>
              <w:rPr>
                <w:shd w:val="clear" w:color="auto" w:fill="DDDDDD"/>
              </w:rPr>
              <w:t xml:space="preserve">21 </w:t>
            </w:r>
            <w:r w:rsidR="00221D21">
              <w:rPr>
                <w:shd w:val="clear" w:color="auto" w:fill="DDDDDD"/>
              </w:rPr>
              <w:t>June</w:t>
            </w:r>
            <w:r>
              <w:rPr>
                <w:shd w:val="clear" w:color="auto" w:fill="DDDDDD"/>
              </w:rPr>
              <w:t xml:space="preserve"> 2019</w:t>
            </w: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rStyle w:val="moiety"/>
                <w:b/>
                <w:bCs/>
              </w:rPr>
              <w:t>omeprazole</w:t>
            </w:r>
            <w:r>
              <w:t xml:space="preserve"> </w:t>
            </w:r>
            <w:r>
              <w:rPr>
                <w:rStyle w:val="mdash"/>
              </w:rPr>
              <w:t>—</w:t>
            </w:r>
            <w:r>
              <w:t xml:space="preserve"> 20 mg </w:t>
            </w:r>
            <w:r>
              <w:rPr>
                <w:rStyle w:val="mdash"/>
              </w:rPr>
              <w:t>—</w:t>
            </w:r>
            <w:r>
              <w:t xml:space="preserve"> gastro-resistant capsules</w:t>
            </w:r>
          </w:p>
          <w:p w:rsidR="003A4325" w:rsidRDefault="003A4325" w:rsidP="003A4325">
            <w:pPr>
              <w:pStyle w:val="Drugs"/>
            </w:pPr>
            <w:r>
              <w:rPr>
                <w:b/>
                <w:bCs/>
                <w:color w:val="5096DC"/>
                <w:sz w:val="14"/>
                <w:szCs w:val="14"/>
              </w:rPr>
              <w:t>DOSE</w:t>
            </w:r>
            <w:r>
              <w:t> </w:t>
            </w:r>
            <w:r>
              <w:rPr>
                <w:b/>
                <w:bCs/>
              </w:rPr>
              <w:t>20 mg</w:t>
            </w:r>
            <w:r>
              <w:t> — oral — once / day</w:t>
            </w:r>
          </w:p>
          <w:p w:rsidR="003A4325" w:rsidRDefault="003A4325" w:rsidP="003A4325">
            <w:pPr>
              <w:pStyle w:val="Drugs"/>
            </w:pPr>
            <w:r>
              <w:t>Whilst on Ibuprofen</w:t>
            </w:r>
          </w:p>
        </w:tc>
      </w:tr>
      <w:tr w:rsidR="003A4325" w:rsidTr="00221D21">
        <w:trPr>
          <w:cantSplit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prescribed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221D21" w:rsidP="003A4325">
            <w:pPr>
              <w:pStyle w:val="Drugs"/>
            </w:pPr>
            <w:r>
              <w:t>18</w:t>
            </w:r>
            <w:r w:rsidR="003A4325">
              <w:t xml:space="preserve"> </w:t>
            </w:r>
            <w:r>
              <w:t>June</w:t>
            </w:r>
            <w:r w:rsidR="003A4325">
              <w:t xml:space="preserve"> 2019</w:t>
            </w: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rStyle w:val="moiety"/>
                <w:b/>
                <w:bCs/>
              </w:rPr>
              <w:t xml:space="preserve">morphine </w:t>
            </w:r>
            <w:proofErr w:type="spellStart"/>
            <w:r>
              <w:rPr>
                <w:rStyle w:val="moiety"/>
                <w:b/>
                <w:bCs/>
              </w:rPr>
              <w:t>sulfate</w:t>
            </w:r>
            <w:proofErr w:type="spellEnd"/>
            <w:r>
              <w:t xml:space="preserve"> </w:t>
            </w:r>
            <w:r>
              <w:rPr>
                <w:rStyle w:val="mdash"/>
              </w:rPr>
              <w:t>—</w:t>
            </w:r>
            <w:r>
              <w:t xml:space="preserve"> 10 mg in 5 ml </w:t>
            </w:r>
            <w:r>
              <w:rPr>
                <w:rStyle w:val="mdash"/>
              </w:rPr>
              <w:t>—</w:t>
            </w:r>
            <w:r>
              <w:t xml:space="preserve"> oral solution</w:t>
            </w:r>
          </w:p>
          <w:p w:rsidR="003A4325" w:rsidRDefault="003A4325" w:rsidP="003A4325">
            <w:pPr>
              <w:pStyle w:val="Drugs"/>
            </w:pPr>
            <w:r>
              <w:rPr>
                <w:b/>
                <w:bCs/>
                <w:color w:val="5096DC"/>
                <w:sz w:val="14"/>
                <w:szCs w:val="14"/>
              </w:rPr>
              <w:t>DOSE</w:t>
            </w:r>
            <w:r>
              <w:t> </w:t>
            </w:r>
            <w:r>
              <w:rPr>
                <w:b/>
                <w:bCs/>
              </w:rPr>
              <w:t>10 - 20 mg</w:t>
            </w:r>
            <w:r>
              <w:t> — oral — variable</w:t>
            </w:r>
          </w:p>
          <w:p w:rsidR="003A4325" w:rsidRDefault="003A4325" w:rsidP="003A4325">
            <w:pPr>
              <w:pStyle w:val="Drugs"/>
            </w:pPr>
            <w:r>
              <w:t>2-4 hourly for breakthrough pain.</w:t>
            </w:r>
          </w:p>
        </w:tc>
      </w:tr>
      <w:tr w:rsidR="003A4325" w:rsidTr="00221D21">
        <w:trPr>
          <w:cantSplit/>
        </w:trPr>
        <w:tc>
          <w:tcPr>
            <w:tcW w:w="85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color w:val="666666"/>
              </w:rPr>
              <w:t>prescribed</w:t>
            </w:r>
          </w:p>
        </w:tc>
        <w:tc>
          <w:tcPr>
            <w:tcW w:w="1047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221D21" w:rsidP="003A4325">
            <w:pPr>
              <w:pStyle w:val="Drugs"/>
            </w:pPr>
            <w:r>
              <w:t>18</w:t>
            </w:r>
            <w:r w:rsidR="003A4325">
              <w:t xml:space="preserve"> </w:t>
            </w:r>
            <w:r>
              <w:t>June</w:t>
            </w:r>
            <w:r w:rsidR="003A4325">
              <w:t xml:space="preserve"> 2019</w:t>
            </w:r>
          </w:p>
        </w:tc>
        <w:tc>
          <w:tcPr>
            <w:tcW w:w="7654" w:type="dxa"/>
            <w:tcBorders>
              <w:top w:val="single" w:sz="4" w:space="0" w:color="C7C7C7"/>
              <w:left w:val="single" w:sz="4" w:space="0" w:color="C7C7C7"/>
              <w:bottom w:val="single" w:sz="4" w:space="0" w:color="C7C7C7"/>
              <w:right w:val="single" w:sz="4" w:space="0" w:color="C7C7C7"/>
            </w:tcBorders>
            <w:tcMar>
              <w:top w:w="28" w:type="dxa"/>
              <w:left w:w="57" w:type="dxa"/>
              <w:bottom w:w="0" w:type="dxa"/>
              <w:right w:w="28" w:type="dxa"/>
            </w:tcMar>
            <w:hideMark/>
          </w:tcPr>
          <w:p w:rsidR="003A4325" w:rsidRDefault="003A4325" w:rsidP="003A4325">
            <w:pPr>
              <w:pStyle w:val="Drugs"/>
            </w:pPr>
            <w:r>
              <w:rPr>
                <w:rStyle w:val="moiety"/>
                <w:b/>
                <w:bCs/>
              </w:rPr>
              <w:t>codeine</w:t>
            </w:r>
            <w:r>
              <w:t xml:space="preserve"> </w:t>
            </w:r>
            <w:r>
              <w:rPr>
                <w:rStyle w:val="mdash"/>
              </w:rPr>
              <w:t>—</w:t>
            </w:r>
            <w:r>
              <w:t xml:space="preserve"> 30 mg </w:t>
            </w:r>
            <w:r>
              <w:rPr>
                <w:rStyle w:val="mdash"/>
              </w:rPr>
              <w:t>—</w:t>
            </w:r>
            <w:r>
              <w:t xml:space="preserve"> tablets</w:t>
            </w:r>
          </w:p>
          <w:p w:rsidR="003A4325" w:rsidRDefault="003A4325" w:rsidP="003A4325">
            <w:pPr>
              <w:pStyle w:val="Drugs"/>
            </w:pPr>
            <w:r>
              <w:rPr>
                <w:b/>
                <w:bCs/>
                <w:color w:val="5096DC"/>
                <w:sz w:val="14"/>
                <w:szCs w:val="14"/>
              </w:rPr>
              <w:t>DOSE</w:t>
            </w:r>
            <w:r>
              <w:t> </w:t>
            </w:r>
            <w:r>
              <w:rPr>
                <w:b/>
                <w:bCs/>
              </w:rPr>
              <w:t>30 - 60 mg</w:t>
            </w:r>
            <w:r>
              <w:t> — oral — 4 times / day</w:t>
            </w:r>
          </w:p>
          <w:p w:rsidR="003A4325" w:rsidRDefault="003A4325" w:rsidP="003A4325">
            <w:pPr>
              <w:pStyle w:val="Drugs"/>
            </w:pPr>
            <w:r>
              <w:t>take as required for pain relief</w:t>
            </w:r>
          </w:p>
        </w:tc>
      </w:tr>
    </w:tbl>
    <w:p w:rsidR="003A4325" w:rsidRDefault="003A4325" w:rsidP="003A4325">
      <w:pPr>
        <w:pStyle w:val="Drugs"/>
      </w:pPr>
    </w:p>
    <w:p w:rsidR="003A4325" w:rsidRDefault="003A4325" w:rsidP="003A4325"/>
    <w:tbl>
      <w:tblPr>
        <w:tblW w:w="0" w:type="auto"/>
        <w:tblLook w:val="04A0" w:firstRow="1" w:lastRow="0" w:firstColumn="1" w:lastColumn="0" w:noHBand="0" w:noVBand="1"/>
      </w:tblPr>
      <w:tblGrid>
        <w:gridCol w:w="2135"/>
        <w:gridCol w:w="3794"/>
        <w:gridCol w:w="277"/>
        <w:gridCol w:w="1650"/>
        <w:gridCol w:w="1833"/>
      </w:tblGrid>
      <w:tr w:rsidR="003A4325" w:rsidTr="003A4325">
        <w:trPr>
          <w:cantSplit/>
          <w:trHeight w:val="275"/>
        </w:trPr>
        <w:tc>
          <w:tcPr>
            <w:tcW w:w="2235" w:type="dxa"/>
            <w:hideMark/>
          </w:tcPr>
          <w:p w:rsidR="003A4325" w:rsidRDefault="003A4325" w:rsidP="003A4325">
            <w:r>
              <w:t>Discharging Clinician:</w:t>
            </w:r>
          </w:p>
        </w:tc>
        <w:tc>
          <w:tcPr>
            <w:tcW w:w="4110" w:type="dxa"/>
            <w:hideMark/>
          </w:tcPr>
          <w:p w:rsidR="003A4325" w:rsidRDefault="00075EE5" w:rsidP="00075EE5">
            <w:bookmarkStart w:id="30" w:name="Owner_full_name"/>
            <w:r>
              <w:t>Miss</w:t>
            </w:r>
            <w:r w:rsidR="003A4325">
              <w:t xml:space="preserve">. </w:t>
            </w:r>
            <w:r>
              <w:t>B</w:t>
            </w:r>
            <w:r w:rsidR="003A4325">
              <w:t xml:space="preserve"> </w:t>
            </w:r>
            <w:bookmarkEnd w:id="30"/>
            <w:r>
              <w:t>Summers</w:t>
            </w:r>
            <w:r w:rsidR="003A4325">
              <w:t xml:space="preserve">, </w:t>
            </w:r>
            <w:bookmarkStart w:id="31" w:name="Owner_prof_id"/>
            <w:bookmarkEnd w:id="31"/>
          </w:p>
        </w:tc>
        <w:tc>
          <w:tcPr>
            <w:tcW w:w="284" w:type="dxa"/>
          </w:tcPr>
          <w:p w:rsidR="003A4325" w:rsidRDefault="003A4325" w:rsidP="003A4325"/>
        </w:tc>
        <w:tc>
          <w:tcPr>
            <w:tcW w:w="1701" w:type="dxa"/>
            <w:hideMark/>
          </w:tcPr>
          <w:p w:rsidR="003A4325" w:rsidRDefault="003A4325" w:rsidP="003A4325">
            <w:r>
              <w:t>Contact Bleep:</w:t>
            </w:r>
          </w:p>
        </w:tc>
        <w:tc>
          <w:tcPr>
            <w:tcW w:w="1977" w:type="dxa"/>
          </w:tcPr>
          <w:p w:rsidR="003A4325" w:rsidRDefault="003A4325" w:rsidP="003A4325">
            <w:bookmarkStart w:id="32" w:name="Owner_bleep"/>
            <w:bookmarkEnd w:id="32"/>
          </w:p>
        </w:tc>
      </w:tr>
      <w:tr w:rsidR="003A4325" w:rsidTr="003A4325">
        <w:trPr>
          <w:cantSplit/>
        </w:trPr>
        <w:tc>
          <w:tcPr>
            <w:tcW w:w="2235" w:type="dxa"/>
            <w:hideMark/>
          </w:tcPr>
          <w:p w:rsidR="003A4325" w:rsidRDefault="003A4325" w:rsidP="003A4325">
            <w:r>
              <w:t>Designation:</w:t>
            </w:r>
          </w:p>
        </w:tc>
        <w:tc>
          <w:tcPr>
            <w:tcW w:w="4110" w:type="dxa"/>
            <w:hideMark/>
          </w:tcPr>
          <w:p w:rsidR="003A4325" w:rsidRDefault="003A4325" w:rsidP="003A4325">
            <w:bookmarkStart w:id="33" w:name="Owner_role_title"/>
            <w:r>
              <w:t>Spinal Clinical Nurse Practitioner</w:t>
            </w:r>
            <w:bookmarkEnd w:id="33"/>
          </w:p>
        </w:tc>
        <w:tc>
          <w:tcPr>
            <w:tcW w:w="284" w:type="dxa"/>
          </w:tcPr>
          <w:p w:rsidR="003A4325" w:rsidRDefault="003A4325" w:rsidP="003A4325"/>
        </w:tc>
        <w:tc>
          <w:tcPr>
            <w:tcW w:w="1701" w:type="dxa"/>
            <w:hideMark/>
          </w:tcPr>
          <w:p w:rsidR="003A4325" w:rsidRDefault="003A4325" w:rsidP="003A4325">
            <w:r>
              <w:t>Completed:</w:t>
            </w:r>
          </w:p>
        </w:tc>
        <w:tc>
          <w:tcPr>
            <w:tcW w:w="1977" w:type="dxa"/>
            <w:hideMark/>
          </w:tcPr>
          <w:p w:rsidR="003A4325" w:rsidRDefault="003A4325" w:rsidP="003A4325">
            <w:bookmarkStart w:id="34" w:name="current_date"/>
            <w:r>
              <w:t xml:space="preserve">09 </w:t>
            </w:r>
            <w:r w:rsidR="00221D21">
              <w:t>June</w:t>
            </w:r>
            <w:r>
              <w:t xml:space="preserve"> 2019</w:t>
            </w:r>
            <w:bookmarkEnd w:id="34"/>
          </w:p>
        </w:tc>
      </w:tr>
      <w:tr w:rsidR="003A4325" w:rsidTr="003A4325">
        <w:trPr>
          <w:cantSplit/>
        </w:trPr>
        <w:tc>
          <w:tcPr>
            <w:tcW w:w="2235" w:type="dxa"/>
            <w:hideMark/>
          </w:tcPr>
          <w:p w:rsidR="003A4325" w:rsidRDefault="003A4325" w:rsidP="003A4325">
            <w:r>
              <w:t>Senior Review:</w:t>
            </w:r>
          </w:p>
        </w:tc>
        <w:tc>
          <w:tcPr>
            <w:tcW w:w="8072" w:type="dxa"/>
            <w:gridSpan w:val="4"/>
            <w:hideMark/>
          </w:tcPr>
          <w:p w:rsidR="003A4325" w:rsidRDefault="003A4325" w:rsidP="003A4325">
            <w:bookmarkStart w:id="35" w:name="senior_review_comp_name"/>
            <w:bookmarkEnd w:id="35"/>
            <w:r>
              <w:t xml:space="preserve">  </w:t>
            </w:r>
            <w:bookmarkStart w:id="36" w:name="senior_review_comp_date"/>
            <w:bookmarkEnd w:id="36"/>
          </w:p>
        </w:tc>
      </w:tr>
      <w:tr w:rsidR="003A4325" w:rsidTr="003A4325">
        <w:trPr>
          <w:cantSplit/>
          <w:trHeight w:val="158"/>
        </w:trPr>
        <w:tc>
          <w:tcPr>
            <w:tcW w:w="2235" w:type="dxa"/>
          </w:tcPr>
          <w:p w:rsidR="003A4325" w:rsidRDefault="003A4325" w:rsidP="003A4325"/>
        </w:tc>
        <w:tc>
          <w:tcPr>
            <w:tcW w:w="8072" w:type="dxa"/>
            <w:gridSpan w:val="4"/>
          </w:tcPr>
          <w:p w:rsidR="003A4325" w:rsidRDefault="003A4325" w:rsidP="003A4325">
            <w:bookmarkStart w:id="37" w:name="senior_review_comments"/>
            <w:bookmarkEnd w:id="37"/>
          </w:p>
        </w:tc>
      </w:tr>
    </w:tbl>
    <w:p w:rsidR="003A4325" w:rsidRDefault="003A4325" w:rsidP="003A4325"/>
    <w:tbl>
      <w:tblPr>
        <w:tblW w:w="5000" w:type="pct"/>
        <w:tblBorders>
          <w:insideH w:val="nil"/>
          <w:insideV w:val="nil"/>
        </w:tblBorders>
        <w:tblCellMar>
          <w:top w:w="80" w:type="dxa"/>
          <w:left w:w="0" w:type="dxa"/>
          <w:bottom w:w="80" w:type="dxa"/>
          <w:right w:w="0" w:type="dxa"/>
        </w:tblCellMar>
        <w:tblLook w:val="04A0" w:firstRow="1" w:lastRow="0" w:firstColumn="1" w:lastColumn="0" w:noHBand="0" w:noVBand="1"/>
      </w:tblPr>
      <w:tblGrid>
        <w:gridCol w:w="9473"/>
      </w:tblGrid>
      <w:tr w:rsidR="003A4325" w:rsidTr="003A432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A4325" w:rsidRDefault="003A4325" w:rsidP="003A4325">
            <w:r>
              <w:t>Distribute to:</w:t>
            </w:r>
          </w:p>
        </w:tc>
      </w:tr>
      <w:tr w:rsidR="003A4325" w:rsidTr="003A432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4325" w:rsidRDefault="003A4325" w:rsidP="003A4325">
            <w:proofErr w:type="spellStart"/>
            <w:r>
              <w:t>Dr.</w:t>
            </w:r>
            <w:proofErr w:type="spellEnd"/>
            <w:r>
              <w:t xml:space="preserve"> </w:t>
            </w:r>
            <w:r w:rsidR="00075EE5">
              <w:t>Willow</w:t>
            </w:r>
            <w:r w:rsidR="004545C4">
              <w:t xml:space="preserve"> D</w:t>
            </w:r>
            <w:r>
              <w:t xml:space="preserve">. </w:t>
            </w:r>
            <w:r w:rsidR="004545C4">
              <w:t>Rosenberg</w:t>
            </w:r>
            <w:r>
              <w:t>, General Practitioner</w:t>
            </w:r>
          </w:p>
          <w:p w:rsidR="003A4325" w:rsidRDefault="003A4325" w:rsidP="003A4325">
            <w:r>
              <w:t>(E-distribution to practice)</w:t>
            </w:r>
          </w:p>
          <w:p w:rsidR="003A4325" w:rsidRDefault="003A4325" w:rsidP="003A4325"/>
        </w:tc>
      </w:tr>
    </w:tbl>
    <w:p w:rsidR="003A4325" w:rsidRDefault="003A4325" w:rsidP="003A4325"/>
    <w:p w:rsidR="003A4325" w:rsidRDefault="003A4325" w:rsidP="003A4325"/>
    <w:p w:rsidR="003A4325" w:rsidRDefault="003A4325" w:rsidP="003A4325">
      <w:r>
        <w:t>All patients who have been in-patients in hospital are at a higher risk of developing leg vein or lung clots due to recent immobility, infection etc. We therefore recommend any patient developing leg swelling or pain, and/or new breathlessness or sharp chest pain, after an in-patient stay, to seek an urgent medical review.</w:t>
      </w:r>
    </w:p>
    <w:p w:rsidR="001F678F" w:rsidRDefault="001F678F" w:rsidP="003A4325"/>
    <w:sectPr w:rsidR="001F678F" w:rsidSect="003A4325">
      <w:headerReference w:type="default" r:id="rId7"/>
      <w:footerReference w:type="default" r:id="rId8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CF8" w:rsidRDefault="00434CF8" w:rsidP="003A4325">
      <w:r>
        <w:separator/>
      </w:r>
    </w:p>
  </w:endnote>
  <w:endnote w:type="continuationSeparator" w:id="0">
    <w:p w:rsidR="00434CF8" w:rsidRDefault="00434CF8" w:rsidP="003A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84B" w:rsidRDefault="00C9084B">
    <w:pPr>
      <w:pStyle w:val="Footer"/>
    </w:pPr>
    <w:r>
      <w:t>999 332 0280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CF8" w:rsidRDefault="00434CF8" w:rsidP="003A4325">
      <w:r>
        <w:separator/>
      </w:r>
    </w:p>
  </w:footnote>
  <w:footnote w:type="continuationSeparator" w:id="0">
    <w:p w:rsidR="00434CF8" w:rsidRDefault="00434CF8" w:rsidP="003A4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5" w:type="dxa"/>
      <w:tblLayout w:type="fixed"/>
      <w:tblLook w:val="01E0" w:firstRow="1" w:lastRow="1" w:firstColumn="1" w:lastColumn="1" w:noHBand="0" w:noVBand="0"/>
    </w:tblPr>
    <w:tblGrid>
      <w:gridCol w:w="5147"/>
      <w:gridCol w:w="5218"/>
    </w:tblGrid>
    <w:tr w:rsidR="003A4325" w:rsidTr="003A4325">
      <w:trPr>
        <w:trHeight w:val="993"/>
      </w:trPr>
      <w:tc>
        <w:tcPr>
          <w:tcW w:w="5148" w:type="dxa"/>
        </w:tcPr>
        <w:p w:rsidR="003A4325" w:rsidRDefault="003A4325">
          <w:pPr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 xml:space="preserve">Discharge </w:t>
          </w:r>
          <w:proofErr w:type="spellStart"/>
          <w:r>
            <w:rPr>
              <w:rFonts w:cs="Arial"/>
              <w:b/>
              <w:sz w:val="28"/>
            </w:rPr>
            <w:t>Sum</w:t>
          </w:r>
          <w:r w:rsidR="00221D21">
            <w:rPr>
              <w:rFonts w:cs="Arial"/>
              <w:b/>
              <w:sz w:val="28"/>
            </w:rPr>
            <w:t>June</w:t>
          </w:r>
          <w:r>
            <w:rPr>
              <w:rFonts w:cs="Arial"/>
              <w:b/>
              <w:sz w:val="28"/>
            </w:rPr>
            <w:t>y</w:t>
          </w:r>
          <w:proofErr w:type="spellEnd"/>
        </w:p>
        <w:p w:rsidR="003A4325" w:rsidRDefault="003A4325">
          <w:pPr>
            <w:rPr>
              <w:rFonts w:cs="Arial"/>
              <w:b/>
              <w:szCs w:val="20"/>
            </w:rPr>
          </w:pPr>
        </w:p>
      </w:tc>
      <w:tc>
        <w:tcPr>
          <w:tcW w:w="5220" w:type="dxa"/>
          <w:hideMark/>
        </w:tcPr>
        <w:p w:rsidR="003A4325" w:rsidRDefault="003A4325">
          <w:pPr>
            <w:jc w:val="right"/>
            <w:rPr>
              <w:rFonts w:cs="Arial"/>
              <w:b/>
              <w:sz w:val="16"/>
              <w:szCs w:val="20"/>
            </w:rPr>
          </w:pPr>
          <w:r>
            <w:rPr>
              <w:rFonts w:cs="Arial"/>
              <w:b/>
              <w:noProof/>
              <w:sz w:val="16"/>
              <w:szCs w:val="20"/>
            </w:rPr>
            <w:drawing>
              <wp:inline distT="0" distB="0" distL="0" distR="0" wp14:anchorId="0A9FCB44" wp14:editId="2F459A6A">
                <wp:extent cx="3152140" cy="4667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14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3A4325" w:rsidRDefault="003A4325" w:rsidP="003A4325">
    <w:pPr>
      <w:spacing w:line="12" w:lineRule="auto"/>
      <w:ind w:right="-170"/>
      <w:rPr>
        <w:rFonts w:cs="Arial"/>
        <w:b/>
        <w:sz w:val="32"/>
        <w:szCs w:val="22"/>
      </w:rPr>
    </w:pPr>
  </w:p>
  <w:p w:rsidR="003A4325" w:rsidRDefault="003A4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25"/>
    <w:rsid w:val="00075EE5"/>
    <w:rsid w:val="001F678F"/>
    <w:rsid w:val="00221D21"/>
    <w:rsid w:val="003A4325"/>
    <w:rsid w:val="00434CF8"/>
    <w:rsid w:val="004545C4"/>
    <w:rsid w:val="00691D8C"/>
    <w:rsid w:val="00742856"/>
    <w:rsid w:val="008A1DD9"/>
    <w:rsid w:val="00C82253"/>
    <w:rsid w:val="00C9084B"/>
    <w:rsid w:val="00D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25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ugs">
    <w:name w:val="Drugs"/>
    <w:basedOn w:val="Normal"/>
    <w:qFormat/>
    <w:rsid w:val="003A4325"/>
    <w:rPr>
      <w:sz w:val="16"/>
      <w:szCs w:val="16"/>
    </w:rPr>
  </w:style>
  <w:style w:type="character" w:customStyle="1" w:styleId="moiety">
    <w:name w:val="moiety"/>
    <w:basedOn w:val="DefaultParagraphFont"/>
    <w:rsid w:val="003A4325"/>
  </w:style>
  <w:style w:type="character" w:customStyle="1" w:styleId="mdash">
    <w:name w:val="mdash"/>
    <w:basedOn w:val="DefaultParagraphFont"/>
    <w:rsid w:val="003A4325"/>
  </w:style>
  <w:style w:type="paragraph" w:styleId="Header">
    <w:name w:val="header"/>
    <w:basedOn w:val="Normal"/>
    <w:link w:val="HeaderChar"/>
    <w:uiPriority w:val="99"/>
    <w:unhideWhenUsed/>
    <w:rsid w:val="003A4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5"/>
    <w:rPr>
      <w:rFonts w:ascii="Arial" w:eastAsia="Times New Roman" w:hAnsi="Arial" w:cs="Times New Roman"/>
      <w:sz w:val="2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4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25"/>
    <w:rPr>
      <w:rFonts w:ascii="Arial" w:eastAsia="Times New Roman" w:hAnsi="Arial" w:cs="Times New Roman"/>
      <w:sz w:val="20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25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25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ugs">
    <w:name w:val="Drugs"/>
    <w:basedOn w:val="Normal"/>
    <w:qFormat/>
    <w:rsid w:val="003A4325"/>
    <w:rPr>
      <w:sz w:val="16"/>
      <w:szCs w:val="16"/>
    </w:rPr>
  </w:style>
  <w:style w:type="character" w:customStyle="1" w:styleId="moiety">
    <w:name w:val="moiety"/>
    <w:basedOn w:val="DefaultParagraphFont"/>
    <w:rsid w:val="003A4325"/>
  </w:style>
  <w:style w:type="character" w:customStyle="1" w:styleId="mdash">
    <w:name w:val="mdash"/>
    <w:basedOn w:val="DefaultParagraphFont"/>
    <w:rsid w:val="003A4325"/>
  </w:style>
  <w:style w:type="paragraph" w:styleId="Header">
    <w:name w:val="header"/>
    <w:basedOn w:val="Normal"/>
    <w:link w:val="HeaderChar"/>
    <w:uiPriority w:val="99"/>
    <w:unhideWhenUsed/>
    <w:rsid w:val="003A4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5"/>
    <w:rPr>
      <w:rFonts w:ascii="Arial" w:eastAsia="Times New Roman" w:hAnsi="Arial" w:cs="Times New Roman"/>
      <w:sz w:val="2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4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25"/>
    <w:rPr>
      <w:rFonts w:ascii="Arial" w:eastAsia="Times New Roman" w:hAnsi="Arial" w:cs="Times New Roman"/>
      <w:sz w:val="20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25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Taunton and Somerset NHS Foundation Trust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name</dc:creator>
  <cp:lastModifiedBy>User name</cp:lastModifiedBy>
  <cp:revision>7</cp:revision>
  <dcterms:created xsi:type="dcterms:W3CDTF">2019-11-12T13:33:00Z</dcterms:created>
  <dcterms:modified xsi:type="dcterms:W3CDTF">2020-02-03T08:09:00Z</dcterms:modified>
</cp:coreProperties>
</file>