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266"/>
        <w:gridCol w:w="1352"/>
        <w:gridCol w:w="1352"/>
        <w:gridCol w:w="1157"/>
      </w:tblGrid>
      <w:tr>
        <w:trPr>
          <w:trHeight w:val="57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−0.107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(−0.294, −0.009)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Independent variable: ValueDiversity (X), hypothesized mediator: TaskConflict (M), dependent variable: TeamCommitment (Y). Sample size = 89. Number of bootstrap samples = 5,000.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2023-03-29T11:27:08Z</dcterms:modified>
  <cp:category/>
</cp:coreProperties>
</file>