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також додаток повинен мати змогу створювати знімки готової системи.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Олександр,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Болючі точки: Олександр</w:t>
      </w:r>
      <w:r>
        <w:rPr>
          <w:sz w:val="28"/>
          <w:szCs w:val="28"/>
        </w:rPr>
        <w:t xml:space="preserve">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b w:val="false"/>
          <w:bCs w:val="false"/>
          <w:sz w:val="28"/>
          <w:szCs w:val="28"/>
        </w:rPr>
        <w:t>Н</w:t>
      </w:r>
      <w:r>
        <w:rPr>
          <w:sz w:val="28"/>
          <w:szCs w:val="28"/>
        </w:rPr>
        <w:t>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496"/>
        <w:gridCol w:w="1976"/>
        <w:gridCol w:w="2487"/>
        <w:gridCol w:w="2020"/>
        <w:gridCol w:w="1255"/>
        <w:gridCol w:w="1684"/>
      </w:tblGrid>
      <w:tr>
        <w:trPr/>
        <w:tc>
          <w:tcPr>
            <w:tcW w:w="49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87"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55"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84"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496"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87"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55"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84"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496"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87"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55"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4"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496"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87" w:type="dxa"/>
            <w:tcBorders>
              <w:start w:val="single" w:sz="4" w:space="0" w:color="000000"/>
              <w:bottom w:val="single" w:sz="4" w:space="0" w:color="000000"/>
            </w:tcBorders>
            <w:vAlign w:val="center"/>
          </w:tcPr>
          <w:p>
            <w:pPr>
              <w:pStyle w:val="TableContents"/>
              <w:jc w:val="center"/>
              <w:rPr>
                <w:sz w:val="20"/>
                <w:szCs w:val="20"/>
              </w:rPr>
            </w:pPr>
            <w:r>
              <w:rPr>
                <w:sz w:val="20"/>
                <w:szCs w:val="20"/>
              </w:rPr>
              <w:t xml:space="preserve">Обирає необхідні пакети </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55"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4"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496"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87"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55"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84"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496"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87"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55"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84"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496" w:type="dxa"/>
            <w:tcBorders>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87"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55"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84"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rFonts w:eastAsia="Calibri" w:cs="Times New Roman"/>
          <w:b w:val="false"/>
          <w:bCs w:val="false"/>
          <w:color w:val="auto"/>
          <w:sz w:val="28"/>
          <w:szCs w:val="28"/>
        </w:rPr>
        <w:t>Олександр</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rFonts w:eastAsia="Calibri" w:cs="Times New Roman"/>
          <w:b w:val="false"/>
          <w:bCs w:val="false"/>
          <w:color w:val="auto"/>
          <w:sz w:val="28"/>
          <w:szCs w:val="28"/>
        </w:rPr>
        <w:t>Олександр</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 xml:space="preserve">Як ми можемо надати </w:t>
      </w:r>
      <w:r>
        <w:rPr>
          <w:rStyle w:val="Strong"/>
          <w:rFonts w:eastAsia="Calibri" w:cs="Times New Roman"/>
          <w:b w:val="false"/>
          <w:bCs w:val="false"/>
          <w:color w:val="auto"/>
          <w:sz w:val="28"/>
          <w:szCs w:val="28"/>
        </w:rPr>
        <w:t>Олександру</w:t>
      </w:r>
      <w:r>
        <w:rPr>
          <w:rStyle w:val="Strong"/>
          <w:b w:val="false"/>
          <w:bCs w:val="false"/>
          <w:sz w:val="28"/>
          <w:szCs w:val="28"/>
        </w:rPr>
        <w:t xml:space="preserve">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Екран із блоковим конструктором дистрибутиву (drag-and-drop компоненти: ядро, менеджер пакетів, утиліти, служби).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Таймер/розклад для автоматичного створення резервних копій.</w:t>
      </w:r>
      <w:r>
        <w:br w:type="page"/>
      </w:r>
    </w:p>
    <w:p>
      <w:pPr>
        <w:pStyle w:val="BodyText"/>
        <w:widowControl/>
        <w:tabs>
          <w:tab w:val="clear" w:pos="567"/>
          <w:tab w:val="left" w:pos="0" w:leader="none"/>
        </w:tabs>
        <w:suppressAutoHyphens w:val="true"/>
        <w:bidi w:val="0"/>
        <w:spacing w:lineRule="auto" w:line="360" w:before="0" w:after="283"/>
        <w:ind w:firstLine="809" w:start="0" w:end="0"/>
        <w:jc w:val="both"/>
        <w:rPr>
          <w:sz w:val="28"/>
          <w:szCs w:val="28"/>
        </w:rPr>
      </w:pPr>
      <w:r>
        <w:rPr>
          <w:b/>
          <w:bCs/>
          <w:sz w:val="28"/>
          <w:szCs w:val="28"/>
        </w:rPr>
        <w:t xml:space="preserve">Завдання 7. </w:t>
      </w:r>
      <w:r>
        <w:rPr>
          <w:b w:val="false"/>
          <w:bCs w:val="false"/>
          <w:sz w:val="28"/>
          <w:szCs w:val="28"/>
        </w:rPr>
        <w:t>С</w:t>
      </w:r>
      <w:r>
        <w:rPr>
          <w:sz w:val="28"/>
          <w:szCs w:val="28"/>
        </w:rPr>
        <w:t>формулювати не менше трьох HWM-питань.</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власного дистрибутиву доступним навіть для користувачів без технічного досвіду?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перетворити процес налаштування системи на інтерактивне навчання?</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процес створення або використання дистрибутиву так, щоб це не вимагало додаткових зусиль?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b/>
          <w:bCs/>
          <w:sz w:val="28"/>
          <w:szCs w:val="28"/>
        </w:rPr>
        <w:t>Завдання 8.</w:t>
      </w:r>
      <w:r>
        <w:rPr>
          <w:sz w:val="28"/>
          <w:szCs w:val="28"/>
        </w:rPr>
        <w:t xml:space="preserve"> Провести швидкий скетчинг ідей реалізації рішень інтерфейсу, вирішення проблем (питання HWM будуть в нагоді аби сприяти більшій варіативності рішень).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 xml:space="preserve">Для </w:t>
      </w:r>
      <w:r>
        <w:rPr>
          <w:rFonts w:eastAsia="Calibri" w:cs="Times New Roman"/>
          <w:color w:val="auto"/>
          <w:sz w:val="28"/>
          <w:szCs w:val="28"/>
        </w:rPr>
        <w:t>Олександра</w:t>
      </w:r>
      <w:r>
        <w:rPr>
          <w:sz w:val="28"/>
          <w:szCs w:val="28"/>
        </w:rPr>
        <w:t xml:space="preserve"> можна створити інтуїтивний drag-and-drop конструктор дистрибутиву з блоками ядра, пакетного менеджера, програм і служб, доповнений контекстними підказками та візуальним редактором файлової системи. Інтерфейс може включати вбудовані інструкції та автоматичні поради, які допоможуть користувачу уникнути помилок і краще розуміти процес.</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Володимира важливо забезпечити простий доступ до функції резервного копіювання з кнопкою створення знімка, списком збережених образів та можливістю автоматичного резервування за розкладом.</w:t>
      </w:r>
    </w:p>
    <w:p>
      <w:pPr>
        <w:pStyle w:val="BodyText"/>
        <w:widowControl/>
        <w:tabs>
          <w:tab w:val="clear" w:pos="567"/>
          <w:tab w:val="left" w:pos="0" w:leader="none"/>
        </w:tabs>
        <w:suppressAutoHyphens w:val="true"/>
        <w:bidi w:val="0"/>
        <w:spacing w:lineRule="auto" w:line="360" w:before="173" w:after="0"/>
        <w:ind w:firstLine="809" w:start="0" w:end="0"/>
        <w:jc w:val="both"/>
        <w:rPr>
          <w:sz w:val="28"/>
          <w:szCs w:val="28"/>
        </w:rPr>
      </w:pPr>
      <w:r>
        <w:rPr>
          <w:b/>
          <w:bCs/>
          <w:sz w:val="28"/>
          <w:szCs w:val="28"/>
        </w:rPr>
        <w:t>Висновок:</w:t>
      </w:r>
      <w:r>
        <w:rPr>
          <w:sz w:val="28"/>
          <w:szCs w:val="28"/>
        </w:rPr>
        <w:t xml:space="preserve"> У лабораторній роботі збір вимог та побудова плану дослідження стали важливими етапами для створення зручного і ефективного продукту. Вони допомогли визначити потреби користувачів, сформулювати цілі та розробити гіпотези для покращення функціоналу. Такий підхід закладає основу для подальшої розробки і підвищує шанси на успіх і задоволеність користувачів.</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46"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 name="Rectangle 2"/>
                      <wps:cNvSpPr/>
                      <wps:spPr>
                        <a:xfrm>
                          <a:off x="748080" y="9753120"/>
                          <a:ext cx="859680" cy="1713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3" name="Rectangle 5"/>
                          <wps:cNvSpPr/>
                          <wps:spPr>
                            <a:xfrm>
                              <a:off x="0" y="0"/>
                              <a:ext cx="6650280" cy="1028628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400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400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4708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148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400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4000" cy="1494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4000" cy="20844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78480" cy="23616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4440" cy="16776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3;height:269;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2;height:16198;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09;height:23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09;height:23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3;height:23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89;height:23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09;height:23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09;height:234;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09;height:327;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2;height:371;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76;height:263;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57"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4" name="Rectangle 26"/>
                      <wps:cNvSpPr/>
                      <wps:spPr>
                        <a:xfrm>
                          <a:off x="0" y="0"/>
                          <a:ext cx="6650280" cy="1028628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4400" cy="14976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5676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4708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148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400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2040" cy="1494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2040" cy="14976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3400" cy="23364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8480" cy="174600"/>
                        </a:xfrm>
                      </wpg:grpSpPr>
                      <wps:wsp>
                        <wps:cNvPr id="23" name="Rectangle 50"/>
                        <wps:cNvSpPr/>
                        <wps:spPr>
                          <a:xfrm>
                            <a:off x="0" y="15840"/>
                            <a:ext cx="698400" cy="14976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4440" cy="17460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88680" cy="149760"/>
                        </a:xfrm>
                      </wpg:grpSpPr>
                      <wps:wsp>
                        <wps:cNvPr id="25" name="Rectangle 53"/>
                        <wps:cNvSpPr/>
                        <wps:spPr>
                          <a:xfrm>
                            <a:off x="0" y="0"/>
                            <a:ext cx="698400" cy="14976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47080" cy="14976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88680" cy="149760"/>
                        </a:xfrm>
                      </wpg:grpSpPr>
                      <wps:wsp>
                        <wps:cNvPr id="27" name="Rectangle 56"/>
                        <wps:cNvSpPr/>
                        <wps:spPr>
                          <a:xfrm>
                            <a:off x="0" y="0"/>
                            <a:ext cx="698400" cy="14976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47080" cy="14976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88680" cy="149760"/>
                        </a:xfrm>
                      </wpg:grpSpPr>
                      <wps:wsp>
                        <wps:cNvPr id="29" name="Rectangle 59"/>
                        <wps:cNvSpPr/>
                        <wps:spPr>
                          <a:xfrm>
                            <a:off x="0" y="0"/>
                            <a:ext cx="698400" cy="14976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47080" cy="14976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88680" cy="149760"/>
                        </a:xfrm>
                      </wpg:grpSpPr>
                      <wps:wsp>
                        <wps:cNvPr id="31" name="Rectangle 62"/>
                        <wps:cNvSpPr/>
                        <wps:spPr>
                          <a:xfrm>
                            <a:off x="0" y="0"/>
                            <a:ext cx="698400" cy="14976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47080" cy="14976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3760" cy="72324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1320" cy="14940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65720" cy="1494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4640" cy="14940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6</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58680" cy="33336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2;height:16198;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47;height:235;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1;height:23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3;height:23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89;height:23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09;height:23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58;height:234;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58;height:235;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2;height:367;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3;height:275">
                <v:rect id="shape_0" ID="Rectangle 50" path="m0,0l-2147483645,0l-2147483645,-2147483646l0,-2147483646xe" stroked="f" o:allowincell="f" style="position:absolute;left:-342;top:14424;width:1099;height:235;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76;height:274;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3;height:236">
                <v:rect id="shape_0" ID="Rectangle 53" path="m0,0l-2147483645,0l-2147483645,-2147483646l0,-2147483646xe" stroked="f" o:allowincell="f" style="position:absolute;left:-342;top:14705;width:1099;height:235;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3;height:235;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03;height:236">
                <v:rect id="shape_0" ID="Rectangle 56" path="m0,0l-2147483645,0l-2147483645,-2147483646l0,-2147483646xe" stroked="f" o:allowincell="f" style="position:absolute;left:-342;top:14993;width:1099;height:235;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3;height:235;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3;height:236">
                <v:rect id="shape_0" ID="Rectangle 59" path="m0,0l-2147483645,0l-2147483645,-2147483646l0,-2147483646xe" stroked="f" o:allowincell="f" style="position:absolute;left:-342;top:15273;width:1099;height:235;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3;height:235;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3;height:236">
                <v:rect id="shape_0" ID="Rectangle 62" path="m0,0l-2147483645,0l-2147483645,-2147483646l0,-2147483646xe" stroked="f" o:allowincell="f" style="position:absolute;left:-342;top:15553;width:1099;height:235;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3;height:235;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96;height:1138;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57;height:234;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05;height:234;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3;height:234;mso-wrap-style:square;v-text-anchor:top">
                <v:fill o:detectmouseclick="t" on="false"/>
                <v:stroke color="#3465a4" joinstyle="round" endcap="flat"/>
                <v:textbox>
                  <w:txbxContent>
                    <w:p>
                      <w:pPr>
                        <w:pStyle w:val="Style11"/>
                        <w:jc w:val="center"/>
                        <w:rPr>
                          <w:sz w:val="20"/>
                          <w:lang w:val="en-US"/>
                        </w:rPr>
                      </w:pPr>
                      <w:r>
                        <w:rPr>
                          <w:sz w:val="20"/>
                          <w:lang w:val="en-US"/>
                        </w:rPr>
                        <w:t>6</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26;height:524;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Application>LibreOffice/25.8.1.1$Linux_X86_64 LibreOffice_project/580$Build-1</Application>
  <AppVersion>15.0000</AppVersion>
  <Pages>3</Pages>
  <Words>1197</Words>
  <Characters>7907</Characters>
  <CharactersWithSpaces>8969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2025-09-11T14:13:14Z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file>