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ul"/>
        <w:spacing w:lineRule="auto" w:line="300"/>
        <w:rPr>
          <w:rFonts w:ascii="Times New Roman" w:hAnsi="Times New Roman" w:cs="Times New Roman"/>
          <w:b w:val="false"/>
          <w:color w:themeColor="text1" w:val="000000"/>
          <w:sz w:val="28"/>
          <w:lang w:val="uk-UA"/>
        </w:rPr>
      </w:pPr>
      <w:r>
        <w:rPr>
          <w:rFonts w:cs="Times New Roman" w:ascii="Times New Roman" w:hAnsi="Times New Roman"/>
          <w:b w:val="false"/>
          <w:bCs/>
          <w:color w:themeColor="text1" w:val="000000"/>
          <w:sz w:val="28"/>
          <w:szCs w:val="28"/>
          <w:lang w:val="uk-UA"/>
        </w:rPr>
        <w:t>МІНІСТЕРСТВО ОСВІТИ І НАУКИ УКРАЇНИ</w:t>
      </w:r>
    </w:p>
    <w:p>
      <w:pPr>
        <w:pStyle w:val="ListParagraph"/>
        <w:spacing w:lineRule="auto" w:line="300"/>
        <w:jc w:val="center"/>
        <w:rPr>
          <w:rFonts w:ascii="Times New Roman" w:hAnsi="Times New Roman" w:cs="Times New Roman"/>
          <w:color w:themeColor="text1" w:val="000000"/>
          <w:lang w:val="uk-UA"/>
        </w:rPr>
      </w:pPr>
      <w:r>
        <w:rPr>
          <w:rFonts w:cs="Times New Roman" w:ascii="Times New Roman" w:hAnsi="Times New Roman"/>
          <w:bCs/>
          <w:color w:themeColor="text1" w:val="000000"/>
          <w:sz w:val="28"/>
          <w:szCs w:val="28"/>
          <w:lang w:val="uk-UA"/>
        </w:rPr>
        <w:t>ДЕРЖАВНИЙ УНІВЕРСИТЕТ «ЖИТОМИРСЬКА ПОЛІТЕХНІКА»</w:t>
      </w:r>
    </w:p>
    <w:p>
      <w:pPr>
        <w:pStyle w:val="Titul"/>
        <w:spacing w:lineRule="auto" w:line="300"/>
        <w:rPr>
          <w:rFonts w:ascii="Times New Roman" w:hAnsi="Times New Roman" w:cs="Times New Roman"/>
          <w:b w:val="false"/>
          <w:color w:themeColor="text1" w:val="000000"/>
          <w:sz w:val="28"/>
          <w:lang w:val="uk-UA"/>
        </w:rPr>
      </w:pPr>
      <w:r>
        <w:rPr>
          <w:rFonts w:cs="Times New Roman" w:ascii="Times New Roman" w:hAnsi="Times New Roman"/>
          <w:b w:val="false"/>
          <w:bCs/>
          <w:color w:themeColor="text1" w:val="000000"/>
          <w:sz w:val="28"/>
          <w:szCs w:val="28"/>
          <w:lang w:val="uk-UA"/>
        </w:rPr>
        <w:t>ФАКУЛЬТЕТ ІНФОРМАЦІЙНО-КОМП'ЮТЕРНИХ ТЕХНОЛОГІЙ</w:t>
      </w:r>
    </w:p>
    <w:p>
      <w:pPr>
        <w:pStyle w:val="Titul"/>
        <w:spacing w:lineRule="auto" w:line="300"/>
        <w:rPr>
          <w:rFonts w:ascii="Times New Roman" w:hAnsi="Times New Roman" w:cs="Times New Roman"/>
          <w:b w:val="false"/>
          <w:color w:themeColor="text1" w:val="000000"/>
          <w:sz w:val="28"/>
          <w:lang w:val="uk-UA"/>
        </w:rPr>
      </w:pPr>
      <w:r>
        <w:rPr>
          <w:rFonts w:cs="Times New Roman" w:ascii="Times New Roman" w:hAnsi="Times New Roman"/>
          <w:b w:val="false"/>
          <w:bCs/>
          <w:color w:themeColor="text1" w:val="000000"/>
          <w:sz w:val="28"/>
          <w:szCs w:val="28"/>
          <w:lang w:val="uk-UA"/>
        </w:rPr>
        <w:t>КАФЕДРА ІНЖЕНЕРІЇ ПРОГРАМНОГО ЗАБЕЗПЕЧЕННЯ</w:t>
      </w:r>
      <w:bookmarkStart w:id="0" w:name="_Hlk74145501"/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val="uk-UA" w:eastAsia="ru-RU"/>
        </w:rPr>
      </w:pPr>
      <w:r>
        <w:rPr>
          <w:rFonts w:cs="Times New Roman" w:ascii="Times New Roman" w:hAnsi="Times New Roman"/>
          <w:b/>
          <w:bCs/>
          <w:sz w:val="40"/>
          <w:szCs w:val="40"/>
          <w:lang w:val="uk-UA"/>
        </w:rPr>
        <w:t>РЕФЕРАТ</w:t>
      </w:r>
    </w:p>
    <w:p>
      <w:pPr>
        <w:pStyle w:val="Normal"/>
        <w:spacing w:lineRule="auto" w:line="360"/>
        <w:jc w:val="center"/>
        <w:rPr>
          <w:rFonts w:ascii="Times New Roman" w:hAnsi="Times New Roman" w:eastAsia="Times New Roman" w:cs="Times New Roman"/>
          <w:bCs/>
          <w:color w:val="000000"/>
          <w:kern w:val="0"/>
          <w:sz w:val="28"/>
          <w:szCs w:val="28"/>
          <w:lang w:val="uk-UA" w:eastAsia="ru-RU"/>
        </w:rPr>
      </w:pPr>
      <w:r>
        <w:rPr>
          <w:rFonts w:eastAsia="Times New Roman" w:cs="Times New Roman" w:ascii="Times New Roman" w:hAnsi="Times New Roman"/>
          <w:bCs/>
          <w:color w:val="000000"/>
          <w:kern w:val="0"/>
          <w:sz w:val="28"/>
          <w:szCs w:val="28"/>
          <w:lang w:val="uk-UA" w:eastAsia="ru-RU"/>
        </w:rPr>
      </w:r>
    </w:p>
    <w:p>
      <w:pPr>
        <w:pStyle w:val="Normal"/>
        <w:widowControl w:val="false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з дисципліни: «Системний аналіз та теорія прийняття рішень»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  <w:t>на тему: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  <w:t>«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sz w:val="28"/>
          <w:szCs w:val="28"/>
          <w:lang w:val="uk-UA"/>
        </w:rPr>
        <w:t>Моделювання динаміки ринку (попит і пропозиція)</w:t>
      </w:r>
      <w:r>
        <w:rPr>
          <w:rFonts w:cs="Times New Roman" w:ascii="Times New Roman" w:hAnsi="Times New Roman"/>
          <w:b/>
          <w:bCs/>
          <w:sz w:val="36"/>
          <w:szCs w:val="36"/>
          <w:lang w:val="uk-UA"/>
        </w:rPr>
        <w:t>»</w:t>
      </w:r>
    </w:p>
    <w:p>
      <w:pPr>
        <w:pStyle w:val="Normal"/>
        <w:ind w:firstLine="5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ind w:firstLine="5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ind w:firstLine="540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/>
          <w:bCs/>
          <w:sz w:val="28"/>
          <w:szCs w:val="28"/>
          <w:lang w:val="uk-UA"/>
        </w:rPr>
      </w:r>
    </w:p>
    <w:p>
      <w:pPr>
        <w:pStyle w:val="Normal"/>
        <w:ind w:start="4395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студента ІІІ курсу групи ІПЗ-23-1</w:t>
      </w:r>
    </w:p>
    <w:p>
      <w:pPr>
        <w:pStyle w:val="Normal"/>
        <w:spacing w:before="0" w:after="283"/>
        <w:ind w:start="4395"/>
        <w:rPr>
          <w:rFonts w:ascii="Times New Roman" w:hAnsi="Times New Roman" w:cs="Times New Roman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спеціальності 121 «Інженерія програмного забезпечення»</w:t>
      </w:r>
    </w:p>
    <w:p>
      <w:pPr>
        <w:pStyle w:val="Normal"/>
        <w:ind w:start="4395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cs="Times New Roman" w:ascii="Times New Roman" w:hAnsi="Times New Roman"/>
          <w:sz w:val="28"/>
          <w:szCs w:val="28"/>
          <w:u w:val="single"/>
          <w:lang w:val="uk-UA"/>
        </w:rPr>
        <w:t>Семенчука Олексія Андрійовича</w:t>
      </w:r>
    </w:p>
    <w:p>
      <w:pPr>
        <w:pStyle w:val="Normal"/>
        <w:jc w:val="center"/>
        <w:rPr>
          <w:rFonts w:ascii="Times New Roman" w:hAnsi="Times New Roman" w:cs="Times New Roman"/>
          <w:sz w:val="16"/>
          <w:szCs w:val="16"/>
          <w:lang w:val="uk-UA"/>
        </w:rPr>
      </w:pPr>
      <w:r>
        <w:rPr>
          <w:rFonts w:cs="Times New Roman" w:ascii="Times New Roman" w:hAnsi="Times New Roman"/>
          <w:sz w:val="16"/>
          <w:szCs w:val="16"/>
          <w:lang w:val="uk-UA"/>
        </w:rPr>
        <w:t xml:space="preserve">                                                             </w:t>
      </w:r>
      <w:r>
        <w:rPr>
          <w:rFonts w:cs="Times New Roman" w:ascii="Times New Roman" w:hAnsi="Times New Roman"/>
          <w:sz w:val="16"/>
          <w:szCs w:val="16"/>
          <w:lang w:val="uk-UA"/>
        </w:rPr>
        <w:t>(прізвище, ім’я та по-батькові)</w:t>
      </w:r>
    </w:p>
    <w:p>
      <w:pPr>
        <w:pStyle w:val="Normal"/>
        <w:ind w:start="3969"/>
        <w:rPr>
          <w:rFonts w:ascii="Times New Roman" w:hAnsi="Times New Roman" w:cs="Times New Roman"/>
          <w:sz w:val="28"/>
          <w:szCs w:val="28"/>
          <w:u w:val="single"/>
          <w:lang w:val="uk-UA"/>
        </w:rPr>
      </w:pPr>
      <w:r>
        <w:rPr>
          <w:rFonts w:cs="Times New Roman" w:ascii="Times New Roman" w:hAnsi="Times New Roman"/>
          <w:sz w:val="28"/>
          <w:szCs w:val="28"/>
          <w:u w:val="single"/>
          <w:lang w:val="uk-UA"/>
        </w:rPr>
      </w:r>
    </w:p>
    <w:p>
      <w:pPr>
        <w:pStyle w:val="Normal"/>
        <w:ind w:start="4395"/>
        <w:jc w:val="both"/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 xml:space="preserve">Керівник </w:t>
      </w:r>
      <w:r>
        <w:rPr>
          <w:rFonts w:cs="Times New Roman" w:ascii="Times New Roman" w:hAnsi="Times New Roman"/>
          <w:sz w:val="28"/>
          <w:szCs w:val="32"/>
          <w:u w:val="single"/>
          <w:lang w:val="uk-UA"/>
        </w:rPr>
        <w:t>доц. кафедри комп'ютерної інженерії та кібербезпеки, Бродський Ю. Б.</w:t>
      </w:r>
      <w:r>
        <w:rPr>
          <w:rFonts w:cs="Times New Roman" w:ascii="Times New Roman" w:hAnsi="Times New Roman"/>
          <w:sz w:val="26"/>
          <w:szCs w:val="26"/>
          <w:lang w:val="uk-UA"/>
        </w:rPr>
        <w:t xml:space="preserve"> </w:t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Header"/>
        <w:tabs>
          <w:tab w:val="clear" w:pos="4677"/>
          <w:tab w:val="clear" w:pos="9355"/>
        </w:tabs>
        <w:jc w:val="both"/>
        <w:rPr>
          <w:rFonts w:ascii="Times New Roman" w:hAnsi="Times New Roman" w:cs="Times New Roman"/>
          <w:bCs/>
          <w:sz w:val="28"/>
          <w:szCs w:val="28"/>
          <w:lang w:val="uk-UA"/>
        </w:rPr>
      </w:pPr>
      <w:r>
        <w:rPr>
          <w:rFonts w:cs="Times New Roman" w:ascii="Times New Roman" w:hAnsi="Times New Roman"/>
          <w:bCs/>
          <w:sz w:val="28"/>
          <w:szCs w:val="28"/>
          <w:lang w:val="uk-UA"/>
        </w:rPr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cs="Times New Roman" w:ascii="Times New Roman" w:hAnsi="Times New Roman"/>
          <w:sz w:val="28"/>
          <w:szCs w:val="28"/>
          <w:lang w:val="uk-UA"/>
        </w:rPr>
        <w:t>Житомир – 202</w:t>
      </w:r>
      <w:bookmarkEnd w:id="0"/>
      <w:r>
        <w:rPr>
          <w:rFonts w:cs="Times New Roman" w:ascii="Times New Roman" w:hAnsi="Times New Roman"/>
          <w:sz w:val="28"/>
          <w:szCs w:val="28"/>
          <w:lang w:val="uk-UA"/>
        </w:rPr>
        <w:t>6</w:t>
      </w:r>
    </w:p>
    <w:p>
      <w:pPr>
        <w:sectPr>
          <w:type w:val="nextPage"/>
          <w:pgSz w:w="11906" w:h="16838"/>
          <w:pgMar w:left="1418" w:right="851" w:gutter="0" w:header="0" w:top="1134" w:footer="0" w:bottom="851"/>
          <w:pgNumType w:fmt="decimal"/>
          <w:formProt w:val="false"/>
          <w:textDirection w:val="lrTb"/>
          <w:docGrid w:type="default" w:linePitch="326" w:charSpace="0"/>
        </w:sectPr>
      </w:pPr>
      <w:r>
        <w:br w:type="page"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spacing w:before="0" w:after="0"/>
            <w:rPr/>
          </w:pPr>
          <w:r>
            <w:rPr/>
            <w:t>Зміст</w:t>
          </w:r>
        </w:p>
        <w:p>
          <w:pPr>
            <w:pStyle w:val="TOC1"/>
            <w:tabs>
              <w:tab w:val="clear" w:pos="709"/>
              <w:tab w:val="right" w:pos="9920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ВСТУП</w:t>
          </w:r>
          <w:r>
            <w:rPr/>
            <w:tab/>
            <w:t>3</w:t>
          </w:r>
        </w:p>
        <w:p>
          <w:pPr>
            <w:pStyle w:val="TOC1"/>
            <w:tabs>
              <w:tab w:val="clear" w:pos="709"/>
              <w:tab w:val="right" w:pos="9920" w:leader="dot"/>
            </w:tabs>
            <w:rPr/>
          </w:pPr>
          <w:r>
            <w:rPr/>
            <w:t>РОЗДІЛ 1 МАТЕМАТИЧНЕ МОДЕЛЮВАННЯ ДИНАМІКИ РИНКУ</w:t>
            <w:tab/>
            <w:t>4</w:t>
          </w:r>
        </w:p>
        <w:p>
          <w:pPr>
            <w:pStyle w:val="TOC2"/>
            <w:tabs>
              <w:tab w:val="clear" w:pos="709"/>
              <w:tab w:val="right" w:pos="9920" w:leader="dot"/>
            </w:tabs>
            <w:rPr/>
          </w:pPr>
          <w:r>
            <w:rPr/>
            <w:t>1.1 Структура та опис ринкової системи</w:t>
            <w:tab/>
            <w:t>4</w:t>
          </w:r>
        </w:p>
        <w:p>
          <w:pPr>
            <w:pStyle w:val="TOC2"/>
            <w:tabs>
              <w:tab w:val="clear" w:pos="709"/>
              <w:tab w:val="right" w:pos="9920" w:leader="dot"/>
            </w:tabs>
            <w:rPr/>
          </w:pPr>
          <w:r>
            <w:rPr/>
            <w:t>1.2 Диференціальне рівняння динаміки ціни</w:t>
            <w:tab/>
            <w:t>4</w:t>
          </w:r>
        </w:p>
        <w:p>
          <w:pPr>
            <w:pStyle w:val="TOC2"/>
            <w:tabs>
              <w:tab w:val="clear" w:pos="709"/>
              <w:tab w:val="right" w:pos="9920" w:leader="dot"/>
            </w:tabs>
            <w:rPr/>
          </w:pPr>
          <w:r>
            <w:rPr/>
            <w:t>1.3 Числові параметри та початкові умови моделі</w:t>
            <w:tab/>
            <w:t>5</w:t>
          </w:r>
        </w:p>
        <w:p>
          <w:pPr>
            <w:pStyle w:val="TOC2"/>
            <w:tabs>
              <w:tab w:val="clear" w:pos="709"/>
              <w:tab w:val="right" w:pos="9920" w:leader="dot"/>
            </w:tabs>
            <w:rPr/>
          </w:pPr>
          <w:r>
            <w:rPr/>
            <w:t>1.4 Результати моделювання та аналіз ринкової рівноваги</w:t>
            <w:tab/>
            <w:t>5</w:t>
          </w:r>
        </w:p>
        <w:p>
          <w:pPr>
            <w:pStyle w:val="TOC1"/>
            <w:tabs>
              <w:tab w:val="clear" w:pos="709"/>
              <w:tab w:val="right" w:pos="9920" w:leader="dot"/>
            </w:tabs>
            <w:rPr/>
          </w:pPr>
          <w:r>
            <w:rPr/>
            <w:t>ВИСНОВКИ</w:t>
            <w:tab/>
            <w:t>8</w:t>
          </w:r>
          <w:r>
            <w:rPr/>
            <w:fldChar w:fldCharType="end"/>
          </w:r>
        </w:p>
      </w:sdtContent>
    </w:sdt>
    <w:p>
      <w:pPr>
        <w:pStyle w:val="Normal"/>
        <w:jc w:val="center"/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>
        <w:rPr>
          <w:rFonts w:cs="Times New Roman" w:ascii="Times New Roman" w:hAnsi="Times New Roman"/>
          <w:sz w:val="28"/>
          <w:szCs w:val="28"/>
          <w:highlight w:val="yellow"/>
          <w:lang w:val="uk-UA"/>
        </w:rPr>
      </w:r>
      <w:r>
        <w:br w:type="page"/>
      </w:r>
    </w:p>
    <w:p>
      <w:pPr>
        <w:pStyle w:val="11"/>
        <w:spacing w:before="0" w:after="0"/>
        <w:rPr/>
      </w:pPr>
      <w:bookmarkStart w:id="1" w:name="__RefHeading___Toc521_601928540"/>
      <w:bookmarkStart w:id="2" w:name="_Toc223001563"/>
      <w:bookmarkEnd w:id="1"/>
      <w:r>
        <w:rPr/>
        <w:t>ВСТУП</w:t>
      </w:r>
      <w:bookmarkEnd w:id="2"/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Ринок є однією з найскладніших та найважливіших систем сучасної економіки. Взаємодія попиту та пропозиції визначає ринкову рівновагу, цінову динаміку та загальну стабільність економічних процесів. Розуміння цих механізмів є критично важливим для прийняття управлінських рішень, прогнозування економічної ситуації та розробки ефективної ринкової стратегії.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Математичне моделювання ринкової динаміки дозволяє формалізувати складні економічні взаємозалежності та дослідити поведінку системи при різних початкових умовах. Одним із класичних підходів до такого моделювання є використання систем диференціальних рівнянь, що описують часову еволюцію ціни, попиту та пропозиції.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Мета даної роботи полягає у побудові, формалізації та дослідженні математичної моделі процесу встановлення ринкової рівноваги між попитом і пропозицією.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досягнення мети поставлено такі завдання: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провести формалізацію структурної моделі ринку: виділити ключові фактори, що впливають на попит, пропозицію та ціну;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обрати та описати математичну модель у вигляді диференціального рівняння;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визначити та обґрунтувати числові параметри моделі та початкові умови;</w:t>
      </w:r>
    </w:p>
    <w:p>
      <w:pPr>
        <w:pStyle w:val="ListParagraph"/>
        <w:widowControl/>
        <w:numPr>
          <w:ilvl w:val="0"/>
          <w:numId w:val="2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both"/>
        <w:rPr/>
      </w:pPr>
      <w:r>
        <w:rPr>
          <w:rFonts w:eastAsia="Times New Roman" w:cs="Times New Roman" w:ascii="Times New Roman" w:hAnsi="Times New Roman"/>
          <w:sz w:val="28"/>
          <w:szCs w:val="28"/>
        </w:rPr>
        <w:t>здійснити обчислювальний експеримент, візуалізувати результати та зробити висновки щодо характеру встановлення рівноваги на ринку.</w:t>
      </w:r>
      <w:r>
        <w:br w:type="page"/>
      </w:r>
    </w:p>
    <w:p>
      <w:pPr>
        <w:pStyle w:val="11"/>
        <w:numPr>
          <w:ilvl w:val="0"/>
          <w:numId w:val="1"/>
        </w:numPr>
        <w:spacing w:before="0" w:after="0"/>
        <w:rPr/>
      </w:pPr>
      <w:bookmarkStart w:id="3" w:name="__RefHeading___Toc523_601928540"/>
      <w:bookmarkEnd w:id="3"/>
      <w:r>
        <w:rPr/>
        <w:t>МАТЕМАТИЧНЕ МОДЕЛЮВАННЯ ДИНАМІКИ РИНКУ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/>
      </w:pPr>
      <w:bookmarkStart w:id="4" w:name="__RefHeading___Toc525_601928540"/>
      <w:bookmarkStart w:id="5" w:name="_Toc223001565"/>
      <w:bookmarkStart w:id="6" w:name="_Toc216257380"/>
      <w:bookmarkEnd w:id="4"/>
      <w:r>
        <w:rPr/>
        <w:t xml:space="preserve">1.1 </w:t>
      </w:r>
      <w:bookmarkEnd w:id="5"/>
      <w:bookmarkEnd w:id="6"/>
      <w:r>
        <w:rPr>
          <w:rFonts w:eastAsia="Times New Roman" w:cs="Times New Roman"/>
          <w:b/>
          <w:bCs/>
          <w:sz w:val="28"/>
          <w:szCs w:val="28"/>
        </w:rPr>
        <w:t>Структура та опис ринкової системи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Розглянемо ринок деякого товару як динамічну систему, де основним параметром стану є ринкова ціна P(t), що змінюється в часі під впливом дисбалансу між попитом і пропозицією.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Попит D(P) – це кількість товару, яку покупці готові придбати при певній ціні. Відповідно до закону попиту, зі зростанням ціни попит зменшується. Пропозиція S(P) – це кількість товару, яку виробники готові продати. Зі зростанням ціни пропозиція зростає.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Ключовим механізмом моделі є принцип ринкового коригування (tatonnement): якщо попит перевищує пропозицію (D &gt; S), ціна зростає; якщо пропозиція перевищує попит (S &gt; D), ціна падає. Швидкість зміни ціни пропорційна величині надлишкового попиту.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Структурна модель ґрунтується на таких спрощуючих припущеннях: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попит і пропозиція є лінійними функціями ціни;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реакція ціни на дисбаланс є миттєвою та пропорційною;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зовнішні фактори (доходи, смаки, технології) залишаються сталими;</w:t>
      </w:r>
    </w:p>
    <w:p>
      <w:pPr>
        <w:pStyle w:val="Normal"/>
        <w:widowControl/>
        <w:numPr>
          <w:ilvl w:val="0"/>
          <w:numId w:val="3"/>
        </w:numPr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ринок є конкурентним і закритим.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bookmarkStart w:id="7" w:name="__RefHeading___Toc527_601928540"/>
      <w:bookmarkStart w:id="8" w:name="_Toc223001566"/>
      <w:bookmarkEnd w:id="7"/>
      <w:r>
        <w:rPr/>
        <w:t xml:space="preserve">1.2 </w:t>
      </w:r>
      <w:bookmarkEnd w:id="8"/>
      <w:r>
        <w:rPr>
          <w:rFonts w:eastAsia="Times New Roman" w:cs="Times New Roman"/>
          <w:b/>
          <w:bCs/>
          <w:sz w:val="28"/>
          <w:szCs w:val="28"/>
        </w:rPr>
        <w:t>Диференціальне рівняння динаміки ціни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математичного опису ринкової динаміки використовується диференціальне рівняння першого порядку, що описує швидкість зміни ціни як реакцію на надлишковий попит:</w:t>
      </w:r>
    </w:p>
    <w:p>
      <w:pPr>
        <w:pStyle w:val="Normal"/>
        <w:spacing w:before="120" w:after="120"/>
        <w:jc w:val="center"/>
        <w:rPr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fPr>
              <m:type m:val="lin"/>
            </m:fPr>
            <m:num>
              <m:r>
                <m:t xml:space="preserve">dP</m:t>
              </m:r>
            </m:num>
            <m:den>
              <m:r>
                <m:t xml:space="preserve">dt</m:t>
              </m:r>
            </m:den>
          </m:f>
          <m:r>
            <m:rPr>
              <m:lit/>
              <m:nor/>
            </m:rPr>
            <m:t xml:space="preserve"> = </m:t>
          </m:r>
          <m:r>
            <m:t xml:space="preserve">α</m:t>
          </m:r>
          <m:r>
            <m:t xml:space="preserve">⋅</m:t>
          </m:r>
          <m:d>
            <m:dPr>
              <m:begChr m:val="("/>
              <m:endChr m:val=")"/>
            </m:dPr>
            <m:e>
              <m:r>
                <m:t xml:space="preserve">D</m:t>
              </m:r>
              <m:d>
                <m:dPr>
                  <m:begChr m:val="("/>
                  <m:endChr m:val=")"/>
                </m:dPr>
                <m:e>
                  <m:r>
                    <m:t xml:space="preserve">P</m:t>
                  </m:r>
                </m:e>
              </m:d>
              <m:r>
                <m:rPr>
                  <m:lit/>
                  <m:nor/>
                </m:rPr>
                <m:t xml:space="preserve"> - </m:t>
              </m:r>
              <m:r>
                <m:t xml:space="preserve">S</m:t>
              </m:r>
              <m:d>
                <m:dPr>
                  <m:begChr m:val="("/>
                  <m:endChr m:val=")"/>
                </m:dPr>
                <m:e>
                  <m:r>
                    <m:t xml:space="preserve">P</m:t>
                  </m:r>
                </m:e>
              </m:d>
            </m:e>
          </m:d>
        </m:oMath>
      </m:oMathPara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де P(t) – ринкова ціна товару в момент часу t;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α – коефіцієнт швидкості пристосування ринку (α &gt; 0);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D(P) – функція попиту: D(P) = a – b·P;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S(P) – функція пропозиції: S(P) = c + d·P;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a, b – параметри попиту (a &gt; 0, b &gt; 0);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c, d – параметри пропозиції (c &gt; 0, d &gt; 0).</w:t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Підставляючи лінійні функції, отримаємо:</w:t>
      </w:r>
    </w:p>
    <w:p>
      <w:pPr>
        <w:pStyle w:val="Normal"/>
        <w:spacing w:before="120" w:after="120"/>
        <w:jc w:val="center"/>
        <w:rPr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f>
            <m:fPr>
              <m:type m:val="lin"/>
            </m:fPr>
            <m:num>
              <m:r>
                <m:t xml:space="preserve">dP</m:t>
              </m:r>
            </m:num>
            <m:den>
              <m:r>
                <m:t xml:space="preserve">dt</m:t>
              </m:r>
            </m:den>
          </m:f>
          <m:r>
            <m:rPr>
              <m:lit/>
              <m:nor/>
            </m:rPr>
            <m:t xml:space="preserve"> = </m:t>
          </m:r>
          <m:r>
            <m:t xml:space="preserve">α</m:t>
          </m:r>
          <m:r>
            <m:t xml:space="preserve">⋅</m:t>
          </m:r>
          <m:d>
            <m:dPr>
              <m:begChr m:val="("/>
              <m:endChr m:val=")"/>
            </m:dPr>
            <m:e>
              <m:d>
                <m:dPr>
                  <m:begChr m:val="("/>
                  <m:endChr m:val=")"/>
                </m:dPr>
                <m:e>
                  <m:r>
                    <m:t xml:space="preserve">a</m:t>
                  </m:r>
                  <m:r>
                    <m:rPr>
                      <m:lit/>
                      <m:nor/>
                    </m:rPr>
                    <m:t xml:space="preserve"> - </m:t>
                  </m:r>
                  <m:r>
                    <m:t xml:space="preserve">b</m:t>
                  </m:r>
                  <m:r>
                    <m:t xml:space="preserve">⋅</m:t>
                  </m:r>
                  <m:r>
                    <m:t xml:space="preserve">P</m:t>
                  </m:r>
                </m:e>
              </m:d>
              <m:r>
                <m:rPr>
                  <m:lit/>
                  <m:nor/>
                </m:rPr>
                <m:t xml:space="preserve"> - </m:t>
              </m:r>
              <m:d>
                <m:dPr>
                  <m:begChr m:val="("/>
                  <m:endChr m:val=")"/>
                </m:dPr>
                <m:e>
                  <m:r>
                    <m:t xml:space="preserve">c</m:t>
                  </m:r>
                  <m:r>
                    <m:rPr>
                      <m:lit/>
                      <m:nor/>
                    </m:rPr>
                    <m:t xml:space="preserve"> + </m:t>
                  </m:r>
                  <m:r>
                    <m:t xml:space="preserve">d</m:t>
                  </m:r>
                  <m:r>
                    <m:t xml:space="preserve">⋅</m:t>
                  </m:r>
                  <m:r>
                    <m:t xml:space="preserve">P</m:t>
                  </m:r>
                </m:e>
              </m:d>
            </m:e>
          </m:d>
          <m:r>
            <m:rPr>
              <m:lit/>
              <m:nor/>
            </m:rPr>
            <m:t xml:space="preserve"> = </m:t>
          </m:r>
          <m:r>
            <m:t xml:space="preserve">α</m:t>
          </m:r>
          <m:r>
            <m:t xml:space="preserve">⋅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rPr>
                  <m:lit/>
                  <m:nor/>
                </m:rPr>
                <m:t xml:space="preserve"> - </m:t>
              </m:r>
              <m:r>
                <m:t xml:space="preserve">c</m:t>
              </m:r>
              <m:r>
                <m:rPr>
                  <m:lit/>
                  <m:nor/>
                </m:rPr>
                <m:t xml:space="preserve"> - </m:t>
              </m:r>
              <m:d>
                <m:dPr>
                  <m:begChr m:val="("/>
                  <m:endChr m:val=")"/>
                </m:dPr>
                <m:e>
                  <m:r>
                    <m:t xml:space="preserve">b</m:t>
                  </m:r>
                  <m:r>
                    <m:rPr>
                      <m:lit/>
                      <m:nor/>
                    </m:rPr>
                    <m:t xml:space="preserve"> + </m:t>
                  </m:r>
                  <m:r>
                    <m:t xml:space="preserve">d</m:t>
                  </m:r>
                </m:e>
              </m:d>
              <m:r>
                <m:t xml:space="preserve">⋅</m:t>
              </m:r>
              <m:r>
                <m:t xml:space="preserve">P</m:t>
              </m:r>
            </m:e>
          </m:d>
        </m:oMath>
      </m:oMathPara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Це лінійне диференціальне рівняння першого порядку. Рівноважна ціна P* визначається з умови dP/dt = 0:</w:t>
      </w:r>
    </w:p>
    <w:p>
      <w:pPr>
        <w:pStyle w:val="Normal"/>
        <w:spacing w:before="120" w:after="120"/>
        <w:jc w:val="center"/>
        <w:rPr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P</m:t>
          </m:r>
          <m:r>
            <m:t xml:space="preserve">∗</m:t>
          </m:r>
          <m:r>
            <m:rPr>
              <m:lit/>
              <m:nor/>
            </m:rPr>
            <m:t xml:space="preserve"> = 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rPr>
                  <m:lit/>
                  <m:nor/>
                </m:rPr>
                <m:t xml:space="preserve"> - </m:t>
              </m:r>
              <m:r>
                <m:t xml:space="preserve">c</m:t>
              </m:r>
            </m:e>
          </m:d>
          <m:r>
            <m:rPr>
              <m:lit/>
              <m:nor/>
            </m:rPr>
            <m:t xml:space="preserve"> / </m:t>
          </m:r>
          <m:d>
            <m:dPr>
              <m:begChr m:val="("/>
              <m:endChr m:val=")"/>
            </m:dPr>
            <m:e>
              <m:r>
                <m:t xml:space="preserve">b</m:t>
              </m:r>
              <m:r>
                <m:rPr>
                  <m:lit/>
                  <m:nor/>
                </m:rPr>
                <m:t xml:space="preserve"> + </m:t>
              </m:r>
              <m:r>
                <m:t xml:space="preserve">d</m:t>
              </m:r>
            </m:e>
          </m:d>
        </m:oMath>
      </m:oMathPara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i w:val="false"/>
          <w:iCs w:val="false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Аналітичний розв'язок рівняння має вигляд:</w:t>
      </w:r>
    </w:p>
    <w:p>
      <w:pPr>
        <w:pStyle w:val="Normal"/>
        <w:spacing w:before="120" w:after="120"/>
        <w:jc w:val="center"/>
        <w:rPr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P</m:t>
          </m:r>
          <m:d>
            <m:dPr>
              <m:begChr m:val="("/>
              <m:endChr m:val=")"/>
            </m:dPr>
            <m:e>
              <m:r>
                <m:t xml:space="preserve">t</m:t>
              </m:r>
            </m:e>
          </m:d>
          <m:r>
            <m:rPr>
              <m:lit/>
              <m:nor/>
            </m:rPr>
            <m:t xml:space="preserve"> = </m:t>
          </m:r>
          <m:r>
            <m:t xml:space="preserve">P</m:t>
          </m:r>
          <m:r>
            <m:t xml:space="preserve">∗</m:t>
          </m:r>
          <m:r>
            <m:rPr>
              <m:lit/>
              <m:nor/>
            </m:rPr>
            <m:t xml:space="preserve"> + </m:t>
          </m:r>
          <m:d>
            <m:dPr>
              <m:begChr m:val="("/>
              <m:endChr m:val=")"/>
            </m:dPr>
            <m:e>
              <m:sSub>
                <m:e>
                  <m:r>
                    <m:t xml:space="preserve">P</m:t>
                  </m:r>
                </m:e>
                <m:sub>
                  <m:r>
                    <m:t xml:space="preserve">0</m:t>
                  </m:r>
                </m:sub>
              </m:sSub>
              <m:r>
                <m:rPr>
                  <m:lit/>
                  <m:nor/>
                </m:rPr>
                <m:t xml:space="preserve"> - </m:t>
              </m:r>
              <m:r>
                <m:t xml:space="preserve">P</m:t>
              </m:r>
              <m:r>
                <m:rPr>
                  <m:lit/>
                  <m:nor/>
                </m:rPr>
                <m:t xml:space="preserve">*</m:t>
              </m:r>
            </m:e>
          </m:d>
          <m:r>
            <m:t xml:space="preserve">⋅</m:t>
          </m:r>
          <m:sSup>
            <m:e>
              <m:r>
                <m:t xml:space="preserve">e</m:t>
              </m:r>
            </m:e>
            <m:sup>
              <m:d>
                <m:dPr>
                  <m:begChr m:val="("/>
                  <m:endChr m:val=")"/>
                </m:dPr>
                <m:e>
                  <m:r>
                    <m:t xml:space="preserve">−</m:t>
                  </m:r>
                  <m:r>
                    <m:t xml:space="preserve">α</m:t>
                  </m:r>
                  <m:r>
                    <m:t xml:space="preserve">∗</m:t>
                  </m:r>
                  <m:d>
                    <m:dPr>
                      <m:begChr m:val="("/>
                      <m:endChr m:val=")"/>
                    </m:dPr>
                    <m:e>
                      <m:r>
                        <m:t xml:space="preserve">b</m:t>
                      </m:r>
                      <m:r>
                        <m:rPr>
                          <m:lit/>
                          <m:nor/>
                        </m:rPr>
                        <m:t xml:space="preserve"> + </m:t>
                      </m:r>
                      <m:r>
                        <m:t xml:space="preserve">d</m:t>
                      </m:r>
                    </m:e>
                  </m:d>
                  <m:r>
                    <m:t xml:space="preserve">⋅</m:t>
                  </m:r>
                  <m:r>
                    <m:t xml:space="preserve">t</m:t>
                  </m:r>
                </m:e>
              </m:d>
            </m:sup>
          </m:sSup>
        </m:oMath>
      </m:oMathPara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де P₀ – початкова ціна. З цього виразу видно, що ціна експоненційно наближається до рівноважного значення P*, якщо α &gt; 0.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bookmarkStart w:id="9" w:name="__RefHeading___Toc529_601928540"/>
      <w:bookmarkStart w:id="10" w:name="_Toc223001567"/>
      <w:bookmarkEnd w:id="9"/>
      <w:r>
        <w:rPr/>
        <w:t xml:space="preserve">1.3 </w:t>
      </w:r>
      <w:bookmarkEnd w:id="10"/>
      <w:r>
        <w:rPr>
          <w:rFonts w:eastAsia="Times New Roman" w:cs="Times New Roman"/>
          <w:b/>
          <w:bCs/>
          <w:sz w:val="28"/>
          <w:szCs w:val="28"/>
        </w:rPr>
        <w:t>Числові параметри та початкові умови моделі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Для проведення обчислювального експерименту задамо конкретні числові значення параметрів моделі, що відповідають умовному ринку споживчого товару.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Час моделювання t вимірюватиметься в умовних одиницях (наприклад, кварталах). Загальний період дослідження: t ∈ [0, 10].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Параметри функцій попиту і пропозиції: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a = 100 – максимальний попит при нульовій ціні;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b = 2 – чутливість попиту до ціни;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c = 10 – базовий рівень пропозиції;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d = 3 – чутливість пропозиції до ціни;</w:t>
      </w:r>
    </w:p>
    <w:p>
      <w:pPr>
        <w:pStyle w:val="ListParagraph"/>
        <w:widowControl/>
        <w:numPr>
          <w:ilvl w:val="0"/>
          <w:numId w:val="4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α = 0.5 – коефіцієнт швидкості пристосування ринку.</w:t>
      </w:r>
    </w:p>
    <w:p>
      <w:pPr>
        <w:pStyle w:val="Normal"/>
        <w:spacing w:lineRule="auto" w:line="360" w:before="0" w:after="0"/>
        <w:ind w:firstLine="850" w:start="0"/>
        <w:jc w:val="both"/>
        <w:rPr>
          <w:i w:val="false"/>
          <w:iCs w:val="false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Рівноважна ціна, розрахована аналітично:</w:t>
      </w:r>
    </w:p>
    <w:p>
      <w:pPr>
        <w:pStyle w:val="Normal"/>
        <w:spacing w:before="120" w:after="120"/>
        <w:jc w:val="center"/>
        <w:rPr>
          <w:rFonts w:eastAsia="Times New Roman" w:cs="Times New Roman"/>
          <w:i/>
          <w:iCs/>
        </w:rPr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P</m:t>
          </m:r>
          <m:r>
            <m:t xml:space="preserve">∗</m:t>
          </m:r>
          <m:r>
            <m:rPr>
              <m:lit/>
              <m:nor/>
            </m:rPr>
            <m:t xml:space="preserve"> = </m:t>
          </m:r>
          <m:d>
            <m:dPr>
              <m:begChr m:val="("/>
              <m:endChr m:val=")"/>
            </m:dPr>
            <m:e>
              <m:r>
                <m:t xml:space="preserve">100</m:t>
              </m:r>
              <m:r>
                <m:t xml:space="preserve">−</m:t>
              </m:r>
              <m:r>
                <m:t xml:space="preserve">10</m:t>
              </m:r>
            </m:e>
          </m:d>
          <m:r>
            <m:rPr>
              <m:lit/>
              <m:nor/>
            </m:rPr>
            <m:t xml:space="preserve"> / </m:t>
          </m:r>
          <m:d>
            <m:dPr>
              <m:begChr m:val="("/>
              <m:endChr m:val=")"/>
            </m:dPr>
            <m:e>
              <m:r>
                <m:t xml:space="preserve">2</m:t>
              </m:r>
              <m:r>
                <m:rPr>
                  <m:lit/>
                  <m:nor/>
                </m:rPr>
                <m:t xml:space="preserve">+</m:t>
              </m:r>
              <m:r>
                <m:t xml:space="preserve">3</m:t>
              </m:r>
            </m:e>
          </m:d>
          <m:r>
            <m:rPr>
              <m:lit/>
              <m:nor/>
            </m:rPr>
            <m:t xml:space="preserve"> = </m:t>
          </m:r>
          <m:r>
            <m:t xml:space="preserve">90</m:t>
          </m:r>
          <m:r>
            <m:rPr>
              <m:lit/>
              <m:nor/>
            </m:rPr>
            <m:t xml:space="preserve"> / </m:t>
          </m:r>
          <m:r>
            <m:t xml:space="preserve">5</m:t>
          </m:r>
          <m:r>
            <m:rPr>
              <m:lit/>
              <m:nor/>
            </m:rPr>
            <m:t xml:space="preserve"> = </m:t>
          </m:r>
          <m:r>
            <m:t xml:space="preserve">18</m:t>
          </m:r>
        </m:oMath>
      </m:oMathPara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i w:val="false"/>
          <w:iCs w:val="false"/>
          <w:sz w:val="28"/>
          <w:szCs w:val="28"/>
        </w:rPr>
        <w:t>Початкова ціна: P(0) = P₀ = 5 (нижче рівноважної, що імітує початковий дефіцит товару).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Граничні умови задачі:</w:t>
      </w:r>
    </w:p>
    <w:p>
      <w:pPr>
        <w:pStyle w:val="ListParagraph"/>
        <w:widowControl/>
        <w:numPr>
          <w:ilvl w:val="0"/>
          <w:numId w:val="5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ціна не може бути від'ємною: P(t) ≥ 0;</w:t>
      </w:r>
    </w:p>
    <w:p>
      <w:pPr>
        <w:pStyle w:val="ListParagraph"/>
        <w:widowControl/>
        <w:numPr>
          <w:ilvl w:val="0"/>
          <w:numId w:val="5"/>
        </w:numPr>
        <w:suppressAutoHyphens w:val="true"/>
        <w:bidi w:val="0"/>
        <w:spacing w:lineRule="auto" w:line="360" w:before="0" w:after="0"/>
        <w:ind w:firstLine="850" w:start="0" w:end="0"/>
        <w:contextualSpacing/>
        <w:jc w:val="start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очікується асимптотична стабілізація: lim P(t) = P* = 18 при t → ∞.</w:t>
      </w:r>
    </w:p>
    <w:p>
      <w:pPr>
        <w:pStyle w:val="Heading2"/>
        <w:keepNext w:val="true"/>
        <w:keepLines/>
        <w:widowControl/>
        <w:suppressAutoHyphens w:val="true"/>
        <w:bidi w:val="0"/>
        <w:spacing w:lineRule="auto" w:line="360" w:before="0" w:after="0"/>
        <w:ind w:firstLine="850" w:start="0" w:end="0"/>
        <w:jc w:val="start"/>
        <w:rPr/>
      </w:pPr>
      <w:bookmarkStart w:id="11" w:name="__RefHeading___Toc531_601928540"/>
      <w:bookmarkStart w:id="12" w:name="_Toc223001568"/>
      <w:bookmarkEnd w:id="11"/>
      <w:r>
        <w:rPr/>
        <w:t xml:space="preserve">1.4 </w:t>
      </w:r>
      <w:bookmarkEnd w:id="12"/>
      <w:r>
        <w:rPr>
          <w:rFonts w:eastAsia="Times New Roman" w:cs="Times New Roman"/>
          <w:b/>
          <w:bCs/>
          <w:sz w:val="28"/>
          <w:szCs w:val="28"/>
        </w:rPr>
        <w:t>Результати моделювання та аналіз ринкової рівноваги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Розв'язання побудованої математичної моделі здійснювалося чисельним методом у середовищі математичного моделювання Mathcad. Для знаходження функції ціни P(t), швидкості її зміни dP/dt та кумулятивного ефекту ∫P(t)dt було використано вбудований обчислювальний блок Given…Odesolve.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 w:eastAsia="Times New Roman" w:cs="Times New Roman"/>
          <w:b w:val="false"/>
          <w:bCs w:val="false"/>
          <w:i w:val="false"/>
          <w:i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Задання параметрів та рівняння у Mathcad:</w:t>
      </w:r>
    </w:p>
    <w:p>
      <w:pPr>
        <w:pStyle w:val="Normal"/>
        <w:spacing w:lineRule="auto" w:line="360" w:before="0" w:after="0"/>
        <w:jc w:val="center"/>
        <w:rPr/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</w:rPr>
        <w:drawing>
          <wp:inline distT="0" distB="0" distL="0" distR="0">
            <wp:extent cx="3061970" cy="397192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1970" cy="3971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Аналіз отриманої графічної залежності P(t) дає змогу виокремити характерні фази: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Фаза швидкого зростання ціни (t ∈ [0, 3]): оскільки початкова ціна P₀ = 5 суттєво нижча за рівноважну P* = 18, на ринку спостерігається значний надлишковий попит (D &gt;&gt; S). Це призводить до стрімкого зростання ціни з максимальною швидкістю на початку процесу. Крива P(t) є різко зростаючою.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Перехідна фаза (t ∈ [3, 7]): у міру наближення ціни до рівноважного значення надлишковий попит зменшується. Швидкість зростання ціни поступово сповільнюється. На графіку похідної dP/dt спостерігається монотонне спадання від максимуму до нуля.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Стаціонарна фаза (t &gt; 7): ціна асимптотично наближається до рівноважного значення P* = 18. Похідна dP/dt прямує до нуля, ринок входить у стан рівноваги, де обсяг попиту дорівнює обсягу пропозиції.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похідної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f>
          <m:num>
            <m:r>
              <m:t xml:space="preserve">d</m:t>
            </m:r>
          </m:num>
          <m:den>
            <m:r>
              <m:t xml:space="preserve">dt</m:t>
            </m:r>
          </m:den>
        </m:f>
        <m:r>
          <m:t xml:space="preserve">P</m:t>
        </m:r>
        <m:d>
          <m:dPr>
            <m:begChr m:val="("/>
            <m:endChr m:val=")"/>
          </m:dPr>
          <m:e>
            <m:r>
              <m:t xml:space="preserve">x</m:t>
            </m:r>
          </m:e>
        </m:d>
        <m:r>
          <m:t xml:space="preserve">dt</m:t>
        </m:r>
      </m:oMath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має форму спадаючої кривої від максимального значення (~18.25) до нуля. Це підтверджує, що найвища швидкість цінового коригування спостерігається на початку процесу, коли розрив між попитом і пропозицією є найбільшим.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firstLine="850" w:start="0" w:end="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Графік інтеграла </w:t>
      </w: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</w:r>
      <m:oMath xmlns:m="http://schemas.openxmlformats.org/officeDocument/2006/math">
        <m:nary>
          <m:naryPr>
            <m:chr m:val="∫"/>
          </m:naryPr>
          <m:sub>
            <m:r>
              <m:t xml:space="preserve">0</m:t>
            </m:r>
          </m:sub>
          <m:sup>
            <m:r>
              <m:t xml:space="preserve">t</m:t>
            </m:r>
          </m:sup>
          <m:e>
            <m:r>
              <m:t xml:space="preserve">P</m:t>
            </m:r>
          </m:e>
        </m:nary>
        <m:d>
          <m:dPr>
            <m:begChr m:val="("/>
            <m:endChr m:val=")"/>
          </m:dPr>
          <m:e>
            <m:r>
              <m:t xml:space="preserve">t</m:t>
            </m:r>
          </m:e>
        </m:d>
        <m:r>
          <m:t xml:space="preserve">dt</m:t>
        </m:r>
      </m:oMath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монотонно зростає та переходить у майже лінійну залежність після встановлення рівноваги. Це відображає накопичений «ціновий ефект» - сумарне значення ціни за весь досліджуваний період.</w:t>
      </w:r>
      <w:r>
        <w:br w:type="page"/>
      </w:r>
    </w:p>
    <w:p>
      <w:pPr>
        <w:pStyle w:val="11"/>
        <w:spacing w:before="0" w:after="0"/>
        <w:rPr/>
      </w:pPr>
      <w:bookmarkStart w:id="13" w:name="__RefHeading___Toc533_601928540"/>
      <w:bookmarkStart w:id="14" w:name="_Toc223001569"/>
      <w:bookmarkEnd w:id="13"/>
      <w:r>
        <w:rPr/>
        <w:t>ВИСНОВКИ</w:t>
      </w:r>
      <w:bookmarkEnd w:id="14"/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У ході виконання роботи було проведено моделювання процесу динаміки ринкової ціни під впливом взаємодії попиту та пропозиції.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Побудовано структурну модель ринку, яка враховує два ключові фактори: тиск надлишкового попиту, що підвищує ціну, та тиск надлишкової пропозиції, що знижує ціну.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На основі структурної моделі формалізовано математичну модель у вигляді лінійного диференціального рівняння першого порядку. Аналітично визначено рівноважну ціну P* = 18, що відповідає точці перетину функцій попиту і пропозиції.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Проведено обчислювальний експеримент у середовищі Mathcad. Отримана крива P(t) підтверджує теоретичні очікування: ціна стрімко зростає від початкового значення P₀ = 5 і асимптотично наближається до рівноважного значення P* = 18 протягом приблизно 7–8 періодів.</w:t>
      </w:r>
    </w:p>
    <w:p>
      <w:pPr>
        <w:pStyle w:val="Normal"/>
        <w:spacing w:lineRule="auto" w:line="360" w:before="0" w:after="0"/>
        <w:ind w:firstLine="720"/>
        <w:jc w:val="both"/>
        <w:rPr>
          <w:rFonts w:ascii="Times New Roman" w:hAnsi="Times New Roman"/>
        </w:rPr>
      </w:pPr>
      <w:r>
        <w:rPr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8"/>
          <w:szCs w:val="28"/>
        </w:rPr>
        <w:t>Побудована модель є адекватною та може бути використана для аналізу ринкових механізмів, оцінки швидкості встановлення рівноваги при ціновому шоці та прогнозування наслідків зміни параметрів попиту чи пропозиції.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418" w:right="567" w:gutter="0" w:header="0" w:top="1134" w:footer="0" w:bottom="1134"/>
      <w:pgNumType w:fmt="decimal"/>
      <w:formProt w:val="false"/>
      <w:titlePg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/>
    <w:family w:val="roman"/>
    <w:pitch w:val="default"/>
  </w:font>
  <w:font w:name="Times New Roman">
    <w:charset w:val="01"/>
    <w:family w:val="roman"/>
    <w:pitch w:val="default"/>
  </w:font>
  <w:font w:name="OpenSymbol">
    <w:altName w:val="Arial Unicode MS"/>
    <w:charset w:val="01"/>
    <w:family w:val="roman"/>
    <w:pitch w:val="default"/>
  </w:font>
  <w:font w:name="Calibre">
    <w:charset w:val="01"/>
    <w:family w:val="roman"/>
    <w:pitch w:val="default"/>
  </w:font>
  <w:font w:name="Liberation Sans">
    <w:altName w:val="Arial"/>
    <w:charset w:val="01"/>
    <w:family w:val="roman"/>
    <w:pitch w:val="default"/>
  </w:font>
  <w:font w:name="Calibri Light">
    <w:charset w:val="01"/>
    <w:family w:val="roman"/>
    <w:pitch w:val="default"/>
  </w:font>
  <w:font w:name="Calibri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g">
          <w:drawing>
            <wp:anchor distT="13335" distB="12065" distL="13335" distR="12065" simplePos="0" relativeHeight="57" behindDoc="1" locked="0" layoutInCell="1" allowOverlap="1" wp14:anchorId="28F69EF4">
              <wp:simplePos x="0" y="0"/>
              <wp:positionH relativeFrom="column">
                <wp:posOffset>-204470</wp:posOffset>
              </wp:positionH>
              <wp:positionV relativeFrom="paragraph">
                <wp:posOffset>212090</wp:posOffset>
              </wp:positionV>
              <wp:extent cx="6656705" cy="10292715"/>
              <wp:effectExtent l="13335" t="13335" r="12065" b="12065"/>
              <wp:wrapNone/>
              <wp:docPr id="2" name="Групувати 377815888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56760" cy="10292760"/>
                        <a:chOff x="0" y="0"/>
                        <a:chExt cx="6656760" cy="10292760"/>
                      </a:xfrm>
                    </wpg:grpSpPr>
                    <wps:wsp>
                      <wps:cNvPr id="3" name="Rectangle 52"/>
                      <wps:cNvSpPr/>
                      <wps:spPr>
                        <a:xfrm>
                          <a:off x="760680" y="9753120"/>
                          <a:ext cx="853560" cy="1562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ooter"/>
                              <w:rPr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8"/>
                                <w:lang w:val="ru-RU"/>
                              </w:rPr>
                              <w:t>Семенчук О. А.</w:t>
                            </w:r>
                          </w:p>
                          <w:p>
                            <w:pPr>
                              <w:pStyle w:val="Footer"/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20"/>
                              </w:rPr>
                            </w:r>
                          </w:p>
                        </w:txbxContent>
                      </wps:txbx>
                      <wps:bodyPr lIns="12600" tIns="12600" rIns="12600" bIns="1260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6656760" cy="1029276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6656760" cy="10292760"/>
                          </a:xfrm>
                        </wpg:grpSpPr>
                        <wps:wsp>
                          <wps:cNvPr id="4" name="Rectangle 55"/>
                          <wps:cNvSpPr/>
                          <wps:spPr>
                            <a:xfrm>
                              <a:off x="0" y="0"/>
                              <a:ext cx="6656760" cy="10292760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63960" y="975420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240" y="9750600"/>
                              <a:ext cx="664920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727560" y="975420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1638360" y="9754200"/>
                              <a:ext cx="72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183040" y="9759240"/>
                              <a:ext cx="1440" cy="53028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2547720" y="9754200"/>
                              <a:ext cx="720" cy="531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295320" y="9754200"/>
                              <a:ext cx="1440" cy="5353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240" y="9931320"/>
                              <a:ext cx="253800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3240" y="10113480"/>
                              <a:ext cx="2538000" cy="72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SpPr/>
                          <wps:spPr>
                            <a:xfrm>
                              <a:off x="6300000" y="9933480"/>
                              <a:ext cx="356760" cy="72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bodyPr/>
                        </wps:wsp>
                        <wps:wsp>
                          <wps:cNvPr id="5" name="Rectangle 66"/>
                          <wps:cNvSpPr/>
                          <wps:spPr>
                            <a:xfrm>
                              <a:off x="17640" y="10120680"/>
                              <a:ext cx="33012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6" name="Rectangle 67"/>
                          <wps:cNvSpPr/>
                          <wps:spPr>
                            <a:xfrm>
                              <a:off x="379080" y="10120680"/>
                              <a:ext cx="33012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7" name="Rectangle 68"/>
                          <wps:cNvSpPr/>
                          <wps:spPr>
                            <a:xfrm>
                              <a:off x="754920" y="10120680"/>
                              <a:ext cx="85356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докум.</w:t>
                                </w:r>
                              </w:p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8" name="Rectangle 69"/>
                          <wps:cNvSpPr/>
                          <wps:spPr>
                            <a:xfrm>
                              <a:off x="1659240" y="10120680"/>
                              <a:ext cx="50796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9" name="Rectangle 70"/>
                          <wps:cNvSpPr/>
                          <wps:spPr>
                            <a:xfrm>
                              <a:off x="2198880" y="10120680"/>
                              <a:ext cx="330120" cy="1562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0" name="Rectangle 71"/>
                          <wps:cNvSpPr/>
                          <wps:spPr>
                            <a:xfrm>
                              <a:off x="6310080" y="9769320"/>
                              <a:ext cx="330120" cy="15552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Арк.</w:t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1" name="Rectangle 72"/>
                          <wps:cNvSpPr/>
                          <wps:spPr>
                            <a:xfrm>
                              <a:off x="6310080" y="10005120"/>
                              <a:ext cx="330120" cy="214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Footer"/>
                                  <w:jc w:val="center"/>
                                  <w:rPr>
                                    <w:rFonts w:ascii="Times New Roman" w:hAnsi="Times New Roman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t>8</w:t>
                                </w:r>
                                <w:r>
                                  <w:rPr>
                                    <w:rFonts w:ascii="Times New Roman" w:hAnsi="Times New Roman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  <wps:wsp>
                          <wps:cNvPr id="12" name="Rectangle 73"/>
                          <wps:cNvSpPr/>
                          <wps:spPr>
                            <a:xfrm>
                              <a:off x="2578680" y="9894600"/>
                              <a:ext cx="3684960" cy="24264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jc w:val="center"/>
                                  <w:rPr>
                                    <w:i w:val="false"/>
                                    <w:iCs w:val="false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  <w:i w:val="false"/>
                                    <w:iCs w:val="false"/>
                                  </w:rPr>
                                  <w:t>ДУ «Житомирська політехніка».</w:t>
                                </w:r>
                                <w:r>
                                  <w:rPr>
                                    <w:rFonts w:cs="Times New Roman" w:ascii="Times New Roman" w:hAnsi="Times New Roman"/>
                                    <w:i w:val="false"/>
                                    <w:iCs w:val="false"/>
                                    <w:color w:val="000000"/>
                                  </w:rPr>
                                  <w:t>2</w:t>
                                </w:r>
                                <w:r>
                                  <w:rPr>
                                    <w:rFonts w:cs="Times New Roman" w:ascii="Times New Roman" w:hAnsi="Times New Roman"/>
                                    <w:i w:val="false"/>
                                    <w:iCs w:val="false"/>
                                    <w:color w:val="000000"/>
                                    <w:lang w:val="uk-UA"/>
                                  </w:rPr>
                                  <w:t>6</w:t>
                                </w:r>
                                <w:r>
                                  <w:rPr>
                                    <w:rFonts w:cs="Times New Roman" w:ascii="Times New Roman" w:hAnsi="Times New Roman"/>
                                    <w:i w:val="false"/>
                                    <w:iCs w:val="false"/>
                                    <w:color w:val="000000"/>
                                  </w:rPr>
                                  <w:t>.121.24</w:t>
                                </w:r>
                                <w:r>
                                  <w:rPr>
                                    <w:rFonts w:cs="Times New Roman" w:ascii="Times New Roman" w:hAnsi="Times New Roman"/>
                                    <w:i w:val="false"/>
                                    <w:iCs w:val="false"/>
                                  </w:rPr>
                                  <w:t>.000 - ПЗ</w:t>
                                </w:r>
                              </w:p>
                              <w:p>
                                <w:pPr>
                                  <w:pStyle w:val="Normal"/>
                                  <w:jc w:val="center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cs="Times New Roman" w:ascii="Times New Roman" w:hAnsi="Times New Roman"/>
                                  </w:rPr>
                                </w:r>
                              </w:p>
                            </w:txbxContent>
                          </wps:txbx>
                          <wps:bodyPr lIns="12600" tIns="12600" rIns="12600" bIns="12600" anchor="t">
                            <a:noAutofit/>
                          </wps:bodyPr>
                        </wps:wsp>
                      </wpg:grpSp>
                      <wps:wsp>
                        <wps:cNvPr id="13" name="Rectangle 74"/>
                        <wps:cNvSpPr/>
                        <wps:spPr>
                          <a:xfrm>
                            <a:off x="703080" y="9961200"/>
                            <a:ext cx="925920" cy="141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"/>
                                <w:rPr>
                                  <w:rFonts w:ascii="Times New Roman" w:hAnsi="Times New Roman" w:cs="Times New Roman"/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rFonts w:cs="Times New Roman" w:ascii="Times New Roman" w:hAnsi="Times New Roman"/>
                                  <w:i/>
                                  <w:sz w:val="18"/>
                                  <w:szCs w:val="20"/>
                                </w:rPr>
                                <w:t xml:space="preserve">  </w:t>
                              </w:r>
                              <w:r>
                                <w:rPr>
                                  <w:rFonts w:cs="Times New Roman" w:ascii="Times New Roman" w:hAnsi="Times New Roman"/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  <w:t>Бродський Ю. Б.</w:t>
                              </w:r>
                            </w:p>
                            <w:p>
                              <w:pPr>
                                <w:pStyle w:val="Normal"/>
                                <w:rPr/>
                              </w:pPr>
                              <w:r>
                                <w:rPr/>
                              </w:r>
                            </w:p>
                            <w:p>
                              <w:pPr>
                                <w:pStyle w:val="Footer"/>
                                <w:jc w:val="center"/>
                                <w:rPr>
                                  <w:rFonts w:ascii="Times New Roman" w:hAnsi="Times New Roman"/>
                                  <w:color w:val="FF0000"/>
                                  <w:sz w:val="18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FF0000"/>
                                  <w:sz w:val="18"/>
                                </w:rPr>
                              </w:r>
                            </w:p>
                          </w:txbxContent>
                        </wps:txbx>
                        <wps:bodyPr lIns="0" tIns="12600" rIns="0" bIns="12600" anchor="t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shape_0" alt="Групувати 377815888" style="position:absolute;margin-left:-16.1pt;margin-top:16.7pt;width:524.15pt;height:810.45pt" coordorigin="-322,334" coordsize="10483,16209">
              <v:rect id="shape_0" stroked="f" o:allowincell="f" style="position:absolute;left:876;top:15693;width:1343;height:245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ooter"/>
                        <w:rPr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8"/>
                          <w:lang w:val="ru-RU"/>
                        </w:rPr>
                        <w:t>Семенчук О. А.</w:t>
                      </w:r>
                    </w:p>
                    <w:p>
                      <w:pPr>
                        <w:pStyle w:val="Footer"/>
                        <w:jc w:val="center"/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20"/>
                        </w:rPr>
                      </w:r>
                    </w:p>
                  </w:txbxContent>
                </v:textbox>
                <w10:wrap type="none"/>
              </v:rect>
              <v:group id="shape_0" style="position:absolute;left:-322;top:334;width:10483;height:16209">
                <v:group id="shape_0" style="position:absolute;left:-322;top:334;width:10483;height:16209">
                  <v:rect id="shape_0" stroked="t" o:allowincell="f" style="position:absolute;left:-322;top:334;width:10482;height:16208;mso-wrap-style:none;v-text-anchor:middle">
                    <v:fill o:detectmouseclick="t" on="false"/>
                    <v:stroke color="black" weight="25560" joinstyle="miter" endcap="flat"/>
                    <w10:wrap type="none"/>
                  </v:rect>
                  <v:line id="shape_0" from="251,15695" to="251,165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17,15689" to="10153,15689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824,15695" to="824,165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2258,15695" to="2258,165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116,15703" to="3117,165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3690,15695" to="3690,16530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92,15695" to="9593,16537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-317,15974" to="3679,15974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line id="shape_0" from="-317,16261" to="3679,16261" stroked="t" o:allowincell="f" style="position:absolute">
                    <v:stroke color="black" weight="25560" joinstyle="round" endcap="flat"/>
                    <v:fill o:detectmouseclick="t" on="false"/>
                    <w10:wrap type="none"/>
                  </v:line>
                  <v:line id="shape_0" from="9599,15977" to="10160,15977" stroked="t" o:allowincell="f" style="position:absolute">
                    <v:stroke color="black" weight="12600" joinstyle="round" endcap="flat"/>
                    <v:fill o:detectmouseclick="t" on="false"/>
                    <w10:wrap type="none"/>
                  </v:line>
                  <v:rect id="shape_0" stroked="f" o:allowincell="f" style="position:absolute;left:-294;top:16272;width:519;height:24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Змн.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75;top:16272;width:519;height:24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867;top:16272;width:1343;height:24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докум.</w:t>
                          </w:r>
                        </w:p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2291;top:16272;width:799;height:24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141;top:16272;width:519;height:245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615;top:15719;width:519;height:244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8"/>
                            </w:rPr>
                            <w:t>Арк.</w:t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9615;top:16090;width:519;height:337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Footer"/>
                            <w:jc w:val="center"/>
                            <w:rPr>
                              <w:rFonts w:ascii="Times New Roman" w:hAnsi="Times New Roman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fldChar w:fldCharType="separate"/>
                          </w: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t>8</w:t>
                          </w:r>
                          <w:r>
                            <w:rPr>
                              <w:rFonts w:ascii="Times New Roman" w:hAnsi="Times New Roman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  <w10:wrap type="none"/>
                  </v:rect>
                  <v:rect id="shape_0" stroked="f" o:allowincell="f" style="position:absolute;left:3739;top:15916;width:5802;height:381;mso-wrap-style:square;v-text-anchor:top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jc w:val="center"/>
                            <w:rPr>
                              <w:i w:val="false"/>
                              <w:iCs w:val="false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  <w:i w:val="false"/>
                              <w:iCs w:val="false"/>
                            </w:rPr>
                            <w:t>ДУ «Житомирська політехніка».</w:t>
                          </w:r>
                          <w:r>
                            <w:rPr>
                              <w:rFonts w:cs="Times New Roman" w:ascii="Times New Roman" w:hAnsi="Times New Roman"/>
                              <w:i w:val="false"/>
                              <w:iCs w:val="false"/>
                              <w:color w:val="000000"/>
                            </w:rPr>
                            <w:t>2</w:t>
                          </w:r>
                          <w:r>
                            <w:rPr>
                              <w:rFonts w:cs="Times New Roman" w:ascii="Times New Roman" w:hAnsi="Times New Roman"/>
                              <w:i w:val="false"/>
                              <w:iCs w:val="false"/>
                              <w:color w:val="000000"/>
                              <w:lang w:val="uk-UA"/>
                            </w:rPr>
                            <w:t>6</w:t>
                          </w:r>
                          <w:r>
                            <w:rPr>
                              <w:rFonts w:cs="Times New Roman" w:ascii="Times New Roman" w:hAnsi="Times New Roman"/>
                              <w:i w:val="false"/>
                              <w:iCs w:val="false"/>
                              <w:color w:val="000000"/>
                            </w:rPr>
                            <w:t>.121.24</w:t>
                          </w:r>
                          <w:r>
                            <w:rPr>
                              <w:rFonts w:cs="Times New Roman" w:ascii="Times New Roman" w:hAnsi="Times New Roman"/>
                              <w:i w:val="false"/>
                              <w:iCs w:val="false"/>
                            </w:rPr>
                            <w:t>.000 - ПЗ</w:t>
                          </w:r>
                        </w:p>
                        <w:p>
                          <w:pPr>
                            <w:pStyle w:val="Normal"/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cs="Times New Roman" w:ascii="Times New Roman" w:hAnsi="Times New Roman"/>
                            </w:rPr>
                          </w:r>
                        </w:p>
                      </w:txbxContent>
                    </v:textbox>
                    <w10:wrap type="none"/>
                  </v:rect>
                </v:group>
                <v:rect id="shape_0" stroked="f" o:allowincell="f" style="position:absolute;left:785;top:16021;width:1457;height:221;mso-wrap-style:square;v-text-anchor:top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"/>
                          <w:rPr>
                            <w:rFonts w:ascii="Times New Roman" w:hAnsi="Times New Roman" w:cs="Times New Roman"/>
                            <w:i/>
                            <w:sz w:val="20"/>
                            <w:szCs w:val="20"/>
                            <w:lang w:val="uk-UA"/>
                          </w:rPr>
                        </w:pPr>
                        <w:r>
                          <w:rPr>
                            <w:rFonts w:cs="Times New Roman" w:ascii="Times New Roman" w:hAnsi="Times New Roman"/>
                            <w:i/>
                            <w:sz w:val="18"/>
                            <w:szCs w:val="20"/>
                          </w:rPr>
                          <w:t xml:space="preserve">  </w:t>
                        </w:r>
                        <w:r>
                          <w:rPr>
                            <w:rFonts w:cs="Times New Roman" w:ascii="Times New Roman" w:hAnsi="Times New Roman"/>
                            <w:i/>
                            <w:sz w:val="18"/>
                            <w:szCs w:val="20"/>
                            <w:lang w:val="uk-UA"/>
                          </w:rPr>
                          <w:t>Бродський Ю. Б.</w:t>
                        </w:r>
                      </w:p>
                      <w:p>
                        <w:pPr>
                          <w:pStyle w:val="Normal"/>
                          <w:rPr/>
                        </w:pPr>
                        <w:r>
                          <w:rPr/>
                        </w:r>
                      </w:p>
                      <w:p>
                        <w:pPr>
                          <w:pStyle w:val="Footer"/>
                          <w:jc w:val="center"/>
                          <w:rPr>
                            <w:rFonts w:ascii="Times New Roman" w:hAnsi="Times New Roman"/>
                            <w:color w:val="FF0000"/>
                            <w:sz w:val="18"/>
                          </w:rPr>
                        </w:pPr>
                        <w:r>
                          <w:rPr>
                            <w:rFonts w:ascii="Times New Roman" w:hAnsi="Times New Roman"/>
                            <w:color w:val="FF0000"/>
                            <w:sz w:val="18"/>
                          </w:rPr>
                        </w:r>
                      </w:p>
                    </w:txbxContent>
                  </v:textbox>
                  <w10:wrap type="none"/>
                </v:rect>
              </v:group>
            </v:group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РОЗДІЛ %1"/>
      <w:lvlJc w:val="center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◦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52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960"/>
        </w:tabs>
        <w:ind w:star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320"/>
        </w:tabs>
        <w:ind w:start="432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-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-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-"/>
      <w:lvlJc w:val="start"/>
      <w:pPr>
        <w:tabs>
          <w:tab w:val="num" w:pos="1800"/>
        </w:tabs>
        <w:ind w:start="1800" w:hanging="360"/>
      </w:pPr>
      <w:rPr>
        <w:rFonts w:ascii="OpenSymbol" w:hAnsi="OpenSymbol" w:cs="OpenSymbol" w:hint="default"/>
      </w:rPr>
    </w:lvl>
    <w:lvl w:ilvl="4">
      <w:start w:val="1"/>
      <w:numFmt w:val="bullet"/>
      <w:lvlText w:val="-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-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-"/>
      <w:lvlJc w:val="start"/>
      <w:pPr>
        <w:tabs>
          <w:tab w:val="num" w:pos="2880"/>
        </w:tabs>
        <w:ind w:start="2880" w:hanging="360"/>
      </w:pPr>
      <w:rPr>
        <w:rFonts w:ascii="OpenSymbol" w:hAnsi="OpenSymbol" w:cs="OpenSymbol" w:hint="default"/>
      </w:rPr>
    </w:lvl>
    <w:lvl w:ilvl="7">
      <w:start w:val="1"/>
      <w:numFmt w:val="bullet"/>
      <w:lvlText w:val="-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-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90"/>
  <w:defaultTabStop w:val="709"/>
  <w:autoHyphenation w:val="true"/>
  <w:hyphenationZone w:val="425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91d3e"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Style15"/>
    <w:link w:val="1"/>
    <w:uiPriority w:val="9"/>
    <w:qFormat/>
    <w:rsid w:val="001e4d77"/>
    <w:pPr>
      <w:keepNext w:val="true"/>
      <w:keepLines/>
      <w:numPr>
        <w:ilvl w:val="0"/>
        <w:numId w:val="1"/>
      </w:numPr>
      <w:spacing w:lineRule="auto" w:line="360"/>
      <w:ind w:firstLine="567" w:start="851"/>
      <w:jc w:val="center"/>
      <w:outlineLvl w:val="0"/>
    </w:pPr>
    <w:rPr>
      <w:rFonts w:ascii="Times New Roman" w:hAnsi="Times New Roman" w:eastAsia="" w:cs="Times New Roman" w:eastAsiaTheme="majorEastAsia"/>
      <w:sz w:val="28"/>
      <w:szCs w:val="28"/>
      <w:lang w:val="uk-UA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8f078b"/>
    <w:pPr>
      <w:keepNext w:val="true"/>
      <w:keepLines/>
      <w:spacing w:lineRule="auto" w:line="360"/>
      <w:ind w:firstLine="709"/>
      <w:outlineLvl w:val="1"/>
    </w:pPr>
    <w:rPr>
      <w:rFonts w:ascii="Times New Roman" w:hAnsi="Times New Roman" w:eastAsia="" w:cs="Times New Roman" w:eastAsiaTheme="majorEastAsia"/>
      <w:b/>
      <w:bCs/>
      <w:sz w:val="28"/>
      <w:szCs w:val="28"/>
      <w:lang w:val="uk-UA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e91d3e"/>
    <w:pPr>
      <w:keepNext w:val="true"/>
      <w:keepLines/>
      <w:spacing w:lineRule="auto" w:line="360"/>
      <w:ind w:firstLine="851"/>
      <w:outlineLvl w:val="2"/>
    </w:pPr>
    <w:rPr>
      <w:rFonts w:ascii="Times New Roman" w:hAnsi="Times New Roman" w:eastAsia="" w:cs="Times New Roman" w:eastAsiaTheme="majorEastAsia"/>
      <w:b/>
      <w:bCs/>
      <w:sz w:val="28"/>
      <w:szCs w:val="28"/>
      <w:lang w:val="uk-UA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103f01"/>
    <w:pPr>
      <w:keepNext w:val="true"/>
      <w:keepLines/>
      <w:spacing w:lineRule="auto" w:line="360"/>
      <w:ind w:firstLine="851"/>
      <w:outlineLvl w:val="3"/>
    </w:pPr>
    <w:rPr>
      <w:rFonts w:ascii="Times New Roman" w:hAnsi="Times New Roman" w:eastAsia="" w:cs="Times New Roman" w:eastAsiaTheme="majorEastAsia"/>
      <w:sz w:val="28"/>
      <w:szCs w:val="28"/>
      <w:lang w:val="uk-UA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yle10" w:customStyle="1">
    <w:name w:val="Нижній колонтитул Знак"/>
    <w:basedOn w:val="DefaultParagraphFont"/>
    <w:link w:val="Footer"/>
    <w:uiPriority w:val="99"/>
    <w:qFormat/>
    <w:rsid w:val="00ea0234"/>
    <w:rPr>
      <w:rFonts w:cs="Mangal"/>
      <w:szCs w:val="21"/>
    </w:rPr>
  </w:style>
  <w:style w:type="character" w:styleId="1" w:customStyle="1">
    <w:name w:val="Заголовок 1 Знак"/>
    <w:basedOn w:val="DefaultParagraphFont"/>
    <w:link w:val="Heading1"/>
    <w:uiPriority w:val="9"/>
    <w:qFormat/>
    <w:rsid w:val="001e4d77"/>
    <w:rPr>
      <w:rFonts w:ascii="Times New Roman" w:hAnsi="Times New Roman" w:eastAsia="" w:cs="Times New Roman" w:eastAsiaTheme="majorEastAsia"/>
      <w:sz w:val="28"/>
      <w:szCs w:val="28"/>
      <w:lang w:val="uk-UA"/>
    </w:rPr>
  </w:style>
  <w:style w:type="character" w:styleId="Style11" w:customStyle="1">
    <w:name w:val="Нормальний Знак"/>
    <w:basedOn w:val="DefaultParagraphFont"/>
    <w:link w:val="Style15"/>
    <w:qFormat/>
    <w:rsid w:val="00b56dd2"/>
    <w:rPr>
      <w:rFonts w:ascii="Times New Roman" w:hAnsi="Times New Roman" w:cs="Times New Roman"/>
      <w:sz w:val="28"/>
      <w:szCs w:val="28"/>
      <w:lang w:val="uk-UA"/>
    </w:rPr>
  </w:style>
  <w:style w:type="character" w:styleId="Hyperlink">
    <w:name w:val="Hyperlink"/>
    <w:basedOn w:val="DefaultParagraphFont"/>
    <w:uiPriority w:val="99"/>
    <w:unhideWhenUsed/>
    <w:rsid w:val="003e6e1e"/>
    <w:rPr>
      <w:color w:themeColor="hyperlink" w:val="0563C1"/>
      <w:u w:val="single"/>
    </w:rPr>
  </w:style>
  <w:style w:type="character" w:styleId="2" w:customStyle="1">
    <w:name w:val="Заголовок 2 Знак"/>
    <w:basedOn w:val="DefaultParagraphFont"/>
    <w:link w:val="Heading2"/>
    <w:uiPriority w:val="9"/>
    <w:qFormat/>
    <w:rsid w:val="008f078b"/>
    <w:rPr>
      <w:rFonts w:ascii="Times New Roman" w:hAnsi="Times New Roman" w:eastAsia="" w:cs="Times New Roman" w:eastAsiaTheme="majorEastAsia"/>
      <w:b/>
      <w:bCs/>
      <w:sz w:val="28"/>
      <w:szCs w:val="28"/>
      <w:lang w:val="uk-UA"/>
    </w:rPr>
  </w:style>
  <w:style w:type="character" w:styleId="3" w:customStyle="1">
    <w:name w:val="Заголовок 3 Знак"/>
    <w:basedOn w:val="DefaultParagraphFont"/>
    <w:link w:val="Heading3"/>
    <w:uiPriority w:val="9"/>
    <w:qFormat/>
    <w:rsid w:val="00e91d3e"/>
    <w:rPr>
      <w:rFonts w:ascii="Times New Roman" w:hAnsi="Times New Roman" w:eastAsia="" w:cs="Times New Roman" w:eastAsiaTheme="majorEastAsia"/>
      <w:b/>
      <w:bCs/>
      <w:sz w:val="28"/>
      <w:szCs w:val="28"/>
      <w:lang w:val="uk-UA"/>
    </w:rPr>
  </w:style>
  <w:style w:type="character" w:styleId="Style12" w:customStyle="1">
    <w:name w:val="Основний текст Знак"/>
    <w:basedOn w:val="DefaultParagraphFont"/>
    <w:qFormat/>
    <w:rsid w:val="00e91d3e"/>
    <w:rPr/>
  </w:style>
  <w:style w:type="character" w:styleId="21" w:customStyle="1">
    <w:name w:val="Звичайний 2 Знак"/>
    <w:basedOn w:val="DefaultParagraphFont"/>
    <w:link w:val="22"/>
    <w:qFormat/>
    <w:rsid w:val="00b70546"/>
    <w:rPr>
      <w:rFonts w:ascii="Times New Roman" w:hAnsi="Times New Roman" w:eastAsia="Times New Roman" w:cs="Times New Roman"/>
      <w:kern w:val="0"/>
      <w:sz w:val="20"/>
      <w:szCs w:val="20"/>
      <w:lang w:val="uk-UA" w:bidi="ar-SA"/>
    </w:rPr>
  </w:style>
  <w:style w:type="character" w:styleId="4" w:customStyle="1">
    <w:name w:val="Заголовок 4 Знак"/>
    <w:basedOn w:val="DefaultParagraphFont"/>
    <w:link w:val="Heading4"/>
    <w:uiPriority w:val="9"/>
    <w:qFormat/>
    <w:rsid w:val="00103f01"/>
    <w:rPr>
      <w:rFonts w:ascii="Times New Roman" w:hAnsi="Times New Roman" w:eastAsia="" w:cs="Times New Roman" w:eastAsiaTheme="majorEastAsia"/>
      <w:sz w:val="28"/>
      <w:szCs w:val="28"/>
      <w:lang w:val="uk-U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5e055a"/>
    <w:rPr>
      <w:color w:val="605E5C"/>
      <w:shd w:fill="E1DFDD" w:val="clear"/>
    </w:rPr>
  </w:style>
  <w:style w:type="character" w:styleId="PlaceholderText">
    <w:name w:val="Placeholder Text"/>
    <w:basedOn w:val="DefaultParagraphFont"/>
    <w:uiPriority w:val="99"/>
    <w:semiHidden/>
    <w:qFormat/>
    <w:rsid w:val="00926a8c"/>
    <w:rPr>
      <w:color w:val="666666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Normal"/>
    <w:qFormat/>
    <w:rsid w:val="00b70546"/>
    <w:pPr>
      <w:widowControl w:val="false"/>
      <w:spacing w:lineRule="auto" w:line="360"/>
      <w:jc w:val="center"/>
    </w:pPr>
    <w:rPr>
      <w:rFonts w:ascii="Times New Roman" w:hAnsi="Times New Roman" w:eastAsia="Times New Roman" w:cs="Times New Roman"/>
      <w:b/>
      <w:kern w:val="0"/>
      <w:sz w:val="36"/>
      <w:szCs w:val="20"/>
      <w:lang w:val="ru-RU" w:bidi="ar-SA"/>
    </w:rPr>
  </w:style>
  <w:style w:type="paragraph" w:styleId="BodyText">
    <w:name w:val="Body Text"/>
    <w:basedOn w:val="Normal"/>
    <w:link w:val="Style12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rsid w:val="0035799f"/>
    <w:pPr>
      <w:suppressLineNumbers/>
      <w:spacing w:lineRule="auto" w:line="360"/>
      <w:jc w:val="center"/>
    </w:pPr>
    <w:rPr>
      <w:rFonts w:ascii="Times New Roman" w:hAnsi="Times New Roman" w:cs="Times New Roman"/>
      <w:sz w:val="28"/>
      <w:szCs w:val="28"/>
      <w:lang w:val="uk-UA"/>
    </w:rPr>
  </w:style>
  <w:style w:type="paragraph" w:styleId="Index">
    <w:name w:val="Index"/>
    <w:basedOn w:val="Normal"/>
    <w:qFormat/>
    <w:pPr>
      <w:suppressLineNumbers/>
    </w:pPr>
    <w:rPr>
      <w:rFonts w:ascii="Calibre" w:hAnsi="Calibre" w:cs="Free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3" w:customStyle="1">
    <w:name w:val="Покажчик"/>
    <w:basedOn w:val="Normal"/>
    <w:qFormat/>
    <w:pPr>
      <w:suppressLineNumbers/>
    </w:pPr>
    <w:rPr/>
  </w:style>
  <w:style w:type="paragraph" w:styleId="Titul" w:customStyle="1">
    <w:name w:val="Titul"/>
    <w:basedOn w:val="Normal"/>
    <w:qFormat/>
    <w:pPr>
      <w:jc w:val="center"/>
    </w:pPr>
    <w:rPr>
      <w:b/>
      <w:sz w:val="32"/>
    </w:rPr>
  </w:style>
  <w:style w:type="paragraph" w:styleId="ListParagraph">
    <w:name w:val="List Paragraph"/>
    <w:basedOn w:val="Normal"/>
    <w:uiPriority w:val="34"/>
    <w:qFormat/>
    <w:pPr>
      <w:spacing w:before="0" w:after="0"/>
      <w:ind w:start="720"/>
      <w:contextualSpacing/>
    </w:pPr>
    <w:rPr/>
  </w:style>
  <w:style w:type="paragraph" w:styleId="Style14" w:customStyle="1">
    <w:name w:val="Верхній і нижній колонтитули"/>
    <w:basedOn w:val="Normal"/>
    <w:qFormat/>
    <w:pPr/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0"/>
    <w:uiPriority w:val="99"/>
    <w:unhideWhenUsed/>
    <w:rsid w:val="00ea0234"/>
    <w:pPr>
      <w:tabs>
        <w:tab w:val="clear" w:pos="709"/>
        <w:tab w:val="center" w:pos="4513" w:leader="none"/>
        <w:tab w:val="right" w:pos="9026" w:leader="none"/>
      </w:tabs>
    </w:pPr>
    <w:rPr>
      <w:rFonts w:cs="Mangal"/>
      <w:szCs w:val="21"/>
    </w:rPr>
  </w:style>
  <w:style w:type="paragraph" w:styleId="Style15" w:customStyle="1">
    <w:name w:val="Нормальний"/>
    <w:basedOn w:val="Normal"/>
    <w:link w:val="Style11"/>
    <w:qFormat/>
    <w:rsid w:val="00b56dd2"/>
    <w:pPr>
      <w:spacing w:lineRule="auto" w:line="360"/>
      <w:ind w:firstLine="709"/>
      <w:jc w:val="both"/>
    </w:pPr>
    <w:rPr>
      <w:rFonts w:ascii="Times New Roman" w:hAnsi="Times New Roman" w:cs="Times New Roman"/>
      <w:sz w:val="28"/>
      <w:szCs w:val="28"/>
      <w:lang w:val="uk-U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3e6e1e"/>
    <w:pPr>
      <w:suppressAutoHyphens w:val="false"/>
      <w:spacing w:lineRule="auto" w:line="259" w:before="240" w:after="0"/>
      <w:jc w:val="start"/>
      <w:outlineLvl w:val="9"/>
    </w:pPr>
    <w:rPr>
      <w:rFonts w:ascii="Calibri Light" w:hAnsi="Calibri Light" w:cs="" w:asciiTheme="majorHAnsi" w:cstheme="majorBidi" w:hAnsiTheme="majorHAnsi"/>
      <w:color w:themeColor="accent1" w:themeShade="bf" w:val="2E74B5"/>
      <w:kern w:val="0"/>
      <w:sz w:val="32"/>
      <w:szCs w:val="32"/>
      <w:lang w:eastAsia="uk-UA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3e6e1e"/>
    <w:pPr>
      <w:spacing w:before="0" w:after="100"/>
    </w:pPr>
    <w:rPr>
      <w:rFonts w:cs="Mangal"/>
      <w:szCs w:val="21"/>
    </w:rPr>
  </w:style>
  <w:style w:type="paragraph" w:styleId="TOC2">
    <w:name w:val="toc 2"/>
    <w:basedOn w:val="Normal"/>
    <w:next w:val="Normal"/>
    <w:autoRedefine/>
    <w:uiPriority w:val="39"/>
    <w:unhideWhenUsed/>
    <w:rsid w:val="009f3907"/>
    <w:pPr>
      <w:spacing w:before="0" w:after="100"/>
      <w:ind w:start="240"/>
    </w:pPr>
    <w:rPr>
      <w:rFonts w:cs="Mangal"/>
      <w:szCs w:val="21"/>
    </w:rPr>
  </w:style>
  <w:style w:type="paragraph" w:styleId="TOC3">
    <w:name w:val="toc 3"/>
    <w:basedOn w:val="Normal"/>
    <w:next w:val="Normal"/>
    <w:autoRedefine/>
    <w:uiPriority w:val="39"/>
    <w:unhideWhenUsed/>
    <w:rsid w:val="009f3907"/>
    <w:pPr>
      <w:spacing w:before="0" w:after="100"/>
      <w:ind w:start="480"/>
    </w:pPr>
    <w:rPr>
      <w:rFonts w:cs="Mangal"/>
      <w:szCs w:val="21"/>
    </w:rPr>
  </w:style>
  <w:style w:type="paragraph" w:styleId="Paragraph2" w:customStyle="1">
    <w:name w:val="Paragraph2"/>
    <w:basedOn w:val="Normal"/>
    <w:qFormat/>
    <w:rsid w:val="009f3907"/>
    <w:pPr>
      <w:widowControl w:val="false"/>
      <w:spacing w:lineRule="atLeast" w:line="240" w:before="80" w:after="0"/>
      <w:ind w:start="720"/>
      <w:jc w:val="both"/>
    </w:pPr>
    <w:rPr>
      <w:rFonts w:ascii="Times New Roman" w:hAnsi="Times New Roman" w:eastAsia="Times New Roman" w:cs="Times New Roman"/>
      <w:color w:val="000000"/>
      <w:kern w:val="0"/>
      <w:sz w:val="20"/>
      <w:szCs w:val="20"/>
      <w:lang w:val="en-AU" w:bidi="ar-SA"/>
    </w:rPr>
  </w:style>
  <w:style w:type="paragraph" w:styleId="InfoBlue" w:customStyle="1">
    <w:name w:val="InfoBlue"/>
    <w:basedOn w:val="Normal"/>
    <w:next w:val="BodyText"/>
    <w:qFormat/>
    <w:rsid w:val="009f3907"/>
    <w:pPr>
      <w:widowControl w:val="false"/>
      <w:spacing w:lineRule="atLeast" w:line="240" w:before="0" w:after="120"/>
      <w:ind w:start="720"/>
    </w:pPr>
    <w:rPr>
      <w:rFonts w:ascii="Times New Roman" w:hAnsi="Times New Roman" w:eastAsia="Times New Roman" w:cs="Times New Roman"/>
      <w:i/>
      <w:color w:val="0000FF"/>
      <w:kern w:val="0"/>
      <w:sz w:val="20"/>
      <w:szCs w:val="20"/>
      <w:lang w:bidi="ar-SA"/>
    </w:rPr>
  </w:style>
  <w:style w:type="paragraph" w:styleId="22" w:customStyle="1">
    <w:name w:val="Звичайний 2"/>
    <w:basedOn w:val="Normal"/>
    <w:link w:val="21"/>
    <w:qFormat/>
    <w:rsid w:val="00b70546"/>
    <w:pPr>
      <w:widowControl w:val="false"/>
      <w:spacing w:lineRule="atLeast" w:line="240"/>
      <w:ind w:start="720"/>
      <w:jc w:val="both"/>
    </w:pPr>
    <w:rPr>
      <w:rFonts w:ascii="Times New Roman" w:hAnsi="Times New Roman" w:eastAsia="Times New Roman" w:cs="Times New Roman"/>
      <w:kern w:val="0"/>
      <w:sz w:val="20"/>
      <w:szCs w:val="20"/>
      <w:lang w:val="uk-UA" w:bidi="ar-SA"/>
    </w:rPr>
  </w:style>
  <w:style w:type="paragraph" w:styleId="TOC4">
    <w:name w:val="toc 4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72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96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120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144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168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e055a"/>
    <w:pPr>
      <w:suppressAutoHyphens w:val="false"/>
      <w:spacing w:lineRule="auto" w:line="278" w:before="0" w:after="100"/>
      <w:ind w:start="1920"/>
    </w:pPr>
    <w:rPr>
      <w:rFonts w:ascii="Calibri" w:hAnsi="Calibri" w:eastAsia="" w:cs="" w:asciiTheme="minorHAnsi" w:cstheme="minorBidi" w:eastAsiaTheme="minorEastAsia" w:hAnsiTheme="minorHAnsi"/>
      <w:lang w:val="uk-UA" w:eastAsia="uk-UA" w:bidi="ar-SA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qFormat/>
    <w:rsid w:val="003f02df"/>
    <w:pPr/>
    <w:rPr>
      <w:rFonts w:ascii="Times New Roman" w:hAnsi="Times New Roman" w:cs="Mangal"/>
      <w:szCs w:val="21"/>
    </w:rPr>
  </w:style>
  <w:style w:type="paragraph" w:styleId="FrameContents">
    <w:name w:val="Frame Contents"/>
    <w:basedOn w:val="Normal"/>
    <w:qFormat/>
    <w:pPr/>
    <w:rPr/>
  </w:style>
  <w:style w:type="paragraph" w:styleId="11">
    <w:name w:val="1"/>
    <w:basedOn w:val="Normal"/>
    <w:next w:val="Style15"/>
    <w:link w:val="1"/>
    <w:uiPriority w:val="9"/>
    <w:qFormat/>
    <w:rsid w:val="001e4d77"/>
    <w:pPr>
      <w:keepNext w:val="true"/>
      <w:keepLines/>
      <w:spacing w:lineRule="auto" w:line="360"/>
      <w:ind w:firstLine="567" w:start="851"/>
      <w:jc w:val="center"/>
      <w:outlineLvl w:val="0"/>
    </w:pPr>
    <w:rPr>
      <w:rFonts w:ascii="Times New Roman" w:hAnsi="Times New Roman" w:eastAsia="" w:cs="Times New Roman" w:eastAsiaTheme="majorEastAsia"/>
      <w:sz w:val="28"/>
      <w:szCs w:val="28"/>
      <w:lang w:val="uk-UA"/>
    </w:rPr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2">
    <w:name w:val="Table Grid"/>
    <w:basedOn w:val="a2"/>
    <w:uiPriority w:val="39"/>
    <w:rsid w:val="009f3907"/>
    <w:rPr>
      <w:lang w:val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1B7695-A081-422E-B571-832B7942EC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2717</TotalTime>
  <Application>LibreOffice/26.2.1.2$Linux_X86_64 LibreOffice_project/620$Build-2</Application>
  <AppVersion>15.0000</AppVersion>
  <Pages>8</Pages>
  <Words>1041</Words>
  <Characters>6472</Characters>
  <CharactersWithSpaces>7497</CharactersWithSpaces>
  <Paragraphs>98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2023-10-21T16:48:00Z</dcterms:created>
  <dc:creator>Денис Ліневич</dc:creator>
  <dc:description/>
  <dc:language>en-US</dc:language>
  <cp:lastModifiedBy/>
  <cp:lastPrinted>2025-12-23T09:04:00Z</cp:lastPrinted>
  <dcterms:modified xsi:type="dcterms:W3CDTF">2026-03-31T12:59:45Z</dcterms:modified>
  <cp:revision>61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