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Prezadas Alunas e Prezados Alunos.</w:t>
      </w:r>
    </w:p>
    <w:p>
      <w:pPr>
        <w:pStyle w:val="Normal"/>
        <w:rPr/>
      </w:pPr>
      <w:r>
        <w:rPr/>
      </w:r>
    </w:p>
    <w:p>
      <w:pPr>
        <w:pStyle w:val="Normal"/>
        <w:jc w:val="both"/>
        <w:rPr/>
      </w:pPr>
      <w:r>
        <w:rPr/>
        <w:t>Todos os nossos Docentes do Curso de Engenharia de Computação e do Curso de Ciência da Computação estão qualificados para orientarem as produções de monografias de TCC.</w:t>
      </w:r>
    </w:p>
    <w:p>
      <w:pPr>
        <w:pStyle w:val="Normal"/>
        <w:jc w:val="both"/>
        <w:rPr/>
      </w:pPr>
      <w:r>
        <w:rPr/>
      </w:r>
    </w:p>
    <w:p>
      <w:pPr>
        <w:pStyle w:val="Normal"/>
        <w:jc w:val="both"/>
        <w:rPr/>
      </w:pPr>
      <w:r>
        <w:rPr/>
        <w:t xml:space="preserve">As principais linhas de pesquisa dos nossos Docentes que ministram aulas no Curso de Ciência da Computação e no Ciclo Profissionalizante do Curso de Engenharia de Computação, que orientam os(as) nossos(as) Alunos(as) com maior frequência para as produções de TCC das disciplinas de Monografia II e equivalentes; o Template de Monografia e o TCPP estão disponíveis na Pasta 2017-1 – MONOGRAFIA II </w:t>
      </w:r>
      <w:r>
        <w:rPr>
          <w:color w:val="1F497D"/>
        </w:rPr>
        <w:t>d</w:t>
      </w:r>
      <w:r>
        <w:rPr/>
        <w:t>o Portal do Aluno.</w:t>
      </w:r>
    </w:p>
    <w:p>
      <w:pPr>
        <w:pStyle w:val="Normal"/>
        <w:jc w:val="both"/>
        <w:rPr/>
      </w:pPr>
      <w:r>
        <w:rPr/>
      </w:r>
    </w:p>
    <w:p>
      <w:pPr>
        <w:pStyle w:val="Normal"/>
        <w:jc w:val="both"/>
        <w:rPr/>
      </w:pPr>
      <w:r>
        <w:rPr/>
        <w:t>Os(As) demais Professores(as) que ministram aulas no Ciclo Básico do Curso de Engenharia de Computação devem ser verificados com a Coordenação do Ciclo Básico de Engenharias.</w:t>
      </w:r>
    </w:p>
    <w:p>
      <w:pPr>
        <w:pStyle w:val="Normal"/>
        <w:jc w:val="both"/>
        <w:rPr/>
      </w:pPr>
      <w:r>
        <w:rPr/>
      </w:r>
    </w:p>
    <w:p>
      <w:pPr>
        <w:pStyle w:val="Normal"/>
        <w:jc w:val="both"/>
        <w:rPr/>
      </w:pPr>
      <w:r>
        <w:rPr/>
        <w:t>Os nossos Docentes são livres para aceitarem ou não os convites dos(as) nossos(as) Alunos(as) para as orientações para as produções de monografias de TCC de acordo com os interesses e as disponibilidades deles.</w:t>
      </w:r>
    </w:p>
    <w:p>
      <w:pPr>
        <w:pStyle w:val="Normal"/>
        <w:jc w:val="both"/>
        <w:rPr/>
      </w:pPr>
      <w:r>
        <w:rPr/>
      </w:r>
    </w:p>
    <w:p>
      <w:pPr>
        <w:pStyle w:val="Normal"/>
        <w:jc w:val="both"/>
        <w:rPr/>
      </w:pPr>
      <w:r>
        <w:rPr/>
        <w:t>Desta forma, solicitamos-lhes para que os contatos para os convites sejam realizados pessoalmente e de forma cordial, fora dos horários de aulas dos nossos Docentes e de acordo com as disponibilidades deles.</w:t>
      </w:r>
    </w:p>
    <w:p>
      <w:pPr>
        <w:pStyle w:val="Normal"/>
        <w:jc w:val="both"/>
        <w:rPr/>
      </w:pPr>
      <w:r>
        <w:rPr/>
      </w:r>
    </w:p>
    <w:p>
      <w:pPr>
        <w:pStyle w:val="Normal"/>
        <w:jc w:val="both"/>
        <w:rPr/>
      </w:pPr>
      <w:r>
        <w:rPr/>
        <w:t>Esclarecemos-lhe que:</w:t>
      </w:r>
    </w:p>
    <w:p>
      <w:pPr>
        <w:pStyle w:val="ListParagraph"/>
        <w:numPr>
          <w:ilvl w:val="0"/>
          <w:numId w:val="1"/>
        </w:numPr>
        <w:jc w:val="both"/>
        <w:rPr/>
      </w:pPr>
      <w:r>
        <w:rPr/>
        <w:t>As determinações, condições e decisões para as produções das monografias de TCC são dos(das) respectivos(as) Professores(as) Orientadores(as);</w:t>
      </w:r>
    </w:p>
    <w:p>
      <w:pPr>
        <w:pStyle w:val="ListParagraph"/>
        <w:numPr>
          <w:ilvl w:val="0"/>
          <w:numId w:val="1"/>
        </w:numPr>
        <w:jc w:val="both"/>
        <w:rPr/>
      </w:pPr>
      <w:r>
        <w:rPr/>
        <w:t>As composições das bancas examinadoras, os agendamentos das defesas de TCC de acordo com o Cronograma, as reservas de espaços físicos são de autoridade e responsabilidade dos(das) respectivos(as) Professores(as) Orientadores(as) de acordo com as disponibilidades deles;</w:t>
      </w:r>
    </w:p>
    <w:p>
      <w:pPr>
        <w:pStyle w:val="ListParagraph"/>
        <w:numPr>
          <w:ilvl w:val="0"/>
          <w:numId w:val="1"/>
        </w:numPr>
        <w:jc w:val="both"/>
        <w:rPr/>
      </w:pPr>
      <w:r>
        <w:rPr/>
        <w:t>Todas as monografias de TCC são contribuições para a humanidade e portanto todos os seus conteúdos são abertos e de domínio público e devem conter as suas contribuições científicas (valor agregado adicional para a humanidade por meio de criação e/ou desenvolvimento científico e/ou tecnológico). Desta forma, não serão deferidos produções de monografias que sejam meramente estudos de casos, surveys, resenhas e/ou pesquisas sobre um determinado tema que não acrescentem conhecimentos adicionais, ou seja, que contenham contribuições e/ou conclusões previamente conhecidos pela humanidade e/ou publicados por outros autores. Esta verificação cabe aos Discentes. Por isso, antes das produções das monografias, se faz necessário realizar pesquisas bibliográficas amplas de publicações de bibliografias (livros e revistas), artigos, monografias, dissertações, teses, assim como de publicações na Internet, para evitarem os riscos em investimentos errados; e defenderem e publicarem o mais breve possível as suas monografias quando estiverem prontas e aceitas pelo(a) seu(sua) Professor(a) Orientador(a).</w:t>
      </w:r>
    </w:p>
    <w:p>
      <w:pPr>
        <w:pStyle w:val="ListParagraph"/>
        <w:numPr>
          <w:ilvl w:val="0"/>
          <w:numId w:val="1"/>
        </w:numPr>
        <w:jc w:val="both"/>
        <w:rPr/>
      </w:pPr>
      <w:r>
        <w:rPr/>
        <w:t>Caso a produção de TCC seja um artigo, conforme determinação do(da) seu(sua) Professor(a) Orientador(a), este deve ser submetido antes da defesa para publicação em uma revista científica (pelo menos na Revista Aquila, científica e indexada, da UVA) e/ou um evento científico em coautoria com os(as) seus(suas) respectivos(as) Professores(as) Orientadores(as) de Monografia II e de Monografia I (se for o caso abaixo);</w:t>
      </w:r>
    </w:p>
    <w:p>
      <w:pPr>
        <w:pStyle w:val="ListParagraph"/>
        <w:numPr>
          <w:ilvl w:val="0"/>
          <w:numId w:val="1"/>
        </w:numPr>
        <w:jc w:val="both"/>
        <w:rPr/>
      </w:pPr>
      <w:r>
        <w:rPr/>
        <w:t>Caso tenha recebido alguma orientação de Professores(as) desde a disciplina de Monografia I para a produção da sua monografia, os nomes completos deles(as) devem constar como coautores nas suas produções de monografia, artigos, outras publicações derivadas e outros trabalhos derivados.</w:t>
      </w:r>
      <w:bookmarkStart w:id="0" w:name="_GoBack"/>
      <w:bookmarkEnd w:id="0"/>
      <w:r>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7b0d"/>
    <w:pPr>
      <w:widowControl/>
      <w:bidi w:val="0"/>
      <w:spacing w:lineRule="auto" w:line="240" w:before="0" w:after="0"/>
      <w:jc w:val="left"/>
    </w:pPr>
    <w:rPr>
      <w:rFonts w:ascii="Calibri" w:hAnsi="Calibri" w:cs="Times New Roman" w:eastAsia="Calibri" w:asciiTheme="minorHAns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a7b0d"/>
    <w:rPr>
      <w:color w:val="0000FF"/>
      <w:u w:val="single"/>
    </w:rPr>
  </w:style>
  <w:style w:type="character" w:styleId="TextodebaloChar" w:customStyle="1">
    <w:name w:val="Texto de balão Char"/>
    <w:basedOn w:val="DefaultParagraphFont"/>
    <w:link w:val="Textodebalo"/>
    <w:uiPriority w:val="99"/>
    <w:semiHidden/>
    <w:qFormat/>
    <w:rsid w:val="001a7b0d"/>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a7b0d"/>
    <w:pPr>
      <w:ind w:left="720" w:hanging="0"/>
    </w:pPr>
    <w:rPr/>
  </w:style>
  <w:style w:type="paragraph" w:styleId="BalloonText">
    <w:name w:val="Balloon Text"/>
    <w:basedOn w:val="Normal"/>
    <w:link w:val="TextodebaloChar"/>
    <w:uiPriority w:val="99"/>
    <w:semiHidden/>
    <w:unhideWhenUsed/>
    <w:qFormat/>
    <w:rsid w:val="001a7b0d"/>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2</Pages>
  <Words>499</Words>
  <Characters>2965</Characters>
  <CharactersWithSpaces>3449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2017-02-17T02:40:00Z</dcterms:created>
  <dc:creator>Fukuda</dc:creator>
  <dc:description/>
  <dc:language>pt-BR</dc:language>
  <cp:lastModifiedBy/>
  <dcterms:modified xsi:type="dcterms:W3CDTF">2017-12-30T15:06:12Z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