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Secullum Softwares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https://www.secullum.com.br/pt/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Fine Shape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https://www.fineshape.com.br/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ecullum.com.br/pt/" TargetMode="External"/><Relationship Id="rId8" Type="http://schemas.openxmlformats.org/officeDocument/2006/relationships/hyperlink" Target="https://www.fineshape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tF7X87MReuhlwFA+58FaEGyww==">AMUW2mWv7IBNKbHMaU/9OqagFomXznVdwkj+mMVhFRxeISyif/xc6cu66NQ0kjejHfocVWKGxnIKs4gydE7df2aCtMqMFbfKNjEZgX3GNi4Rd+vkm7A7uuxKEs6Rb2fj3zEymurQ1fsh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