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hint="default" w:ascii="Calibri" w:hAnsi="Calibri" w:cs="Calibri"/>
          <w:b/>
          <w:sz w:val="36"/>
          <w:szCs w:val="36"/>
        </w:rPr>
      </w:pPr>
      <w:r>
        <w:rPr>
          <w:rFonts w:hint="default" w:ascii="Calibri" w:hAnsi="Calibri" w:cs="Calibri"/>
          <w:b/>
          <w:sz w:val="36"/>
          <w:szCs w:val="36"/>
        </w:rPr>
        <w:t>Traceability Records</w:t>
      </w:r>
    </w:p>
    <w:p>
      <w:pPr>
        <w:widowControl w:val="0"/>
        <w:rPr>
          <w:rFonts w:hint="default" w:ascii="Calibri" w:hAnsi="Calibri" w:cs="Calibri"/>
          <w:b/>
          <w:sz w:val="36"/>
          <w:szCs w:val="36"/>
        </w:rPr>
      </w:pPr>
    </w:p>
    <w:tbl>
      <w:tblPr>
        <w:tblW w:w="58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Feb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Checked Date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eastAsia="zh-CN"/>
              </w:rPr>
            </w:pPr>
          </w:p>
        </w:tc>
      </w:tr>
    </w:tbl>
    <w:p>
      <w:pPr>
        <w:widowControl w:val="0"/>
        <w:rPr>
          <w:rFonts w:hint="default"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47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592"/>
        <w:gridCol w:w="1155"/>
        <w:gridCol w:w="3360"/>
        <w:gridCol w:w="2100"/>
        <w:gridCol w:w="1745"/>
        <w:gridCol w:w="2235"/>
        <w:gridCol w:w="226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No</w:t>
            </w:r>
          </w:p>
        </w:tc>
        <w:tc>
          <w:tcPr>
            <w:tcW w:w="115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URS</w:t>
            </w:r>
          </w:p>
        </w:tc>
        <w:tc>
          <w:tcPr>
            <w:tcW w:w="33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Description</w:t>
            </w:r>
          </w:p>
        </w:tc>
        <w:tc>
          <w:tcPr>
            <w:tcW w:w="210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SRS</w:t>
            </w:r>
          </w:p>
        </w:tc>
        <w:tc>
          <w:tcPr>
            <w:tcW w:w="17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Sequence Diagram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Class Diagram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Method Design</w:t>
            </w:r>
          </w:p>
        </w:tc>
        <w:tc>
          <w:tcPr>
            <w:tcW w:w="132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shd w:val="clear" w:color="020000" w:fill="BFBFBF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can 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SRS-01,SRS-02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SRS-03,SRS-04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SRS-05,SRS-06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SRS-07,SRS-09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r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er into the system.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eastAsia="zh-CN"/>
              </w:rPr>
              <w:tab/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SRS-11,SRS-02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SRS-03,SRS-12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SRS-13,SRS-14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SRS-15,SRS-16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SRS-17,SRS-18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SRS-19,SRS-06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SRS-07,SRS-08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SRS-20,SRS-21</w:t>
            </w:r>
          </w:p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SRS-22,SRS-23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view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</w:rPr>
              <w:t>can edit their account i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n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</w:rPr>
              <w:t>formation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SRS-25,SRS-26SRS-02,SRS-03SRS-12,SRS-13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SRS-14,SRS-15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SRS-16,SRS-17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SRS-06,SRS-07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SRS-08,SRS-20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SRS-21,SRS-22</w:t>
            </w:r>
          </w:p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SRS-27,SRS-24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SRS-28,SRS-29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delete the product from the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SRS-28,SRS-36SRS-37,SRS-38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check 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SRS-28,SRS-39SRS-40,SRS-41SRS-42,SRS-43SRS-44,SRS-45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search product by product Id or product name.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SRS-46,SRS-47SRS-48,SRS-49SRS-29,SRS-31</w:t>
            </w:r>
          </w:p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SRS-50,SRS-69SRS-70,SRS-71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SRS-48,SRS-29SRS-30,SRS-31SRS-32,SRS-33SRS-34,SRS-35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SRS-51,SRS-52SRS-53,SRS-54SRS-31,SRS-33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SRS-55,SRS-01SRS-02,SRS-03SRS-04,SRS-05SRS-06,SRS-07SRS-08,SRS-09SRS-10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l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system.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SRS-01,SRS-02SRS-03,SRS-04SRS-05,SRS-06SRS-07,SRS-08</w:t>
            </w:r>
          </w:p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SRS-09,SRS-59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SRS-60,SRS-29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delete the product from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SRS-60,SRS-36SRS-37,SRS-38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add new product to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SRS-60,SRS-29SRS-67,SRS-31SRS-62,SRS-63SRS-49,SRS-50</w:t>
            </w:r>
          </w:p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SRS-64,SRS-15SRS-65,SRS-66SRS-68,SRS-69SRS-70,SRS-71SRS-22,SRS-72SRS-73,SRS-74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view the shopping history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SRS-75,SRS-52SRS-33,SRS-31</w:t>
            </w:r>
          </w:p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SRS-53,SRS-54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search shopping history by customer or date.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SRS-76,SRS-31SRS-47,SRS-48SRS-29,SRS-02SRS-66,SRS-06SRS-07,SRS-74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3360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SRS-56,SRS-57SRS-58</w:t>
            </w:r>
            <w:bookmarkStart w:id="0" w:name="_GoBack"/>
            <w:bookmarkEnd w:id="0"/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ibri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  <w:font w:name="hom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Vijaya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vetic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  <w:pPr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u w:val="no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2014-02-12T16:46:09Z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