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82381523"/>
        <w:docPartObj>
          <w:docPartGallery w:val="Cover Pages"/>
          <w:docPartUnique/>
        </w:docPartObj>
      </w:sdtPr>
      <w:sdtEndPr>
        <w:rPr>
          <w:rFonts w:asciiTheme="minorHAnsi" w:eastAsiaTheme="minorHAnsi" w:hAnsiTheme="minorHAnsi" w:cstheme="minorBidi"/>
          <w:sz w:val="22"/>
          <w:szCs w:val="22"/>
        </w:rPr>
      </w:sdtEndPr>
      <w:sdtContent>
        <w:p w14:paraId="3B37F1D2" w14:textId="1B5CA48A" w:rsidR="00B67564" w:rsidRPr="00CB26E1" w:rsidRDefault="00B065FC">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1312" behindDoc="0" locked="0" layoutInCell="0" allowOverlap="1" wp14:anchorId="3B37F335" wp14:editId="3F833F68">
                    <wp:simplePos x="0" y="0"/>
                    <wp:positionH relativeFrom="page">
                      <wp:align>center</wp:align>
                    </wp:positionH>
                    <wp:positionV relativeFrom="page">
                      <wp:align>bottom</wp:align>
                    </wp:positionV>
                    <wp:extent cx="10546715" cy="801370"/>
                    <wp:effectExtent l="0" t="0" r="11430" b="1524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67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713F6B7" id="Rectangle 11" o:spid="_x0000_s1026" style="position:absolute;margin-left:0;margin-top:0;width:830.45pt;height:63.1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8zNPgIAALMEAAAOAAAAZHJzL2Uyb0RvYy54bWysVNtu2zAMfR+wfxD0vtrOcmmDOkWRrsOA&#10;bivW7QMUWY6FSaJGKXGyry8lN2m6AXso5gdBFMnDw5svr3bWsK3CoMHVvDorOVNOQqPduuY/vt++&#10;O+csROEaYcCpmu9V4FeLt28uez9XI+jANAoZgbgw733Nuxj9vCiC7JQV4Qy8cqRsAa2IJOK6aFD0&#10;hG5NMSrLadEDNh5BqhDo9WZQ8kXGb1sl49e2DSoyU3PiFvOJ+Vyls1hcivkahe+0fKIhXsHCCu0o&#10;6BHqRkTBNqj/grJaIgRo45kEW0DbaqlyDpRNVf6RzUMnvMq5UHGCP5Yp/D9Y+WV7j0w3NZ9y5oSl&#10;Fn2jogm3NopVVapP78OczB78PaYMg78D+TMwB8uOzNQ1IvSdEg2xyvbFC4ckBHJlq/4zNAQvNhFy&#10;qXYt2gRIRWC73JH9sSNqF5mkx6qcjKezasKZJOV5Wb2f5Z4VYn5w9xjiRwWWpUvNkdhneLG9C5Ho&#10;k+nBJNMHo5tbbUwW0pippUG2FTQgQkrl4iS7m40lvsN7VaZvmBV6p4ka3g9U8rQmmBwtnEYwjvU1&#10;v5iMBtQXuqPbv6PPJq8NbnWk5TLaptI9p5Ca9cE1efSj0Ga4U52MowQODRsav4JmT81DGDaHNp0u&#10;HeBvznrampqHXxuBijPzydEAXFTjcVqzLIwnsxEJeKpZnWqEkwRV88jZcF3GYTU3HvW6o0hV7oWD&#10;axqaVud2Jn4DqyeytBm57k9bnFbvVM5Wz/+axSMAAAD//wMAUEsDBBQABgAIAAAAIQCMh9it2gAA&#10;AAYBAAAPAAAAZHJzL2Rvd25yZXYueG1sTI/BbsIwEETvlfgHa5F6KzaparVpHARU9F7gwNHEixMR&#10;r6PYgZSvr+mlvaxmNauZt8VidC27YB8aTwrmMwEMqfKmIatgv9s8vQILUZPRrSdU8I0BFuXkodC5&#10;8Vf6wss2WpZCKORaQR1jl3MeqhqdDjPfISXv5HunY1p7y02vrynctTwTQnKnG0oNte5wXWN13g5O&#10;wcvtYG87erZy9ZkNZr7ef2wOQqnH6bh8BxZxjH/HcMdP6FAmpqMfyATWKkiPxN9596QUb8COSWUy&#10;A14W/D9++QMAAP//AwBQSwECLQAUAAYACAAAACEAtoM4kv4AAADhAQAAEwAAAAAAAAAAAAAAAAAA&#10;AAAAW0NvbnRlbnRfVHlwZXNdLnhtbFBLAQItABQABgAIAAAAIQA4/SH/1gAAAJQBAAALAAAAAAAA&#10;AAAAAAAAAC8BAABfcmVscy8ucmVsc1BLAQItABQABgAIAAAAIQBk38zNPgIAALMEAAAOAAAAAAAA&#10;AAAAAAAAAC4CAABkcnMvZTJvRG9jLnhtbFBLAQItABQABgAIAAAAIQCMh9it2gAAAAYBAAAPAAAA&#10;AAAAAAAAAAAAAJgEAABkcnMvZG93bnJldi54bWxQSwUGAAAAAAQABADzAAAAnwUAAAAA&#10;" o:allowincell="f" fillcolor="#4472c4 [3208]" strokecolor="#2f5496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4384" behindDoc="0" locked="0" layoutInCell="0" allowOverlap="1" wp14:anchorId="3B37F336" wp14:editId="7CA7B000">
                    <wp:simplePos x="0" y="0"/>
                    <wp:positionH relativeFrom="leftMargin">
                      <wp:align>center</wp:align>
                    </wp:positionH>
                    <wp:positionV relativeFrom="page">
                      <wp:align>center</wp:align>
                    </wp:positionV>
                    <wp:extent cx="90805" cy="8146415"/>
                    <wp:effectExtent l="0" t="0" r="23495" b="1143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464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8B33779" id="Rectangle 14" o:spid="_x0000_s1026" style="position:absolute;margin-left:0;margin-top:0;width:7.15pt;height:641.45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hlPwIAAK0EAAAOAAAAZHJzL2Uyb0RvYy54bWysVNuO0zAQfUfiHyy/0yRVupeo6WrVZRHS&#10;AisWPsB1nMbCN8Zu0/L1jO1uycLbijxYnovPXM5MljcHrchegJfWtLSalZQIw20nzbal37/dv7ui&#10;xAdmOqasES09Ck9vVm/fLEfXiLkdrOoEEAQxvhldS4cQXFMUng9CMz+zThg09hY0CyjCtuiAjYiu&#10;VTEvy4titNA5sFx4j9q7bKSrhN/3gocvfe9FIKqlmFtIJ6RzE89itWTNFpgbJD+lwV6RhWbSYNAz&#10;1B0LjOxA/gOlJQfrbR9m3OrC9r3kItWA1VTlX9U8DcyJVAs2x7tzm/z/g+Wf949AZNfSmhLDNFL0&#10;FZvGzFYJUtWxP6PzDbo9uUeIFXr3YPkPT4xdD+gmbgHsOAjWYVZV9C9ePIiCx6dkM36yHcKzXbCp&#10;VYcedATEJpBDYuR4ZkQcAuGovC6vygUlHC1XVX1RV4sUgTXPjx348EFYTeKlpYC5J3C2f/AhJsOa&#10;Z5eUvFWyu5dKJSEOmVgrIHuG47HZVump2mnMNOuqMn55SlCPs5T1SYXYaU4jRIrkp+jKkBELWMwX&#10;CfWF7fwsozHOhQnZbxr9cvHa4FoGXCslNfZtUkKk6b3p0tAHJlW+Yx3KnHiLVGXKN7Y7Im1g887g&#10;juNlsPCLkhH3paX+546BoER9NEj9dVXXccGSUC8u5yjA1LKZWpjhCNXSQEm+rkNeyp0DuR0wUubC&#10;2Fscl14mKuMo5axOyeJOpL6f9jcu3VROXn/+MqvfAAAA//8DAFBLAwQUAAYACAAAACEA2Gb1Y98A&#10;AAAFAQAADwAAAGRycy9kb3ducmV2LnhtbEyPQU/CQBCF7yb+h82YeDGwtRKCtVtCFKOQcABMlNvS&#10;HdrG7mzTXaDw6x286GVeJm/y3jfpuLO1OGDrK0cK7vsRCKTcmYoKBR/r194IhA+ajK4doYITehhn&#10;11epTow70hIPq1AIDiGfaAVlCE0ipc9LtNr3XYPE3s61Vgde20KaVh853NYyjqKhtLoibih1g88l&#10;5t+rvVVw3r0Us+niczOwX+/z9WKDb6fpnVK3N93kCUTALvwdwwWf0SFjpq3bk/GiVsCPhN958QYP&#10;ILas8Sh+BJml8j999gMAAP//AwBQSwECLQAUAAYACAAAACEAtoM4kv4AAADhAQAAEwAAAAAAAAAA&#10;AAAAAAAAAAAAW0NvbnRlbnRfVHlwZXNdLnhtbFBLAQItABQABgAIAAAAIQA4/SH/1gAAAJQBAAAL&#10;AAAAAAAAAAAAAAAAAC8BAABfcmVscy8ucmVsc1BLAQItABQABgAIAAAAIQA9IchlPwIAAK0EAAAO&#10;AAAAAAAAAAAAAAAAAC4CAABkcnMvZTJvRG9jLnhtbFBLAQItABQABgAIAAAAIQDYZvVj3wAAAAUB&#10;AAAPAAAAAAAAAAAAAAAAAJkEAABkcnMvZG93bnJldi54bWxQSwUGAAAAAAQABADzAAAApQUAAAAA&#10;" o:allowincell="f" fillcolor="white [3212]" strokecolor="#2f5496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B37F337" wp14:editId="61E6B270">
                    <wp:simplePos x="0" y="0"/>
                    <wp:positionH relativeFrom="rightMargin">
                      <wp:align>center</wp:align>
                    </wp:positionH>
                    <wp:positionV relativeFrom="page">
                      <wp:align>center</wp:align>
                    </wp:positionV>
                    <wp:extent cx="90805" cy="8146415"/>
                    <wp:effectExtent l="0" t="0" r="23495" b="1143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464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45B0A1" id="Rectangle 13" o:spid="_x0000_s1026" style="position:absolute;margin-left:0;margin-top:0;width:7.15pt;height:641.45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7RQAIAAK0EAAAOAAAAZHJzL2Uyb0RvYy54bWysVN1u0zAUvkfiHSzf0ySl3bqo6TR1DCEN&#10;mBg8gOs4jYXtY2y3aXn6HdtdyeBuIheWz4+/8/Odk+X1QSuyF85LMA2tJiUlwnBopdk29Mf3u3cL&#10;SnxgpmUKjGjoUXh6vXr7ZjnYWkyhB9UKRxDE+HqwDe1DsHVReN4LzfwErDBo7MBpFlB026J1bEB0&#10;rYppWV4UA7jWOuDCe9TeZiNdJfyuEzx87TovAlENxdxCOl06N/EsVktWbx2zveSnNNgrstBMGgx6&#10;hrplgZGdk/9AackdeOjChIMuoOskF6kGrKYq/6rmsWdWpFqwOd6e2+T/Hyz/sn9wRLYNnVJimEaK&#10;vmHTmNkqQar3sT+D9TW6PdoHFyv09h74T08MrHt0EzfOwdAL1mJWVfQvXjyIgsenZDN8hhbh2S5A&#10;atWhczoCYhPIITFyPDMiDoFwVF6Vi3JOCUfLoppdzKp5isDq58fW+fBRgCbx0lCHuSdwtr/3ISbD&#10;6meXlDwo2d5JpZIQh0yslSN7huOx2VbpqdppzDTrqjJ+eUpQj7OU9UmF2GlOI0SK5MfoypABC5hP&#10;5wn1he38LKMxzoUJ2W8c/XL+2uBaBlwrJTX2bVRCpOmDadPQByZVvmMdypx4i1RlyjfQHpE2B3ln&#10;cMfx0oP7TcmA+9JQ/2vHnKBEfTJI/VU1m8UFS8JsfjlFwY0tm7GFGY5QDQ2U5Os65KXcWSe3PUbK&#10;XBi4wXHpZKIyjlLO6pQs7kTq+2l/49KN5eT15y+zegIAAP//AwBQSwMEFAAGAAgAAAAhANhm9WPf&#10;AAAABQEAAA8AAABkcnMvZG93bnJldi54bWxMj0FPwkAQhe8m/ofNmHgxsLUSgrVbQhSjkHAATJTb&#10;0h3axu5s012g8OsdvOhlXiZv8t436biztThg6ytHCu77EQik3JmKCgUf69feCIQPmoyuHaGCE3oY&#10;Z9dXqU6MO9ISD6tQCA4hn2gFZQhNIqXPS7Ta912DxN7OtVYHXttCmlYfOdzWMo6iobS6Im4odYPP&#10;Jebfq71VcN69FLPp4nMzsF/v8/Vig2+n6Z1Stzfd5AlEwC78HcMFn9EhY6at25PxolbAj4TfefEG&#10;DyC2rPEofgSZpfI/ffYDAAD//wMAUEsBAi0AFAAGAAgAAAAhALaDOJL+AAAA4QEAABMAAAAAAAAA&#10;AAAAAAAAAAAAAFtDb250ZW50X1R5cGVzXS54bWxQSwECLQAUAAYACAAAACEAOP0h/9YAAACUAQAA&#10;CwAAAAAAAAAAAAAAAAAvAQAAX3JlbHMvLnJlbHNQSwECLQAUAAYACAAAACEAyZgO0UACAACtBAAA&#10;DgAAAAAAAAAAAAAAAAAuAgAAZHJzL2Uyb0RvYy54bWxQSwECLQAUAAYACAAAACEA2Gb1Y98AAAAF&#10;AQAADwAAAAAAAAAAAAAAAACaBAAAZHJzL2Rvd25yZXYueG1sUEsFBgAAAAAEAAQA8wAAAKYFAAAA&#10;AA==&#10;" o:allowincell="f" fillcolor="white [3212]" strokecolor="#2f5496 [2408]">
                    <w10:wrap anchorx="margin" anchory="page"/>
                  </v:rect>
                </w:pict>
              </mc:Fallback>
            </mc:AlternateContent>
          </w:r>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8C0E50">
                <w:rPr>
                  <w:rFonts w:asciiTheme="majorHAnsi" w:eastAsiaTheme="majorEastAsia" w:hAnsiTheme="majorHAnsi" w:cstheme="majorBidi"/>
                  <w:sz w:val="56"/>
                  <w:szCs w:val="56"/>
                </w:rPr>
                <w:t>Treasury Confirmation Process</w:t>
              </w:r>
              <w:r w:rsidR="00052E7A">
                <w:rPr>
                  <w:rFonts w:asciiTheme="majorHAnsi" w:eastAsiaTheme="majorEastAsia" w:hAnsiTheme="majorHAnsi" w:cstheme="majorBidi"/>
                  <w:sz w:val="56"/>
                  <w:szCs w:val="56"/>
                </w:rPr>
                <w:t xml:space="preserve"> (</w:t>
              </w:r>
              <w:r w:rsidR="008C0E50">
                <w:rPr>
                  <w:rFonts w:asciiTheme="majorHAnsi" w:eastAsiaTheme="majorEastAsia" w:hAnsiTheme="majorHAnsi" w:cstheme="majorBidi"/>
                  <w:sz w:val="56"/>
                  <w:szCs w:val="56"/>
                </w:rPr>
                <w:t>TCP</w:t>
              </w:r>
              <w:r w:rsidR="00052E7A">
                <w:rPr>
                  <w:rFonts w:asciiTheme="majorHAnsi" w:eastAsiaTheme="majorEastAsia" w:hAnsiTheme="majorHAnsi" w:cstheme="majorBidi"/>
                  <w:sz w:val="56"/>
                  <w:szCs w:val="56"/>
                </w:rPr>
                <w:t>)</w:t>
              </w:r>
            </w:sdtContent>
          </w:sdt>
        </w:p>
        <w:p w14:paraId="3B37F1D3" w14:textId="77777777" w:rsidR="00B67564" w:rsidRDefault="00B67564">
          <w:pPr>
            <w:pStyle w:val="NoSpacing"/>
          </w:pPr>
        </w:p>
        <w:p w14:paraId="3B37F1D4" w14:textId="77777777" w:rsidR="0038137A" w:rsidRDefault="0038137A">
          <w:pPr>
            <w:pStyle w:val="NoSpacing"/>
          </w:pPr>
        </w:p>
        <w:p w14:paraId="3B37F1D5" w14:textId="77777777" w:rsidR="0038137A" w:rsidRDefault="0038137A">
          <w:pPr>
            <w:pStyle w:val="NoSpacing"/>
          </w:pPr>
        </w:p>
        <w:p w14:paraId="646B5CAB" w14:textId="42E4A05E" w:rsidR="005F6C68" w:rsidRDefault="005F6C68" w:rsidP="00DD6BE4">
          <w:pPr>
            <w:jc w:val="both"/>
          </w:pPr>
        </w:p>
        <w:p w14:paraId="57E9171B" w14:textId="6510F6CD" w:rsidR="00052E7A" w:rsidRDefault="00052E7A" w:rsidP="00DD6BE4">
          <w:pPr>
            <w:jc w:val="both"/>
          </w:pPr>
        </w:p>
        <w:p w14:paraId="56D9134D" w14:textId="77777777" w:rsidR="00052E7A" w:rsidRDefault="00052E7A" w:rsidP="00DD6BE4">
          <w:pPr>
            <w:jc w:val="both"/>
          </w:pPr>
        </w:p>
        <w:p w14:paraId="1BCDA525" w14:textId="77777777" w:rsidR="00052E7A" w:rsidRPr="00F34633" w:rsidRDefault="00052E7A" w:rsidP="00052E7A">
          <w:pPr>
            <w:rPr>
              <w:b/>
              <w:bCs/>
            </w:rPr>
          </w:pPr>
          <w:bookmarkStart w:id="0" w:name="_Toc485764692"/>
          <w:bookmarkStart w:id="1" w:name="_Toc17795921"/>
          <w:r w:rsidRPr="00052E7A">
            <w:rPr>
              <w:b/>
              <w:bCs/>
            </w:rPr>
            <w:t>Purpose of the document</w:t>
          </w:r>
          <w:bookmarkEnd w:id="0"/>
          <w:bookmarkEnd w:id="1"/>
        </w:p>
        <w:p w14:paraId="69652917" w14:textId="48F0955E" w:rsidR="00985F6D" w:rsidRPr="00534D38" w:rsidRDefault="00AD1D24" w:rsidP="00985F6D">
          <w:pPr>
            <w:spacing w:line="240" w:lineRule="auto"/>
            <w:rPr>
              <w:rFonts w:cstheme="minorHAnsi"/>
              <w:color w:val="202124"/>
              <w:shd w:val="clear" w:color="auto" w:fill="FFFFFF"/>
            </w:rPr>
          </w:pPr>
          <w:r w:rsidRPr="00AD1D24">
            <w:rPr>
              <w:rFonts w:ascii="Calibri" w:eastAsia="Times New Roman" w:hAnsi="Calibri" w:cs="Calibri"/>
              <w:color w:val="000000"/>
            </w:rPr>
            <w:t xml:space="preserve">The </w:t>
          </w:r>
          <w:r>
            <w:rPr>
              <w:rFonts w:ascii="Calibri" w:eastAsia="Times New Roman" w:hAnsi="Calibri" w:cs="Calibri"/>
              <w:color w:val="000000"/>
            </w:rPr>
            <w:t>Treasury Confirmation Process</w:t>
          </w:r>
          <w:r w:rsidRPr="00AD1D24">
            <w:rPr>
              <w:rFonts w:ascii="Calibri" w:eastAsia="Times New Roman" w:hAnsi="Calibri" w:cs="Calibri"/>
              <w:color w:val="000000"/>
            </w:rPr>
            <w:t xml:space="preserve"> Document outlines </w:t>
          </w:r>
          <w:r w:rsidR="00534D38">
            <w:rPr>
              <w:rFonts w:cstheme="minorHAnsi"/>
              <w:color w:val="202124"/>
              <w:shd w:val="clear" w:color="auto" w:fill="FFFFFF"/>
            </w:rPr>
            <w:t>any Federal Agency (A</w:t>
          </w:r>
          <w:r w:rsidR="00534D38" w:rsidRPr="00534D38">
            <w:rPr>
              <w:rFonts w:cstheme="minorHAnsi"/>
              <w:color w:val="202124"/>
              <w:shd w:val="clear" w:color="auto" w:fill="FFFFFF"/>
            </w:rPr>
            <w:t>gency</w:t>
          </w:r>
          <w:r w:rsidR="00534D38">
            <w:rPr>
              <w:rFonts w:cstheme="minorHAnsi"/>
              <w:color w:val="202124"/>
              <w:shd w:val="clear" w:color="auto" w:fill="FFFFFF"/>
            </w:rPr>
            <w:t>)</w:t>
          </w:r>
          <w:r w:rsidR="00534D38" w:rsidRPr="00534D38">
            <w:rPr>
              <w:rFonts w:cstheme="minorHAnsi"/>
              <w:color w:val="202124"/>
              <w:shd w:val="clear" w:color="auto" w:fill="FFFFFF"/>
            </w:rPr>
            <w:t xml:space="preserve"> </w:t>
          </w:r>
          <w:r w:rsidR="00985F6D">
            <w:rPr>
              <w:rFonts w:cstheme="minorHAnsi"/>
              <w:color w:val="202124"/>
              <w:shd w:val="clear" w:color="auto" w:fill="FFFFFF"/>
            </w:rPr>
            <w:t>Treasury Confirmation Process</w:t>
          </w:r>
        </w:p>
        <w:p w14:paraId="34CE5829" w14:textId="77777777" w:rsidR="00985F6D" w:rsidRPr="00AD1D24" w:rsidRDefault="00985F6D" w:rsidP="00534D38">
          <w:pPr>
            <w:spacing w:line="240" w:lineRule="auto"/>
            <w:rPr>
              <w:rFonts w:ascii="Times New Roman" w:eastAsia="Times New Roman" w:hAnsi="Times New Roman" w:cs="Times New Roman"/>
              <w:sz w:val="24"/>
              <w:szCs w:val="24"/>
            </w:rPr>
          </w:pPr>
        </w:p>
        <w:p w14:paraId="3B37F1DB" w14:textId="77777777" w:rsidR="009E1E6F" w:rsidRDefault="009E1E6F"/>
        <w:p w14:paraId="7779FD2B" w14:textId="5A4EBBDA" w:rsidR="00052E7A" w:rsidRDefault="00052E7A"/>
        <w:p w14:paraId="19899155" w14:textId="77777777" w:rsidR="00052E7A" w:rsidRDefault="00052E7A"/>
        <w:p w14:paraId="75D53F7F" w14:textId="77777777" w:rsidR="00052E7A" w:rsidRDefault="00052E7A"/>
        <w:p w14:paraId="3B37F1E0" w14:textId="77777777" w:rsidR="009E1E6F" w:rsidRDefault="009E1E6F"/>
        <w:p w14:paraId="3B37F1E1" w14:textId="77777777" w:rsidR="009E1E6F" w:rsidRPr="005F77E3" w:rsidRDefault="009E1E6F" w:rsidP="009E1E6F">
          <w:pPr>
            <w:rPr>
              <w:color w:val="A6A6A6" w:themeColor="background1" w:themeShade="A6"/>
              <w:sz w:val="16"/>
              <w:szCs w:val="16"/>
            </w:rPr>
          </w:pPr>
          <w:r w:rsidRPr="005F77E3">
            <w:rPr>
              <w:color w:val="A6A6A6" w:themeColor="background1" w:themeShade="A6"/>
              <w:sz w:val="16"/>
              <w:szCs w:val="16"/>
            </w:rPr>
            <w:t xml:space="preserve">“This document has been prepared by ETASC BPM &amp; RPA CoE for consumption by partners within the bank in support of their Robotics Process Automation efforts. If the baseline templates need to be altered to suit your program’s needs, the changes have to be carefully vetted by business, technology and ETASC CoE. All suggestions on enhancements to this template should be directed to DG RPA-Team.”  </w:t>
          </w:r>
        </w:p>
        <w:p w14:paraId="3B37F1E2" w14:textId="77777777" w:rsidR="00CB53EA" w:rsidRDefault="00CB53EA"/>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2336"/>
            <w:gridCol w:w="7014"/>
          </w:tblGrid>
          <w:tr w:rsidR="00CB53EA" w14:paraId="3B37F1E5" w14:textId="77777777" w:rsidTr="001F4C36">
            <w:tc>
              <w:tcPr>
                <w:tcW w:w="1249" w:type="pct"/>
              </w:tcPr>
              <w:p w14:paraId="3B37F1E3" w14:textId="77777777" w:rsidR="00CB53EA" w:rsidRPr="000C0D86" w:rsidRDefault="00CB53EA" w:rsidP="002918CE">
                <w:pPr>
                  <w:spacing w:before="57" w:after="57"/>
                  <w:jc w:val="right"/>
                  <w:rPr>
                    <w:rFonts w:ascii="Trebuchet MS" w:hAnsi="Trebuchet MS"/>
                    <w:b/>
                    <w:bCs/>
                  </w:rPr>
                </w:pPr>
                <w:r w:rsidRPr="000C0D86">
                  <w:rPr>
                    <w:rFonts w:ascii="Trebuchet MS" w:hAnsi="Trebuchet MS"/>
                    <w:b/>
                    <w:bCs/>
                  </w:rPr>
                  <w:t>Document Name:</w:t>
                </w:r>
              </w:p>
            </w:tc>
            <w:tc>
              <w:tcPr>
                <w:tcW w:w="3751" w:type="pct"/>
              </w:tcPr>
              <w:p w14:paraId="3B37F1E4" w14:textId="103F4226" w:rsidR="00CB53EA" w:rsidRPr="000C0D86" w:rsidRDefault="002228C3" w:rsidP="002918CE">
                <w:pPr>
                  <w:spacing w:before="57" w:after="57"/>
                  <w:rPr>
                    <w:rFonts w:ascii="Trebuchet MS" w:hAnsi="Trebuchet MS"/>
                    <w:b/>
                    <w:bCs/>
                  </w:rPr>
                </w:pPr>
                <w:r>
                  <w:rPr>
                    <w:rFonts w:ascii="Trebuchet MS" w:hAnsi="Trebuchet MS"/>
                    <w:b/>
                    <w:bCs/>
                  </w:rPr>
                  <w:t>Treasury Confirmation Process (TCP)</w:t>
                </w:r>
              </w:p>
            </w:tc>
          </w:tr>
          <w:tr w:rsidR="00CB53EA" w14:paraId="3B37F1E8" w14:textId="77777777" w:rsidTr="001F4C36">
            <w:tc>
              <w:tcPr>
                <w:tcW w:w="1249" w:type="pct"/>
              </w:tcPr>
              <w:p w14:paraId="3B37F1E6" w14:textId="77777777" w:rsidR="00CB53EA" w:rsidRPr="000C0D86" w:rsidRDefault="00CB53EA" w:rsidP="002918CE">
                <w:pPr>
                  <w:spacing w:before="57" w:after="57"/>
                  <w:jc w:val="right"/>
                  <w:rPr>
                    <w:rFonts w:ascii="Trebuchet MS" w:hAnsi="Trebuchet MS"/>
                    <w:b/>
                    <w:bCs/>
                  </w:rPr>
                </w:pPr>
                <w:r w:rsidRPr="000C0D86">
                  <w:rPr>
                    <w:rFonts w:ascii="Trebuchet MS" w:hAnsi="Trebuchet MS"/>
                    <w:b/>
                    <w:bCs/>
                  </w:rPr>
                  <w:t>Project Name:</w:t>
                </w:r>
              </w:p>
            </w:tc>
            <w:tc>
              <w:tcPr>
                <w:tcW w:w="3751" w:type="pct"/>
              </w:tcPr>
              <w:p w14:paraId="3B37F1E7" w14:textId="1765D987" w:rsidR="00CB53EA" w:rsidRPr="000C0D86" w:rsidRDefault="00AD1D24" w:rsidP="002918CE">
                <w:pPr>
                  <w:spacing w:before="57" w:after="57"/>
                  <w:rPr>
                    <w:rFonts w:ascii="Trebuchet MS" w:hAnsi="Trebuchet MS"/>
                    <w:b/>
                    <w:bCs/>
                  </w:rPr>
                </w:pPr>
                <w:r>
                  <w:rPr>
                    <w:rFonts w:ascii="Trebuchet MS" w:hAnsi="Trebuchet MS"/>
                    <w:b/>
                    <w:bCs/>
                  </w:rPr>
                  <w:t>Treasury Confirmation</w:t>
                </w:r>
              </w:p>
            </w:tc>
          </w:tr>
        </w:tbl>
        <w:p w14:paraId="3B37F1EC" w14:textId="77777777" w:rsidR="00CB53EA" w:rsidRDefault="00CB53EA" w:rsidP="00CB53EA"/>
        <w:p w14:paraId="3B37F237" w14:textId="77777777" w:rsidR="00F0444E" w:rsidRPr="005F6C68" w:rsidRDefault="00EE556D" w:rsidP="00CB53EA">
          <w:r w:rsidRPr="005F6C68">
            <w:tab/>
          </w:r>
          <w:r w:rsidRPr="005F6C68">
            <w:tab/>
          </w:r>
          <w:r w:rsidRPr="005F6C68">
            <w:tab/>
          </w:r>
          <w:r w:rsidRPr="005F6C68">
            <w:tab/>
          </w:r>
          <w:r w:rsidRPr="005F6C68">
            <w:tab/>
            <w:t xml:space="preserve"> </w:t>
          </w:r>
          <w:r w:rsidR="00CB53EA" w:rsidRPr="005F6C68">
            <w:t xml:space="preserve"> </w:t>
          </w:r>
        </w:p>
        <w:p w14:paraId="33B6653C" w14:textId="77777777" w:rsidR="00736FE3" w:rsidRDefault="00736FE3" w:rsidP="00736FE3">
          <w:r>
            <w:br w:type="column"/>
          </w:r>
        </w:p>
      </w:sdtContent>
    </w:sdt>
    <w:sdt>
      <w:sdtPr>
        <w:rPr>
          <w:rFonts w:asciiTheme="minorHAnsi" w:eastAsiaTheme="minorHAnsi" w:hAnsiTheme="minorHAnsi" w:cstheme="minorBidi"/>
          <w:b w:val="0"/>
          <w:bCs w:val="0"/>
          <w:color w:val="auto"/>
          <w:sz w:val="22"/>
          <w:szCs w:val="22"/>
        </w:rPr>
        <w:id w:val="82381583"/>
        <w:docPartObj>
          <w:docPartGallery w:val="Table of Contents"/>
          <w:docPartUnique/>
        </w:docPartObj>
      </w:sdtPr>
      <w:sdtEndPr/>
      <w:sdtContent>
        <w:p w14:paraId="3B37F247" w14:textId="68EBA8C4" w:rsidR="0038137A" w:rsidRDefault="0038137A">
          <w:pPr>
            <w:pStyle w:val="TOCHeading"/>
          </w:pPr>
          <w:r>
            <w:t>Table of Contents</w:t>
          </w:r>
        </w:p>
        <w:p w14:paraId="59565D02" w14:textId="77777777" w:rsidR="00052E7A" w:rsidRDefault="00052E7A">
          <w:pPr>
            <w:pStyle w:val="TOC1"/>
            <w:tabs>
              <w:tab w:val="left" w:pos="660"/>
              <w:tab w:val="right" w:leader="dot" w:pos="9350"/>
            </w:tabs>
          </w:pPr>
        </w:p>
        <w:p w14:paraId="05FD1A1D" w14:textId="66EDA583" w:rsidR="00E447A8" w:rsidRDefault="00337855">
          <w:pPr>
            <w:pStyle w:val="TOC1"/>
            <w:tabs>
              <w:tab w:val="left" w:pos="660"/>
              <w:tab w:val="right" w:leader="dot" w:pos="9350"/>
            </w:tabs>
            <w:rPr>
              <w:rFonts w:asciiTheme="minorHAnsi" w:hAnsiTheme="minorHAnsi"/>
              <w:noProof/>
            </w:rPr>
          </w:pPr>
          <w:r>
            <w:fldChar w:fldCharType="begin"/>
          </w:r>
          <w:r>
            <w:instrText xml:space="preserve"> TOC \o "1-3" \h \z \u </w:instrText>
          </w:r>
          <w:r>
            <w:fldChar w:fldCharType="separate"/>
          </w:r>
          <w:hyperlink w:anchor="_Toc99369876" w:history="1">
            <w:r w:rsidR="00E447A8" w:rsidRPr="0090631D">
              <w:rPr>
                <w:rStyle w:val="Hyperlink"/>
                <w:noProof/>
              </w:rPr>
              <w:t>1.0</w:t>
            </w:r>
            <w:r w:rsidR="00E447A8">
              <w:rPr>
                <w:rFonts w:asciiTheme="minorHAnsi" w:hAnsiTheme="minorHAnsi"/>
                <w:noProof/>
              </w:rPr>
              <w:tab/>
            </w:r>
            <w:r w:rsidR="00E447A8" w:rsidRPr="0090631D">
              <w:rPr>
                <w:rStyle w:val="Hyperlink"/>
                <w:rFonts w:ascii="Calibri" w:hAnsi="Calibri" w:cs="Calibri"/>
                <w:noProof/>
              </w:rPr>
              <w:t>Introduction</w:t>
            </w:r>
            <w:r w:rsidR="00E447A8">
              <w:rPr>
                <w:noProof/>
                <w:webHidden/>
              </w:rPr>
              <w:tab/>
            </w:r>
            <w:r w:rsidR="00E447A8">
              <w:rPr>
                <w:noProof/>
                <w:webHidden/>
              </w:rPr>
              <w:fldChar w:fldCharType="begin"/>
            </w:r>
            <w:r w:rsidR="00E447A8">
              <w:rPr>
                <w:noProof/>
                <w:webHidden/>
              </w:rPr>
              <w:instrText xml:space="preserve"> PAGEREF _Toc99369876 \h </w:instrText>
            </w:r>
            <w:r w:rsidR="00E447A8">
              <w:rPr>
                <w:noProof/>
                <w:webHidden/>
              </w:rPr>
            </w:r>
            <w:r w:rsidR="00E447A8">
              <w:rPr>
                <w:noProof/>
                <w:webHidden/>
              </w:rPr>
              <w:fldChar w:fldCharType="separate"/>
            </w:r>
            <w:r w:rsidR="00E447A8">
              <w:rPr>
                <w:noProof/>
                <w:webHidden/>
              </w:rPr>
              <w:t>3</w:t>
            </w:r>
            <w:r w:rsidR="00E447A8">
              <w:rPr>
                <w:noProof/>
                <w:webHidden/>
              </w:rPr>
              <w:fldChar w:fldCharType="end"/>
            </w:r>
          </w:hyperlink>
        </w:p>
        <w:p w14:paraId="59DF6DAD" w14:textId="4D83580E" w:rsidR="00E447A8" w:rsidRDefault="00E447A8">
          <w:pPr>
            <w:pStyle w:val="TOC3"/>
            <w:tabs>
              <w:tab w:val="right" w:leader="dot" w:pos="9350"/>
            </w:tabs>
            <w:rPr>
              <w:rFonts w:asciiTheme="minorHAnsi" w:hAnsiTheme="minorHAnsi"/>
              <w:noProof/>
              <w:sz w:val="22"/>
            </w:rPr>
          </w:pPr>
          <w:hyperlink w:anchor="_Toc99369877" w:history="1">
            <w:r w:rsidRPr="0090631D">
              <w:rPr>
                <w:rStyle w:val="Hyperlink"/>
                <w:noProof/>
              </w:rPr>
              <w:t>Objectives</w:t>
            </w:r>
            <w:r>
              <w:rPr>
                <w:noProof/>
                <w:webHidden/>
              </w:rPr>
              <w:tab/>
            </w:r>
            <w:r>
              <w:rPr>
                <w:noProof/>
                <w:webHidden/>
              </w:rPr>
              <w:fldChar w:fldCharType="begin"/>
            </w:r>
            <w:r>
              <w:rPr>
                <w:noProof/>
                <w:webHidden/>
              </w:rPr>
              <w:instrText xml:space="preserve"> PAGEREF _Toc99369877 \h </w:instrText>
            </w:r>
            <w:r>
              <w:rPr>
                <w:noProof/>
                <w:webHidden/>
              </w:rPr>
            </w:r>
            <w:r>
              <w:rPr>
                <w:noProof/>
                <w:webHidden/>
              </w:rPr>
              <w:fldChar w:fldCharType="separate"/>
            </w:r>
            <w:r>
              <w:rPr>
                <w:noProof/>
                <w:webHidden/>
              </w:rPr>
              <w:t>3</w:t>
            </w:r>
            <w:r>
              <w:rPr>
                <w:noProof/>
                <w:webHidden/>
              </w:rPr>
              <w:fldChar w:fldCharType="end"/>
            </w:r>
          </w:hyperlink>
        </w:p>
        <w:p w14:paraId="6B7F66F4" w14:textId="08360386" w:rsidR="00E447A8" w:rsidRDefault="00E447A8">
          <w:pPr>
            <w:pStyle w:val="TOC3"/>
            <w:tabs>
              <w:tab w:val="right" w:leader="dot" w:pos="9350"/>
            </w:tabs>
            <w:rPr>
              <w:rFonts w:asciiTheme="minorHAnsi" w:hAnsiTheme="minorHAnsi"/>
              <w:noProof/>
              <w:sz w:val="22"/>
            </w:rPr>
          </w:pPr>
          <w:hyperlink w:anchor="_Toc99369878" w:history="1">
            <w:r w:rsidRPr="0090631D">
              <w:rPr>
                <w:rStyle w:val="Hyperlink"/>
                <w:noProof/>
              </w:rPr>
              <w:t>Process Key Contacts</w:t>
            </w:r>
            <w:r>
              <w:rPr>
                <w:noProof/>
                <w:webHidden/>
              </w:rPr>
              <w:tab/>
            </w:r>
            <w:r>
              <w:rPr>
                <w:noProof/>
                <w:webHidden/>
              </w:rPr>
              <w:fldChar w:fldCharType="begin"/>
            </w:r>
            <w:r>
              <w:rPr>
                <w:noProof/>
                <w:webHidden/>
              </w:rPr>
              <w:instrText xml:space="preserve"> PAGEREF _Toc99369878 \h </w:instrText>
            </w:r>
            <w:r>
              <w:rPr>
                <w:noProof/>
                <w:webHidden/>
              </w:rPr>
            </w:r>
            <w:r>
              <w:rPr>
                <w:noProof/>
                <w:webHidden/>
              </w:rPr>
              <w:fldChar w:fldCharType="separate"/>
            </w:r>
            <w:r>
              <w:rPr>
                <w:noProof/>
                <w:webHidden/>
              </w:rPr>
              <w:t>3</w:t>
            </w:r>
            <w:r>
              <w:rPr>
                <w:noProof/>
                <w:webHidden/>
              </w:rPr>
              <w:fldChar w:fldCharType="end"/>
            </w:r>
          </w:hyperlink>
        </w:p>
        <w:p w14:paraId="119D8811" w14:textId="4F081FC9" w:rsidR="00E447A8" w:rsidRDefault="00E447A8">
          <w:pPr>
            <w:pStyle w:val="TOC1"/>
            <w:tabs>
              <w:tab w:val="left" w:pos="660"/>
              <w:tab w:val="right" w:leader="dot" w:pos="9350"/>
            </w:tabs>
            <w:rPr>
              <w:rFonts w:asciiTheme="minorHAnsi" w:hAnsiTheme="minorHAnsi"/>
              <w:noProof/>
            </w:rPr>
          </w:pPr>
          <w:hyperlink w:anchor="_Toc99369879" w:history="1">
            <w:r w:rsidRPr="0090631D">
              <w:rPr>
                <w:rStyle w:val="Hyperlink"/>
                <w:noProof/>
              </w:rPr>
              <w:t>2.0</w:t>
            </w:r>
            <w:r>
              <w:rPr>
                <w:rFonts w:asciiTheme="minorHAnsi" w:hAnsiTheme="minorHAnsi"/>
                <w:noProof/>
              </w:rPr>
              <w:tab/>
            </w:r>
            <w:r w:rsidRPr="0090631D">
              <w:rPr>
                <w:rStyle w:val="Hyperlink"/>
                <w:rFonts w:ascii="Calibri" w:hAnsi="Calibri" w:cs="Calibri"/>
                <w:noProof/>
              </w:rPr>
              <w:t>Process Overview</w:t>
            </w:r>
            <w:r>
              <w:rPr>
                <w:noProof/>
                <w:webHidden/>
              </w:rPr>
              <w:tab/>
            </w:r>
            <w:r>
              <w:rPr>
                <w:noProof/>
                <w:webHidden/>
              </w:rPr>
              <w:fldChar w:fldCharType="begin"/>
            </w:r>
            <w:r>
              <w:rPr>
                <w:noProof/>
                <w:webHidden/>
              </w:rPr>
              <w:instrText xml:space="preserve"> PAGEREF _Toc99369879 \h </w:instrText>
            </w:r>
            <w:r>
              <w:rPr>
                <w:noProof/>
                <w:webHidden/>
              </w:rPr>
            </w:r>
            <w:r>
              <w:rPr>
                <w:noProof/>
                <w:webHidden/>
              </w:rPr>
              <w:fldChar w:fldCharType="separate"/>
            </w:r>
            <w:r>
              <w:rPr>
                <w:noProof/>
                <w:webHidden/>
              </w:rPr>
              <w:t>4</w:t>
            </w:r>
            <w:r>
              <w:rPr>
                <w:noProof/>
                <w:webHidden/>
              </w:rPr>
              <w:fldChar w:fldCharType="end"/>
            </w:r>
          </w:hyperlink>
        </w:p>
        <w:p w14:paraId="6379BD87" w14:textId="06B46807" w:rsidR="00E447A8" w:rsidRDefault="00E447A8">
          <w:pPr>
            <w:pStyle w:val="TOC3"/>
            <w:tabs>
              <w:tab w:val="right" w:leader="dot" w:pos="9350"/>
            </w:tabs>
            <w:rPr>
              <w:rFonts w:asciiTheme="minorHAnsi" w:hAnsiTheme="minorHAnsi"/>
              <w:noProof/>
              <w:sz w:val="22"/>
            </w:rPr>
          </w:pPr>
          <w:hyperlink w:anchor="_Toc99369880" w:history="1">
            <w:r w:rsidRPr="0090631D">
              <w:rPr>
                <w:rStyle w:val="Hyperlink"/>
                <w:noProof/>
              </w:rPr>
              <w:t>Treasury Confirmation and Reconciliation Window</w:t>
            </w:r>
            <w:r>
              <w:rPr>
                <w:noProof/>
                <w:webHidden/>
              </w:rPr>
              <w:tab/>
            </w:r>
            <w:r>
              <w:rPr>
                <w:noProof/>
                <w:webHidden/>
              </w:rPr>
              <w:fldChar w:fldCharType="begin"/>
            </w:r>
            <w:r>
              <w:rPr>
                <w:noProof/>
                <w:webHidden/>
              </w:rPr>
              <w:instrText xml:space="preserve"> PAGEREF _Toc99369880 \h </w:instrText>
            </w:r>
            <w:r>
              <w:rPr>
                <w:noProof/>
                <w:webHidden/>
              </w:rPr>
            </w:r>
            <w:r>
              <w:rPr>
                <w:noProof/>
                <w:webHidden/>
              </w:rPr>
              <w:fldChar w:fldCharType="separate"/>
            </w:r>
            <w:r>
              <w:rPr>
                <w:noProof/>
                <w:webHidden/>
              </w:rPr>
              <w:t>4</w:t>
            </w:r>
            <w:r>
              <w:rPr>
                <w:noProof/>
                <w:webHidden/>
              </w:rPr>
              <w:fldChar w:fldCharType="end"/>
            </w:r>
          </w:hyperlink>
        </w:p>
        <w:p w14:paraId="5068DD93" w14:textId="45296DFC" w:rsidR="00E447A8" w:rsidRDefault="00E447A8">
          <w:pPr>
            <w:pStyle w:val="TOC3"/>
            <w:tabs>
              <w:tab w:val="right" w:leader="dot" w:pos="9350"/>
            </w:tabs>
            <w:rPr>
              <w:rFonts w:asciiTheme="minorHAnsi" w:hAnsiTheme="minorHAnsi"/>
              <w:noProof/>
              <w:sz w:val="22"/>
            </w:rPr>
          </w:pPr>
          <w:hyperlink w:anchor="_Toc99369881" w:history="1">
            <w:r w:rsidRPr="0090631D">
              <w:rPr>
                <w:rStyle w:val="Hyperlink"/>
                <w:noProof/>
              </w:rPr>
              <w:t>Treasury Confirmation Inquiry</w:t>
            </w:r>
            <w:r>
              <w:rPr>
                <w:noProof/>
                <w:webHidden/>
              </w:rPr>
              <w:tab/>
            </w:r>
            <w:r>
              <w:rPr>
                <w:noProof/>
                <w:webHidden/>
              </w:rPr>
              <w:fldChar w:fldCharType="begin"/>
            </w:r>
            <w:r>
              <w:rPr>
                <w:noProof/>
                <w:webHidden/>
              </w:rPr>
              <w:instrText xml:space="preserve"> PAGEREF _Toc99369881 \h </w:instrText>
            </w:r>
            <w:r>
              <w:rPr>
                <w:noProof/>
                <w:webHidden/>
              </w:rPr>
            </w:r>
            <w:r>
              <w:rPr>
                <w:noProof/>
                <w:webHidden/>
              </w:rPr>
              <w:fldChar w:fldCharType="separate"/>
            </w:r>
            <w:r>
              <w:rPr>
                <w:noProof/>
                <w:webHidden/>
              </w:rPr>
              <w:t>4</w:t>
            </w:r>
            <w:r>
              <w:rPr>
                <w:noProof/>
                <w:webHidden/>
              </w:rPr>
              <w:fldChar w:fldCharType="end"/>
            </w:r>
          </w:hyperlink>
        </w:p>
        <w:p w14:paraId="62094211" w14:textId="689E03AC" w:rsidR="00E447A8" w:rsidRDefault="00E447A8">
          <w:pPr>
            <w:pStyle w:val="TOC3"/>
            <w:tabs>
              <w:tab w:val="right" w:leader="dot" w:pos="9350"/>
            </w:tabs>
            <w:rPr>
              <w:rFonts w:asciiTheme="minorHAnsi" w:hAnsiTheme="minorHAnsi"/>
              <w:noProof/>
              <w:sz w:val="22"/>
            </w:rPr>
          </w:pPr>
          <w:hyperlink w:anchor="_Toc99369882" w:history="1">
            <w:r w:rsidRPr="0090631D">
              <w:rPr>
                <w:rStyle w:val="Hyperlink"/>
                <w:noProof/>
              </w:rPr>
              <w:t>Prerequisites for Recording and Confirming Department of Treasury Payments</w:t>
            </w:r>
            <w:r>
              <w:rPr>
                <w:noProof/>
                <w:webHidden/>
              </w:rPr>
              <w:tab/>
            </w:r>
            <w:r>
              <w:rPr>
                <w:noProof/>
                <w:webHidden/>
              </w:rPr>
              <w:fldChar w:fldCharType="begin"/>
            </w:r>
            <w:r>
              <w:rPr>
                <w:noProof/>
                <w:webHidden/>
              </w:rPr>
              <w:instrText xml:space="preserve"> PAGEREF _Toc99369882 \h </w:instrText>
            </w:r>
            <w:r>
              <w:rPr>
                <w:noProof/>
                <w:webHidden/>
              </w:rPr>
            </w:r>
            <w:r>
              <w:rPr>
                <w:noProof/>
                <w:webHidden/>
              </w:rPr>
              <w:fldChar w:fldCharType="separate"/>
            </w:r>
            <w:r>
              <w:rPr>
                <w:noProof/>
                <w:webHidden/>
              </w:rPr>
              <w:t>5</w:t>
            </w:r>
            <w:r>
              <w:rPr>
                <w:noProof/>
                <w:webHidden/>
              </w:rPr>
              <w:fldChar w:fldCharType="end"/>
            </w:r>
          </w:hyperlink>
        </w:p>
        <w:p w14:paraId="18387513" w14:textId="5F644FBC" w:rsidR="00E447A8" w:rsidRDefault="00E447A8">
          <w:pPr>
            <w:pStyle w:val="TOC3"/>
            <w:tabs>
              <w:tab w:val="right" w:leader="dot" w:pos="9350"/>
            </w:tabs>
            <w:rPr>
              <w:rFonts w:asciiTheme="minorHAnsi" w:hAnsiTheme="minorHAnsi"/>
              <w:noProof/>
              <w:sz w:val="22"/>
            </w:rPr>
          </w:pPr>
          <w:hyperlink w:anchor="_Toc99369883" w:history="1">
            <w:r w:rsidRPr="0090631D">
              <w:rPr>
                <w:rStyle w:val="Hyperlink"/>
                <w:noProof/>
              </w:rPr>
              <w:t>Recording and Confirming Department of Treasury Payments</w:t>
            </w:r>
            <w:r>
              <w:rPr>
                <w:noProof/>
                <w:webHidden/>
              </w:rPr>
              <w:tab/>
            </w:r>
            <w:r>
              <w:rPr>
                <w:noProof/>
                <w:webHidden/>
              </w:rPr>
              <w:fldChar w:fldCharType="begin"/>
            </w:r>
            <w:r>
              <w:rPr>
                <w:noProof/>
                <w:webHidden/>
              </w:rPr>
              <w:instrText xml:space="preserve"> PAGEREF _Toc99369883 \h </w:instrText>
            </w:r>
            <w:r>
              <w:rPr>
                <w:noProof/>
                <w:webHidden/>
              </w:rPr>
            </w:r>
            <w:r>
              <w:rPr>
                <w:noProof/>
                <w:webHidden/>
              </w:rPr>
              <w:fldChar w:fldCharType="separate"/>
            </w:r>
            <w:r>
              <w:rPr>
                <w:noProof/>
                <w:webHidden/>
              </w:rPr>
              <w:t>5</w:t>
            </w:r>
            <w:r>
              <w:rPr>
                <w:noProof/>
                <w:webHidden/>
              </w:rPr>
              <w:fldChar w:fldCharType="end"/>
            </w:r>
          </w:hyperlink>
        </w:p>
        <w:p w14:paraId="48F006C9" w14:textId="7B9EFCB2" w:rsidR="00E447A8" w:rsidRDefault="00E447A8">
          <w:pPr>
            <w:pStyle w:val="TOC3"/>
            <w:tabs>
              <w:tab w:val="right" w:leader="dot" w:pos="9350"/>
            </w:tabs>
            <w:rPr>
              <w:rFonts w:asciiTheme="minorHAnsi" w:hAnsiTheme="minorHAnsi"/>
              <w:noProof/>
              <w:sz w:val="22"/>
            </w:rPr>
          </w:pPr>
          <w:hyperlink w:anchor="_Toc99369884" w:history="1">
            <w:r w:rsidRPr="0090631D">
              <w:rPr>
                <w:rStyle w:val="Hyperlink"/>
                <w:noProof/>
              </w:rPr>
              <w:t>Treasury Confirmation Process Map</w:t>
            </w:r>
            <w:r>
              <w:rPr>
                <w:noProof/>
                <w:webHidden/>
              </w:rPr>
              <w:tab/>
            </w:r>
            <w:r>
              <w:rPr>
                <w:noProof/>
                <w:webHidden/>
              </w:rPr>
              <w:fldChar w:fldCharType="begin"/>
            </w:r>
            <w:r>
              <w:rPr>
                <w:noProof/>
                <w:webHidden/>
              </w:rPr>
              <w:instrText xml:space="preserve"> PAGEREF _Toc99369884 \h </w:instrText>
            </w:r>
            <w:r>
              <w:rPr>
                <w:noProof/>
                <w:webHidden/>
              </w:rPr>
            </w:r>
            <w:r>
              <w:rPr>
                <w:noProof/>
                <w:webHidden/>
              </w:rPr>
              <w:fldChar w:fldCharType="separate"/>
            </w:r>
            <w:r>
              <w:rPr>
                <w:noProof/>
                <w:webHidden/>
              </w:rPr>
              <w:t>7</w:t>
            </w:r>
            <w:r>
              <w:rPr>
                <w:noProof/>
                <w:webHidden/>
              </w:rPr>
              <w:fldChar w:fldCharType="end"/>
            </w:r>
          </w:hyperlink>
        </w:p>
        <w:p w14:paraId="3B411F4B" w14:textId="153D5D29" w:rsidR="00E447A8" w:rsidRDefault="00E447A8">
          <w:pPr>
            <w:pStyle w:val="TOC3"/>
            <w:tabs>
              <w:tab w:val="right" w:leader="dot" w:pos="9350"/>
            </w:tabs>
            <w:rPr>
              <w:rFonts w:asciiTheme="minorHAnsi" w:hAnsiTheme="minorHAnsi"/>
              <w:noProof/>
              <w:sz w:val="22"/>
            </w:rPr>
          </w:pPr>
          <w:hyperlink w:anchor="_Toc99369885" w:history="1">
            <w:r w:rsidRPr="0090631D">
              <w:rPr>
                <w:rStyle w:val="Hyperlink"/>
                <w:noProof/>
              </w:rPr>
              <w:t>Treasury Confirmation Process Steps</w:t>
            </w:r>
            <w:r>
              <w:rPr>
                <w:noProof/>
                <w:webHidden/>
              </w:rPr>
              <w:tab/>
            </w:r>
            <w:r>
              <w:rPr>
                <w:noProof/>
                <w:webHidden/>
              </w:rPr>
              <w:fldChar w:fldCharType="begin"/>
            </w:r>
            <w:r>
              <w:rPr>
                <w:noProof/>
                <w:webHidden/>
              </w:rPr>
              <w:instrText xml:space="preserve"> PAGEREF _Toc99369885 \h </w:instrText>
            </w:r>
            <w:r>
              <w:rPr>
                <w:noProof/>
                <w:webHidden/>
              </w:rPr>
            </w:r>
            <w:r>
              <w:rPr>
                <w:noProof/>
                <w:webHidden/>
              </w:rPr>
              <w:fldChar w:fldCharType="separate"/>
            </w:r>
            <w:r>
              <w:rPr>
                <w:noProof/>
                <w:webHidden/>
              </w:rPr>
              <w:t>7</w:t>
            </w:r>
            <w:r>
              <w:rPr>
                <w:noProof/>
                <w:webHidden/>
              </w:rPr>
              <w:fldChar w:fldCharType="end"/>
            </w:r>
          </w:hyperlink>
        </w:p>
        <w:p w14:paraId="4C5A44A8" w14:textId="67215AD9" w:rsidR="00E447A8" w:rsidRDefault="00E447A8">
          <w:pPr>
            <w:pStyle w:val="TOC3"/>
            <w:tabs>
              <w:tab w:val="right" w:leader="dot" w:pos="9350"/>
            </w:tabs>
            <w:rPr>
              <w:rFonts w:asciiTheme="minorHAnsi" w:hAnsiTheme="minorHAnsi"/>
              <w:noProof/>
              <w:sz w:val="22"/>
            </w:rPr>
          </w:pPr>
          <w:hyperlink w:anchor="_Toc99369886" w:history="1">
            <w:r w:rsidRPr="0090631D">
              <w:rPr>
                <w:rStyle w:val="Hyperlink"/>
                <w:noProof/>
              </w:rPr>
              <w:t>Check Range Examples</w:t>
            </w:r>
            <w:r>
              <w:rPr>
                <w:noProof/>
                <w:webHidden/>
              </w:rPr>
              <w:tab/>
            </w:r>
            <w:r>
              <w:rPr>
                <w:noProof/>
                <w:webHidden/>
              </w:rPr>
              <w:fldChar w:fldCharType="begin"/>
            </w:r>
            <w:r>
              <w:rPr>
                <w:noProof/>
                <w:webHidden/>
              </w:rPr>
              <w:instrText xml:space="preserve"> PAGEREF _Toc99369886 \h </w:instrText>
            </w:r>
            <w:r>
              <w:rPr>
                <w:noProof/>
                <w:webHidden/>
              </w:rPr>
            </w:r>
            <w:r>
              <w:rPr>
                <w:noProof/>
                <w:webHidden/>
              </w:rPr>
              <w:fldChar w:fldCharType="separate"/>
            </w:r>
            <w:r>
              <w:rPr>
                <w:noProof/>
                <w:webHidden/>
              </w:rPr>
              <w:t>8</w:t>
            </w:r>
            <w:r>
              <w:rPr>
                <w:noProof/>
                <w:webHidden/>
              </w:rPr>
              <w:fldChar w:fldCharType="end"/>
            </w:r>
          </w:hyperlink>
        </w:p>
        <w:p w14:paraId="3E08B4A7" w14:textId="4C1118EE" w:rsidR="00E447A8" w:rsidRDefault="00E447A8">
          <w:pPr>
            <w:pStyle w:val="TOC3"/>
            <w:tabs>
              <w:tab w:val="right" w:leader="dot" w:pos="9350"/>
            </w:tabs>
            <w:rPr>
              <w:rFonts w:asciiTheme="minorHAnsi" w:hAnsiTheme="minorHAnsi"/>
              <w:noProof/>
              <w:sz w:val="22"/>
            </w:rPr>
          </w:pPr>
          <w:hyperlink w:anchor="_Toc99369887" w:history="1">
            <w:r w:rsidRPr="0090631D">
              <w:rPr>
                <w:rStyle w:val="Hyperlink"/>
                <w:noProof/>
              </w:rPr>
              <w:t>Business Exceptions Handling</w:t>
            </w:r>
            <w:r>
              <w:rPr>
                <w:noProof/>
                <w:webHidden/>
              </w:rPr>
              <w:tab/>
            </w:r>
            <w:r>
              <w:rPr>
                <w:noProof/>
                <w:webHidden/>
              </w:rPr>
              <w:fldChar w:fldCharType="begin"/>
            </w:r>
            <w:r>
              <w:rPr>
                <w:noProof/>
                <w:webHidden/>
              </w:rPr>
              <w:instrText xml:space="preserve"> PAGEREF _Toc99369887 \h </w:instrText>
            </w:r>
            <w:r>
              <w:rPr>
                <w:noProof/>
                <w:webHidden/>
              </w:rPr>
            </w:r>
            <w:r>
              <w:rPr>
                <w:noProof/>
                <w:webHidden/>
              </w:rPr>
              <w:fldChar w:fldCharType="separate"/>
            </w:r>
            <w:r>
              <w:rPr>
                <w:noProof/>
                <w:webHidden/>
              </w:rPr>
              <w:t>11</w:t>
            </w:r>
            <w:r>
              <w:rPr>
                <w:noProof/>
                <w:webHidden/>
              </w:rPr>
              <w:fldChar w:fldCharType="end"/>
            </w:r>
          </w:hyperlink>
        </w:p>
        <w:p w14:paraId="6F07396A" w14:textId="469763F0" w:rsidR="00E447A8" w:rsidRDefault="00E447A8">
          <w:pPr>
            <w:pStyle w:val="TOC3"/>
            <w:tabs>
              <w:tab w:val="right" w:leader="dot" w:pos="9350"/>
            </w:tabs>
            <w:rPr>
              <w:rFonts w:asciiTheme="minorHAnsi" w:hAnsiTheme="minorHAnsi"/>
              <w:noProof/>
              <w:sz w:val="22"/>
            </w:rPr>
          </w:pPr>
          <w:hyperlink w:anchor="_Toc99369888" w:history="1">
            <w:r w:rsidRPr="0090631D">
              <w:rPr>
                <w:rStyle w:val="Hyperlink"/>
                <w:noProof/>
              </w:rPr>
              <w:t>Applications Used in the Process</w:t>
            </w:r>
            <w:r>
              <w:rPr>
                <w:noProof/>
                <w:webHidden/>
              </w:rPr>
              <w:tab/>
            </w:r>
            <w:r>
              <w:rPr>
                <w:noProof/>
                <w:webHidden/>
              </w:rPr>
              <w:fldChar w:fldCharType="begin"/>
            </w:r>
            <w:r>
              <w:rPr>
                <w:noProof/>
                <w:webHidden/>
              </w:rPr>
              <w:instrText xml:space="preserve"> PAGEREF _Toc99369888 \h </w:instrText>
            </w:r>
            <w:r>
              <w:rPr>
                <w:noProof/>
                <w:webHidden/>
              </w:rPr>
            </w:r>
            <w:r>
              <w:rPr>
                <w:noProof/>
                <w:webHidden/>
              </w:rPr>
              <w:fldChar w:fldCharType="separate"/>
            </w:r>
            <w:r>
              <w:rPr>
                <w:noProof/>
                <w:webHidden/>
              </w:rPr>
              <w:t>11</w:t>
            </w:r>
            <w:r>
              <w:rPr>
                <w:noProof/>
                <w:webHidden/>
              </w:rPr>
              <w:fldChar w:fldCharType="end"/>
            </w:r>
          </w:hyperlink>
        </w:p>
        <w:p w14:paraId="0332940B" w14:textId="531C9A86" w:rsidR="00E447A8" w:rsidRDefault="00E447A8">
          <w:pPr>
            <w:pStyle w:val="TOC3"/>
            <w:tabs>
              <w:tab w:val="right" w:leader="dot" w:pos="9350"/>
            </w:tabs>
            <w:rPr>
              <w:rFonts w:asciiTheme="minorHAnsi" w:hAnsiTheme="minorHAnsi"/>
              <w:noProof/>
              <w:sz w:val="22"/>
            </w:rPr>
          </w:pPr>
          <w:hyperlink w:anchor="_Toc99369889" w:history="1">
            <w:r w:rsidRPr="0090631D">
              <w:rPr>
                <w:rStyle w:val="Hyperlink"/>
                <w:noProof/>
              </w:rPr>
              <w:t>Additional Process Documentation</w:t>
            </w:r>
            <w:r>
              <w:rPr>
                <w:noProof/>
                <w:webHidden/>
              </w:rPr>
              <w:tab/>
            </w:r>
            <w:r>
              <w:rPr>
                <w:noProof/>
                <w:webHidden/>
              </w:rPr>
              <w:fldChar w:fldCharType="begin"/>
            </w:r>
            <w:r>
              <w:rPr>
                <w:noProof/>
                <w:webHidden/>
              </w:rPr>
              <w:instrText xml:space="preserve"> PAGEREF _Toc99369889 \h </w:instrText>
            </w:r>
            <w:r>
              <w:rPr>
                <w:noProof/>
                <w:webHidden/>
              </w:rPr>
            </w:r>
            <w:r>
              <w:rPr>
                <w:noProof/>
                <w:webHidden/>
              </w:rPr>
              <w:fldChar w:fldCharType="separate"/>
            </w:r>
            <w:r>
              <w:rPr>
                <w:noProof/>
                <w:webHidden/>
              </w:rPr>
              <w:t>12</w:t>
            </w:r>
            <w:r>
              <w:rPr>
                <w:noProof/>
                <w:webHidden/>
              </w:rPr>
              <w:fldChar w:fldCharType="end"/>
            </w:r>
          </w:hyperlink>
        </w:p>
        <w:p w14:paraId="3B37F269" w14:textId="46661947" w:rsidR="0038137A" w:rsidRDefault="00337855">
          <w:r>
            <w:rPr>
              <w:rFonts w:ascii="Cambria" w:eastAsiaTheme="minorEastAsia" w:hAnsi="Cambria"/>
            </w:rPr>
            <w:fldChar w:fldCharType="end"/>
          </w:r>
        </w:p>
      </w:sdtContent>
    </w:sdt>
    <w:p w14:paraId="3B37F26A" w14:textId="77777777" w:rsidR="00860AD2" w:rsidRDefault="00860AD2">
      <w:r>
        <w:br w:type="page"/>
      </w:r>
    </w:p>
    <w:p w14:paraId="61F8FA4F" w14:textId="6A972C9B" w:rsidR="000B5940" w:rsidRPr="00190A91" w:rsidRDefault="002572FE" w:rsidP="001A24AB">
      <w:pPr>
        <w:pStyle w:val="Heading1"/>
        <w:numPr>
          <w:ilvl w:val="0"/>
          <w:numId w:val="1"/>
        </w:numPr>
        <w:spacing w:line="276" w:lineRule="auto"/>
        <w:rPr>
          <w:rFonts w:ascii="Cambria" w:hAnsi="Cambria"/>
          <w:color w:val="8EAADB" w:themeColor="accent5" w:themeTint="99"/>
        </w:rPr>
      </w:pPr>
      <w:bookmarkStart w:id="2" w:name="_Toc452499977"/>
      <w:bookmarkStart w:id="3" w:name="_Toc99369876"/>
      <w:r>
        <w:rPr>
          <w:rFonts w:ascii="Calibri" w:hAnsi="Calibri" w:cs="Calibri"/>
          <w:color w:val="8EAADB" w:themeColor="accent5" w:themeTint="99"/>
        </w:rPr>
        <w:lastRenderedPageBreak/>
        <w:t>Introduction</w:t>
      </w:r>
      <w:bookmarkEnd w:id="3"/>
    </w:p>
    <w:p w14:paraId="7CA1B125" w14:textId="4394533B" w:rsidR="00985F6D" w:rsidRPr="00985F6D" w:rsidRDefault="00985F6D" w:rsidP="00985F6D">
      <w:pPr>
        <w:rPr>
          <w:rFonts w:ascii="Times New Roman" w:eastAsia="Times New Roman" w:hAnsi="Times New Roman" w:cs="Times New Roman"/>
          <w:sz w:val="24"/>
          <w:szCs w:val="24"/>
        </w:rPr>
      </w:pPr>
      <w:r w:rsidRPr="00985F6D">
        <w:rPr>
          <w:rFonts w:ascii="Calibri" w:eastAsia="Times New Roman" w:hAnsi="Calibri" w:cs="Calibri"/>
          <w:color w:val="000000"/>
        </w:rPr>
        <w:t xml:space="preserve">The Treasury Confirmation Process Document outlines </w:t>
      </w:r>
      <w:r w:rsidRPr="00985F6D">
        <w:rPr>
          <w:rFonts w:cstheme="minorHAnsi"/>
          <w:color w:val="202124"/>
          <w:shd w:val="clear" w:color="auto" w:fill="FFFFFF"/>
        </w:rPr>
        <w:t>any Federal Agency (Agency) entering and confirming the payment process request in Oracle Payables. The agency sends the payment file to Department of Treasury (Treasury) for payment who in return sends back the Treasury Confirmation report</w:t>
      </w:r>
      <w:r w:rsidR="00307A7A">
        <w:rPr>
          <w:rFonts w:cstheme="minorHAnsi"/>
          <w:color w:val="202124"/>
          <w:shd w:val="clear" w:color="auto" w:fill="FFFFFF"/>
        </w:rPr>
        <w:t xml:space="preserve"> to the </w:t>
      </w:r>
      <w:r w:rsidR="00307A7A" w:rsidRPr="00985F6D">
        <w:rPr>
          <w:rFonts w:cstheme="minorHAnsi"/>
          <w:color w:val="202124"/>
          <w:shd w:val="clear" w:color="auto" w:fill="FFFFFF"/>
        </w:rPr>
        <w:t>Agency</w:t>
      </w:r>
      <w:r w:rsidR="00307A7A">
        <w:rPr>
          <w:rFonts w:cstheme="minorHAnsi"/>
          <w:color w:val="202124"/>
          <w:shd w:val="clear" w:color="auto" w:fill="FFFFFF"/>
        </w:rPr>
        <w:t>.</w:t>
      </w:r>
    </w:p>
    <w:p w14:paraId="1CB98406" w14:textId="1F5B523D" w:rsidR="008206A2" w:rsidRDefault="008206A2" w:rsidP="008206A2">
      <w:pPr>
        <w:pStyle w:val="Heading3"/>
      </w:pPr>
      <w:bookmarkStart w:id="4" w:name="_Toc99369877"/>
      <w:r>
        <w:t>Objectives</w:t>
      </w:r>
      <w:bookmarkEnd w:id="4"/>
    </w:p>
    <w:p w14:paraId="2A30FA63" w14:textId="49BA62B3" w:rsidR="00FF4E4A" w:rsidRPr="00A33F3C" w:rsidRDefault="00E55BFC" w:rsidP="00A33F3C">
      <w:pPr>
        <w:rPr>
          <w:color w:val="808080" w:themeColor="background1" w:themeShade="80"/>
        </w:rPr>
      </w:pPr>
      <w:r>
        <w:rPr>
          <w:color w:val="808080" w:themeColor="background1" w:themeShade="80"/>
        </w:rPr>
        <w:t>N/A</w:t>
      </w:r>
    </w:p>
    <w:p w14:paraId="5EFA60A0" w14:textId="50FA90D4" w:rsidR="008206A2" w:rsidRDefault="008206A2" w:rsidP="008206A2">
      <w:pPr>
        <w:pStyle w:val="Heading3"/>
      </w:pPr>
      <w:bookmarkStart w:id="5" w:name="_Toc99369878"/>
      <w:r>
        <w:t>Process Key Contacts</w:t>
      </w:r>
      <w:bookmarkEnd w:id="5"/>
    </w:p>
    <w:p w14:paraId="01321BAC" w14:textId="77777777" w:rsidR="00E55BFC" w:rsidRPr="00A33F3C" w:rsidRDefault="00E55BFC" w:rsidP="00E55BFC">
      <w:pPr>
        <w:rPr>
          <w:color w:val="808080" w:themeColor="background1" w:themeShade="80"/>
        </w:rPr>
      </w:pPr>
      <w:r>
        <w:rPr>
          <w:color w:val="808080" w:themeColor="background1" w:themeShade="80"/>
        </w:rPr>
        <w:t>N/A</w:t>
      </w:r>
    </w:p>
    <w:tbl>
      <w:tblPr>
        <w:tblW w:w="10092" w:type="dxa"/>
        <w:tblInd w:w="-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2070"/>
        <w:gridCol w:w="3330"/>
        <w:gridCol w:w="3342"/>
      </w:tblGrid>
      <w:tr w:rsidR="00A35960" w:rsidRPr="00A35960" w14:paraId="4F444EF1" w14:textId="77777777" w:rsidTr="008308CE">
        <w:trPr>
          <w:trHeight w:val="323"/>
        </w:trPr>
        <w:tc>
          <w:tcPr>
            <w:tcW w:w="1350" w:type="dxa"/>
            <w:tcBorders>
              <w:top w:val="single" w:sz="4" w:space="0" w:color="A6A6A6"/>
              <w:bottom w:val="single" w:sz="6" w:space="0" w:color="A6A6A6"/>
            </w:tcBorders>
            <w:shd w:val="clear" w:color="auto" w:fill="D9D9D9" w:themeFill="background1" w:themeFillShade="D9"/>
          </w:tcPr>
          <w:p w14:paraId="0F0FDA2E"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Role</w:t>
            </w:r>
          </w:p>
        </w:tc>
        <w:tc>
          <w:tcPr>
            <w:tcW w:w="2070" w:type="dxa"/>
            <w:tcBorders>
              <w:top w:val="single" w:sz="4" w:space="0" w:color="A6A6A6"/>
              <w:bottom w:val="single" w:sz="6" w:space="0" w:color="A6A6A6"/>
            </w:tcBorders>
            <w:shd w:val="clear" w:color="auto" w:fill="D9D9D9" w:themeFill="background1" w:themeFillShade="D9"/>
          </w:tcPr>
          <w:p w14:paraId="6E31CA56"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Name</w:t>
            </w:r>
          </w:p>
        </w:tc>
        <w:tc>
          <w:tcPr>
            <w:tcW w:w="3330" w:type="dxa"/>
            <w:tcBorders>
              <w:top w:val="single" w:sz="4" w:space="0" w:color="A6A6A6"/>
              <w:bottom w:val="single" w:sz="6" w:space="0" w:color="A6A6A6"/>
            </w:tcBorders>
            <w:shd w:val="clear" w:color="auto" w:fill="D9D9D9" w:themeFill="background1" w:themeFillShade="D9"/>
          </w:tcPr>
          <w:p w14:paraId="072C24DB"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Contact details</w:t>
            </w:r>
          </w:p>
        </w:tc>
        <w:tc>
          <w:tcPr>
            <w:tcW w:w="3342" w:type="dxa"/>
            <w:tcBorders>
              <w:top w:val="single" w:sz="4" w:space="0" w:color="A6A6A6"/>
              <w:bottom w:val="single" w:sz="6" w:space="0" w:color="A6A6A6"/>
            </w:tcBorders>
            <w:shd w:val="clear" w:color="auto" w:fill="D9D9D9" w:themeFill="background1" w:themeFillShade="D9"/>
          </w:tcPr>
          <w:p w14:paraId="438E9058"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Notes</w:t>
            </w:r>
          </w:p>
        </w:tc>
      </w:tr>
      <w:tr w:rsidR="000B5940" w:rsidRPr="001D4B26" w14:paraId="095D3836" w14:textId="77777777" w:rsidTr="008308CE">
        <w:trPr>
          <w:trHeight w:val="525"/>
        </w:trPr>
        <w:tc>
          <w:tcPr>
            <w:tcW w:w="1350" w:type="dxa"/>
            <w:tcBorders>
              <w:top w:val="single" w:sz="6" w:space="0" w:color="A6A6A6"/>
            </w:tcBorders>
          </w:tcPr>
          <w:p w14:paraId="0A955EA0" w14:textId="73F04C7A" w:rsidR="000B5940" w:rsidRPr="00607D78" w:rsidRDefault="008308CE" w:rsidP="004C706E">
            <w:pPr>
              <w:rPr>
                <w:rFonts w:cstheme="minorHAnsi"/>
                <w:bCs/>
                <w:iCs/>
              </w:rPr>
            </w:pPr>
            <w:r w:rsidRPr="00607D78">
              <w:rPr>
                <w:rFonts w:cstheme="minorHAnsi"/>
                <w:bCs/>
                <w:iCs/>
              </w:rPr>
              <w:t>Process Owner</w:t>
            </w:r>
          </w:p>
        </w:tc>
        <w:tc>
          <w:tcPr>
            <w:tcW w:w="2070" w:type="dxa"/>
            <w:tcBorders>
              <w:top w:val="single" w:sz="6" w:space="0" w:color="A6A6A6"/>
            </w:tcBorders>
          </w:tcPr>
          <w:p w14:paraId="1F5BE942" w14:textId="77777777" w:rsidR="000B5940" w:rsidRPr="00607D78" w:rsidRDefault="000B5940" w:rsidP="004C706E">
            <w:pPr>
              <w:rPr>
                <w:rFonts w:cstheme="minorHAnsi"/>
                <w:bCs/>
                <w:i/>
                <w:highlight w:val="yellow"/>
              </w:rPr>
            </w:pPr>
          </w:p>
        </w:tc>
        <w:tc>
          <w:tcPr>
            <w:tcW w:w="3330" w:type="dxa"/>
            <w:tcBorders>
              <w:top w:val="single" w:sz="6" w:space="0" w:color="A6A6A6"/>
            </w:tcBorders>
          </w:tcPr>
          <w:p w14:paraId="2410473E" w14:textId="77777777" w:rsidR="000B5940" w:rsidRPr="00607D78" w:rsidRDefault="000B5940" w:rsidP="004C706E">
            <w:pPr>
              <w:rPr>
                <w:rFonts w:cstheme="minorHAnsi"/>
                <w:bCs/>
                <w:i/>
                <w:highlight w:val="yellow"/>
              </w:rPr>
            </w:pPr>
          </w:p>
        </w:tc>
        <w:tc>
          <w:tcPr>
            <w:tcW w:w="3342" w:type="dxa"/>
            <w:tcBorders>
              <w:top w:val="single" w:sz="6" w:space="0" w:color="A6A6A6"/>
            </w:tcBorders>
          </w:tcPr>
          <w:p w14:paraId="1F89ED31" w14:textId="77777777" w:rsidR="000B5940" w:rsidRPr="00607D78" w:rsidRDefault="000B5940" w:rsidP="004C706E">
            <w:pPr>
              <w:rPr>
                <w:rFonts w:cstheme="minorHAnsi"/>
                <w:bCs/>
                <w:i/>
                <w:highlight w:val="yellow"/>
              </w:rPr>
            </w:pPr>
          </w:p>
        </w:tc>
      </w:tr>
      <w:tr w:rsidR="000B5940" w:rsidRPr="001D4B26" w14:paraId="58C3F3AA" w14:textId="77777777" w:rsidTr="008308CE">
        <w:trPr>
          <w:trHeight w:val="770"/>
        </w:trPr>
        <w:tc>
          <w:tcPr>
            <w:tcW w:w="1350" w:type="dxa"/>
          </w:tcPr>
          <w:p w14:paraId="58422710" w14:textId="792FA52D" w:rsidR="000B5940" w:rsidRPr="00607D78" w:rsidRDefault="008308CE" w:rsidP="004C706E">
            <w:pPr>
              <w:rPr>
                <w:rFonts w:cstheme="minorHAnsi"/>
                <w:bCs/>
                <w:iCs/>
              </w:rPr>
            </w:pPr>
            <w:r w:rsidRPr="00607D78">
              <w:rPr>
                <w:rFonts w:cstheme="minorHAnsi"/>
                <w:bCs/>
                <w:iCs/>
              </w:rPr>
              <w:t>Process SME</w:t>
            </w:r>
          </w:p>
        </w:tc>
        <w:tc>
          <w:tcPr>
            <w:tcW w:w="2070" w:type="dxa"/>
          </w:tcPr>
          <w:p w14:paraId="7CE17A88" w14:textId="77777777" w:rsidR="000B5940" w:rsidRPr="00607D78" w:rsidRDefault="000B5940" w:rsidP="004C706E">
            <w:pPr>
              <w:rPr>
                <w:rFonts w:cstheme="minorHAnsi"/>
                <w:bCs/>
                <w:highlight w:val="yellow"/>
              </w:rPr>
            </w:pPr>
          </w:p>
        </w:tc>
        <w:tc>
          <w:tcPr>
            <w:tcW w:w="3330" w:type="dxa"/>
          </w:tcPr>
          <w:p w14:paraId="7126BEEC" w14:textId="77777777" w:rsidR="000B5940" w:rsidRPr="00607D78" w:rsidRDefault="000B5940" w:rsidP="004C706E">
            <w:pPr>
              <w:rPr>
                <w:rFonts w:cstheme="minorHAnsi"/>
                <w:bCs/>
                <w:highlight w:val="yellow"/>
              </w:rPr>
            </w:pPr>
          </w:p>
        </w:tc>
        <w:tc>
          <w:tcPr>
            <w:tcW w:w="3342" w:type="dxa"/>
          </w:tcPr>
          <w:p w14:paraId="767745F6" w14:textId="77777777" w:rsidR="000B5940" w:rsidRPr="00607D78" w:rsidRDefault="000B5940" w:rsidP="004C706E">
            <w:pPr>
              <w:rPr>
                <w:rFonts w:cstheme="minorHAnsi"/>
                <w:bCs/>
                <w:iCs/>
                <w:highlight w:val="yellow"/>
              </w:rPr>
            </w:pPr>
          </w:p>
        </w:tc>
      </w:tr>
      <w:tr w:rsidR="000B5940" w:rsidRPr="001D4B26" w14:paraId="45867B1B" w14:textId="77777777" w:rsidTr="008308CE">
        <w:trPr>
          <w:trHeight w:val="770"/>
        </w:trPr>
        <w:tc>
          <w:tcPr>
            <w:tcW w:w="1350" w:type="dxa"/>
          </w:tcPr>
          <w:p w14:paraId="70679FFD" w14:textId="40474ECE" w:rsidR="000B5940" w:rsidRPr="00607D78" w:rsidRDefault="008308CE" w:rsidP="004C706E">
            <w:pPr>
              <w:rPr>
                <w:rFonts w:cstheme="minorHAnsi"/>
                <w:bCs/>
                <w:iCs/>
              </w:rPr>
            </w:pPr>
            <w:r w:rsidRPr="00607D78">
              <w:rPr>
                <w:rFonts w:cstheme="minorHAnsi"/>
                <w:bCs/>
                <w:iCs/>
              </w:rPr>
              <w:t>*</w:t>
            </w:r>
          </w:p>
        </w:tc>
        <w:tc>
          <w:tcPr>
            <w:tcW w:w="2070" w:type="dxa"/>
          </w:tcPr>
          <w:p w14:paraId="5271A7F1" w14:textId="77777777" w:rsidR="000B5940" w:rsidRPr="00607D78" w:rsidRDefault="000B5940" w:rsidP="004C706E">
            <w:pPr>
              <w:rPr>
                <w:rFonts w:cstheme="minorHAnsi"/>
                <w:bCs/>
              </w:rPr>
            </w:pPr>
          </w:p>
        </w:tc>
        <w:tc>
          <w:tcPr>
            <w:tcW w:w="3330" w:type="dxa"/>
          </w:tcPr>
          <w:p w14:paraId="6D44AC47" w14:textId="77777777" w:rsidR="000B5940" w:rsidRPr="00607D78" w:rsidRDefault="000B5940" w:rsidP="004C706E">
            <w:pPr>
              <w:spacing w:after="0"/>
              <w:rPr>
                <w:rFonts w:cstheme="minorHAnsi"/>
                <w:bCs/>
                <w:u w:val="single"/>
              </w:rPr>
            </w:pPr>
          </w:p>
        </w:tc>
        <w:tc>
          <w:tcPr>
            <w:tcW w:w="3342" w:type="dxa"/>
          </w:tcPr>
          <w:p w14:paraId="7E9216ED" w14:textId="77777777" w:rsidR="000B5940" w:rsidRPr="00607D78" w:rsidRDefault="000B5940" w:rsidP="004C706E">
            <w:pPr>
              <w:rPr>
                <w:rFonts w:cstheme="minorHAnsi"/>
                <w:bCs/>
                <w:iCs/>
              </w:rPr>
            </w:pPr>
          </w:p>
        </w:tc>
      </w:tr>
    </w:tbl>
    <w:p w14:paraId="1AC5CD8F" w14:textId="1C438753" w:rsidR="008308CE" w:rsidRPr="00A35960" w:rsidRDefault="008308CE" w:rsidP="008308CE">
      <w:pPr>
        <w:rPr>
          <w:rFonts w:cs="Arial"/>
          <w:i/>
          <w:color w:val="000000" w:themeColor="text1"/>
          <w:sz w:val="18"/>
          <w:szCs w:val="18"/>
        </w:rPr>
      </w:pPr>
      <w:r w:rsidRPr="00A35960">
        <w:rPr>
          <w:rFonts w:cs="Arial"/>
          <w:i/>
          <w:color w:val="000000" w:themeColor="text1"/>
          <w:sz w:val="18"/>
          <w:szCs w:val="18"/>
        </w:rPr>
        <w:t xml:space="preserve">*Add </w:t>
      </w:r>
      <w:r>
        <w:rPr>
          <w:rFonts w:cs="Arial"/>
          <w:i/>
          <w:color w:val="000000" w:themeColor="text1"/>
          <w:sz w:val="18"/>
          <w:szCs w:val="18"/>
        </w:rPr>
        <w:t xml:space="preserve">other roles </w:t>
      </w:r>
      <w:r w:rsidRPr="00A35960">
        <w:rPr>
          <w:rFonts w:cs="Arial"/>
          <w:i/>
          <w:color w:val="000000" w:themeColor="text1"/>
          <w:sz w:val="18"/>
          <w:szCs w:val="18"/>
        </w:rPr>
        <w:t xml:space="preserve">to the table </w:t>
      </w:r>
      <w:r>
        <w:rPr>
          <w:rFonts w:cs="Arial"/>
          <w:i/>
          <w:color w:val="000000" w:themeColor="text1"/>
          <w:sz w:val="18"/>
          <w:szCs w:val="18"/>
        </w:rPr>
        <w:t>as needed</w:t>
      </w:r>
      <w:r w:rsidRPr="00A35960">
        <w:rPr>
          <w:rFonts w:cs="Arial"/>
          <w:i/>
          <w:color w:val="000000" w:themeColor="text1"/>
          <w:sz w:val="18"/>
          <w:szCs w:val="18"/>
        </w:rPr>
        <w:t>.</w:t>
      </w:r>
    </w:p>
    <w:p w14:paraId="67E54B57" w14:textId="77777777" w:rsidR="000B5940" w:rsidRPr="000B5940" w:rsidRDefault="000B5940" w:rsidP="000B5940"/>
    <w:p w14:paraId="50EFAFBE" w14:textId="42BC02D3" w:rsidR="001E4304" w:rsidRPr="00E60580" w:rsidRDefault="00A35960" w:rsidP="001A24AB">
      <w:pPr>
        <w:pStyle w:val="Heading1"/>
        <w:numPr>
          <w:ilvl w:val="0"/>
          <w:numId w:val="1"/>
        </w:numPr>
        <w:spacing w:line="276" w:lineRule="auto"/>
        <w:rPr>
          <w:rFonts w:ascii="Cambria" w:hAnsi="Cambria"/>
          <w:color w:val="8EAADB" w:themeColor="accent5" w:themeTint="99"/>
        </w:rPr>
      </w:pPr>
      <w:r>
        <w:rPr>
          <w:rFonts w:ascii="Cambria" w:hAnsi="Cambria"/>
        </w:rPr>
        <w:br w:type="column"/>
      </w:r>
      <w:r w:rsidR="001E4304">
        <w:rPr>
          <w:rFonts w:ascii="Calibri" w:hAnsi="Calibri" w:cs="Calibri"/>
          <w:color w:val="8EAADB" w:themeColor="accent5" w:themeTint="99"/>
        </w:rPr>
        <w:lastRenderedPageBreak/>
        <w:t xml:space="preserve"> </w:t>
      </w:r>
      <w:bookmarkStart w:id="6" w:name="_Toc99369879"/>
      <w:r w:rsidR="001E4304">
        <w:rPr>
          <w:rFonts w:ascii="Calibri" w:hAnsi="Calibri" w:cs="Calibri"/>
          <w:color w:val="8EAADB" w:themeColor="accent5" w:themeTint="99"/>
        </w:rPr>
        <w:t>Process Overview</w:t>
      </w:r>
      <w:bookmarkEnd w:id="6"/>
      <w:r w:rsidR="00DB572D">
        <w:rPr>
          <w:rFonts w:ascii="Calibri" w:hAnsi="Calibri" w:cs="Calibri"/>
          <w:color w:val="8EAADB" w:themeColor="accent5" w:themeTint="99"/>
        </w:rPr>
        <w:t xml:space="preserve"> </w:t>
      </w:r>
    </w:p>
    <w:p w14:paraId="2E32FCC8" w14:textId="1A413FCA" w:rsidR="00016702" w:rsidRDefault="00016702" w:rsidP="00016702">
      <w:pPr>
        <w:shd w:val="clear" w:color="auto" w:fill="FFFFFF"/>
        <w:spacing w:before="100" w:beforeAutospacing="1" w:after="100" w:afterAutospacing="1"/>
        <w:rPr>
          <w:rFonts w:cstheme="minorHAnsi"/>
          <w:color w:val="222222"/>
        </w:rPr>
      </w:pPr>
      <w:r w:rsidRPr="00016702">
        <w:rPr>
          <w:rFonts w:cstheme="minorHAnsi"/>
          <w:color w:val="222222"/>
        </w:rPr>
        <w:t>Department of Treasury payments are recorded and confirmed in the Treasury Confirmation and Reconciliation window. You can find and view confirmed Department of Treasury payments in the Treasury Confirmation Inquiry window.</w:t>
      </w:r>
    </w:p>
    <w:p w14:paraId="1DF8548A" w14:textId="38014ED4" w:rsidR="00E462F4" w:rsidRDefault="00E462F4" w:rsidP="00E462F4">
      <w:pPr>
        <w:pStyle w:val="Heading3"/>
      </w:pPr>
      <w:bookmarkStart w:id="7" w:name="_Toc99369880"/>
      <w:r>
        <w:t>Treasury Confirmation and Reconciliation Window</w:t>
      </w:r>
      <w:bookmarkEnd w:id="7"/>
    </w:p>
    <w:p w14:paraId="383DEDB9" w14:textId="77777777" w:rsidR="00016702" w:rsidRPr="00A417C1" w:rsidRDefault="00016702" w:rsidP="00016702">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You can use the Treasury Confirmation and Reconciliation window to complete these tasks:</w:t>
      </w:r>
    </w:p>
    <w:p w14:paraId="3AD5ACF2" w14:textId="77777777"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Record Department of Treasury payment information.</w:t>
      </w:r>
    </w:p>
    <w:p w14:paraId="3258987B" w14:textId="77777777"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Allow the recording of more than one check range for a payment schedule with a break in check numbers.</w:t>
      </w:r>
    </w:p>
    <w:p w14:paraId="0BDE74FD" w14:textId="77777777"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Create general ledger journal entries that reconcile the payment information against existing payments in Payables.</w:t>
      </w:r>
    </w:p>
    <w:p w14:paraId="703ABA44" w14:textId="3A28B61B"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 xml:space="preserve">Allow reversal of confirmed </w:t>
      </w:r>
      <w:r w:rsidR="00E462F4" w:rsidRPr="00A417C1">
        <w:rPr>
          <w:rFonts w:eastAsia="Times New Roman" w:cstheme="minorHAnsi"/>
          <w:color w:val="222222"/>
        </w:rPr>
        <w:t>payments if</w:t>
      </w:r>
      <w:r w:rsidRPr="00A417C1">
        <w:rPr>
          <w:rFonts w:eastAsia="Times New Roman" w:cstheme="minorHAnsi"/>
          <w:color w:val="222222"/>
        </w:rPr>
        <w:t xml:space="preserve"> information must be corrected or updated.</w:t>
      </w:r>
    </w:p>
    <w:p w14:paraId="1808B0ED" w14:textId="77777777"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Allow entry of offset information from Department of Treasury for a specific check.</w:t>
      </w:r>
    </w:p>
    <w:p w14:paraId="20782F12" w14:textId="77777777" w:rsidR="00016702" w:rsidRPr="00A417C1"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Correct Department of Treasury document number if agency goes through a Disbursement Office and an error in sequencing occurs.</w:t>
      </w:r>
    </w:p>
    <w:p w14:paraId="3DB27724" w14:textId="67A89379" w:rsidR="00016702" w:rsidRDefault="00016702" w:rsidP="001A24AB">
      <w:pPr>
        <w:numPr>
          <w:ilvl w:val="0"/>
          <w:numId w:val="2"/>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Display voided payments.</w:t>
      </w:r>
    </w:p>
    <w:p w14:paraId="188A647E" w14:textId="77777777" w:rsidR="0002073A" w:rsidRPr="00FA032C" w:rsidRDefault="0002073A" w:rsidP="0002073A">
      <w:pPr>
        <w:spacing w:after="0"/>
      </w:pPr>
      <w:r>
        <w:t xml:space="preserve">Below screen displays </w:t>
      </w:r>
      <w:r w:rsidRPr="0002073A">
        <w:rPr>
          <w:b/>
          <w:bCs/>
        </w:rPr>
        <w:t>Treasury Confirmation and Reconciliation</w:t>
      </w:r>
      <w:r>
        <w:t xml:space="preserve"> window:</w:t>
      </w:r>
    </w:p>
    <w:p w14:paraId="65FA7295" w14:textId="6B39CD06" w:rsidR="00B2478C" w:rsidRPr="00A417C1" w:rsidRDefault="0002073A" w:rsidP="00B2478C">
      <w:pPr>
        <w:shd w:val="clear" w:color="auto" w:fill="FFFFFF"/>
        <w:spacing w:before="100" w:beforeAutospacing="1" w:after="100" w:afterAutospacing="1" w:line="240" w:lineRule="auto"/>
        <w:rPr>
          <w:rFonts w:eastAsia="Times New Roman" w:cstheme="minorHAnsi"/>
          <w:color w:val="222222"/>
        </w:rPr>
      </w:pPr>
      <w:r>
        <w:rPr>
          <w:noProof/>
        </w:rPr>
        <w:drawing>
          <wp:inline distT="0" distB="0" distL="0" distR="0" wp14:anchorId="237B623B" wp14:editId="13C3C198">
            <wp:extent cx="5943600" cy="28822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943600" cy="2882265"/>
                    </a:xfrm>
                    <a:prstGeom prst="rect">
                      <a:avLst/>
                    </a:prstGeom>
                  </pic:spPr>
                </pic:pic>
              </a:graphicData>
            </a:graphic>
          </wp:inline>
        </w:drawing>
      </w:r>
    </w:p>
    <w:p w14:paraId="50B519BA" w14:textId="7EB16BC7" w:rsidR="002940D9" w:rsidRDefault="002940D9" w:rsidP="002940D9">
      <w:pPr>
        <w:pStyle w:val="Heading3"/>
      </w:pPr>
      <w:bookmarkStart w:id="8" w:name="_Toc99369881"/>
      <w:r>
        <w:t>Treasury Confirmation Inquiry</w:t>
      </w:r>
      <w:bookmarkEnd w:id="8"/>
    </w:p>
    <w:p w14:paraId="7198156C" w14:textId="77777777" w:rsidR="00016702" w:rsidRPr="00A417C1" w:rsidRDefault="00016702" w:rsidP="00016702">
      <w:pPr>
        <w:shd w:val="clear" w:color="auto" w:fill="FFFFFF"/>
        <w:spacing w:before="100" w:beforeAutospacing="1" w:after="100" w:afterAutospacing="1" w:line="240" w:lineRule="auto"/>
        <w:rPr>
          <w:rFonts w:eastAsia="Times New Roman" w:cstheme="minorHAnsi"/>
          <w:color w:val="222222"/>
        </w:rPr>
      </w:pPr>
      <w:bookmarkStart w:id="9" w:name="d0e11122"/>
      <w:bookmarkStart w:id="10" w:name="d0e11129"/>
      <w:bookmarkEnd w:id="9"/>
      <w:bookmarkEnd w:id="10"/>
      <w:r w:rsidRPr="00A417C1">
        <w:rPr>
          <w:rFonts w:eastAsia="Times New Roman" w:cstheme="minorHAnsi"/>
          <w:color w:val="222222"/>
        </w:rPr>
        <w:t>You can use the Treasury Confirmation Inquiry window to view this information:</w:t>
      </w:r>
    </w:p>
    <w:p w14:paraId="727ACFC2" w14:textId="77777777" w:rsidR="00016702" w:rsidRPr="00A417C1" w:rsidRDefault="00016702" w:rsidP="001A24AB">
      <w:pPr>
        <w:numPr>
          <w:ilvl w:val="0"/>
          <w:numId w:val="3"/>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lastRenderedPageBreak/>
        <w:t>Department of Treasury payment information for a given operating unit, vendor, Department of Treasury number, payment date, amount, or payment process request.</w:t>
      </w:r>
    </w:p>
    <w:p w14:paraId="6C814BAC" w14:textId="5F705931" w:rsidR="00016702" w:rsidRDefault="00016702" w:rsidP="001A24AB">
      <w:pPr>
        <w:numPr>
          <w:ilvl w:val="0"/>
          <w:numId w:val="3"/>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Voided payments</w:t>
      </w:r>
    </w:p>
    <w:p w14:paraId="3D1000AF" w14:textId="6280B248" w:rsidR="0002073A" w:rsidRPr="00FA032C" w:rsidRDefault="0002073A" w:rsidP="0002073A">
      <w:pPr>
        <w:spacing w:after="0"/>
      </w:pPr>
      <w:r>
        <w:t xml:space="preserve">Below screen displays </w:t>
      </w:r>
      <w:r w:rsidRPr="0002073A">
        <w:rPr>
          <w:b/>
          <w:bCs/>
        </w:rPr>
        <w:t>Treasury Confirmation Inquiry</w:t>
      </w:r>
      <w:r>
        <w:t xml:space="preserve"> window:</w:t>
      </w:r>
    </w:p>
    <w:p w14:paraId="47083A4C" w14:textId="4B587C1D" w:rsidR="0002073A" w:rsidRPr="00A417C1" w:rsidRDefault="0002073A" w:rsidP="0002073A">
      <w:pPr>
        <w:shd w:val="clear" w:color="auto" w:fill="FFFFFF"/>
        <w:spacing w:after="100" w:afterAutospacing="1" w:line="240" w:lineRule="auto"/>
        <w:rPr>
          <w:rFonts w:eastAsia="Times New Roman" w:cstheme="minorHAnsi"/>
          <w:color w:val="222222"/>
        </w:rPr>
      </w:pPr>
      <w:r>
        <w:rPr>
          <w:noProof/>
        </w:rPr>
        <w:drawing>
          <wp:inline distT="0" distB="0" distL="0" distR="0" wp14:anchorId="1C9E34DC" wp14:editId="69226C68">
            <wp:extent cx="5943600" cy="265620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3"/>
                    <a:stretch>
                      <a:fillRect/>
                    </a:stretch>
                  </pic:blipFill>
                  <pic:spPr>
                    <a:xfrm>
                      <a:off x="0" y="0"/>
                      <a:ext cx="5943600" cy="2656205"/>
                    </a:xfrm>
                    <a:prstGeom prst="rect">
                      <a:avLst/>
                    </a:prstGeom>
                  </pic:spPr>
                </pic:pic>
              </a:graphicData>
            </a:graphic>
          </wp:inline>
        </w:drawing>
      </w:r>
    </w:p>
    <w:p w14:paraId="7DEFDE48" w14:textId="264E1725" w:rsidR="00FA032C" w:rsidRPr="00FA032C" w:rsidRDefault="00FA032C" w:rsidP="00FA032C">
      <w:bookmarkStart w:id="11" w:name="2565202"/>
      <w:bookmarkEnd w:id="11"/>
    </w:p>
    <w:p w14:paraId="59460590" w14:textId="0DB6739F" w:rsidR="002940D9" w:rsidRDefault="002940D9" w:rsidP="002940D9">
      <w:pPr>
        <w:pStyle w:val="Heading3"/>
      </w:pPr>
      <w:bookmarkStart w:id="12" w:name="_Toc99369882"/>
      <w:r>
        <w:t>Prerequisites for Recording and Confirming Department of Treasury Payments</w:t>
      </w:r>
      <w:bookmarkEnd w:id="12"/>
    </w:p>
    <w:p w14:paraId="49CECB23" w14:textId="77777777" w:rsidR="00C91B11" w:rsidRPr="00A417C1" w:rsidRDefault="00C91B11" w:rsidP="00C91B11">
      <w:pPr>
        <w:pStyle w:val="NormalWeb"/>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Before recording and confirming Treasury payments, you must:</w:t>
      </w:r>
    </w:p>
    <w:p w14:paraId="1D53DA67" w14:textId="77777777" w:rsidR="00C91B11" w:rsidRPr="00A417C1" w:rsidRDefault="00C91B11" w:rsidP="001A24AB">
      <w:pPr>
        <w:pStyle w:val="NormalWeb"/>
        <w:numPr>
          <w:ilvl w:val="0"/>
          <w:numId w:val="4"/>
        </w:numPr>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Complete the payment instructions in Oracle Payments.</w:t>
      </w:r>
    </w:p>
    <w:p w14:paraId="34EE6F58" w14:textId="77777777" w:rsidR="00C91B11" w:rsidRPr="00A417C1" w:rsidRDefault="00C91B11" w:rsidP="001A24AB">
      <w:pPr>
        <w:pStyle w:val="NormalWeb"/>
        <w:numPr>
          <w:ilvl w:val="0"/>
          <w:numId w:val="4"/>
        </w:numPr>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Create accounting entries in Payables for the payments in the payment instruction by running the Create Accounting Process or using the transaction windows.</w:t>
      </w:r>
    </w:p>
    <w:p w14:paraId="3A325936" w14:textId="77777777" w:rsidR="00C91B11" w:rsidRPr="00A417C1" w:rsidRDefault="00C91B11" w:rsidP="001A24AB">
      <w:pPr>
        <w:pStyle w:val="NormalWeb"/>
        <w:numPr>
          <w:ilvl w:val="0"/>
          <w:numId w:val="4"/>
        </w:numPr>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The Treasury confirmation processing is performed at the operating unit level. Therefore, payment instructions must only contain payments from a single operating unit. To achieve this, the payment process profile must have the first party organization selected on the payment instruction creation tab for the payment instruction's format.</w:t>
      </w:r>
    </w:p>
    <w:p w14:paraId="38954914" w14:textId="77777777" w:rsidR="00C91B11" w:rsidRPr="00A417C1" w:rsidRDefault="00C91B11" w:rsidP="001A24AB">
      <w:pPr>
        <w:pStyle w:val="NormalWeb"/>
        <w:numPr>
          <w:ilvl w:val="0"/>
          <w:numId w:val="4"/>
        </w:numPr>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Review the Payment Options Cash Clearing account defined on internal Bank Account to ensure they are defined as intended. The Payment Options Cash Clearing account must be defined on the internal Bank Account used by the Payment transaction in order to properly generate the correct accounting for Payment and Treasury Confirmation transactions.</w:t>
      </w:r>
    </w:p>
    <w:p w14:paraId="522163A6" w14:textId="77777777" w:rsidR="00C91B11" w:rsidRPr="00A417C1" w:rsidRDefault="00C91B11" w:rsidP="001A24AB">
      <w:pPr>
        <w:pStyle w:val="NormalWeb"/>
        <w:numPr>
          <w:ilvl w:val="0"/>
          <w:numId w:val="4"/>
        </w:numPr>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Review the Assign Check Numbers for Cash Payments checkbox on the Federal Options form for each Reporting Agency to ensure that confirmation of cash payments is configured as intended and, if needed, check numbers to the confirmation transaction</w:t>
      </w:r>
    </w:p>
    <w:p w14:paraId="7D3B209F" w14:textId="4796AF60" w:rsidR="002940D9" w:rsidRDefault="002940D9" w:rsidP="002940D9">
      <w:pPr>
        <w:pStyle w:val="Heading3"/>
      </w:pPr>
      <w:bookmarkStart w:id="13" w:name="d0e11651"/>
      <w:bookmarkStart w:id="14" w:name="d0e11658"/>
      <w:bookmarkStart w:id="15" w:name="_Toc99369883"/>
      <w:bookmarkEnd w:id="13"/>
      <w:bookmarkEnd w:id="14"/>
      <w:r>
        <w:t>Recording and Confirming Department of Treasury Payments</w:t>
      </w:r>
      <w:bookmarkEnd w:id="15"/>
    </w:p>
    <w:p w14:paraId="43A32677" w14:textId="75AAA423" w:rsidR="00016702" w:rsidRDefault="00016702" w:rsidP="00016702">
      <w:pPr>
        <w:pStyle w:val="NormalWeb"/>
        <w:shd w:val="clear" w:color="auto" w:fill="FFFFFF"/>
        <w:rPr>
          <w:rFonts w:asciiTheme="minorHAnsi" w:hAnsiTheme="minorHAnsi" w:cstheme="minorHAnsi"/>
          <w:color w:val="222222"/>
          <w:sz w:val="22"/>
          <w:szCs w:val="22"/>
        </w:rPr>
      </w:pPr>
      <w:bookmarkStart w:id="16" w:name="d0e11666"/>
      <w:bookmarkStart w:id="17" w:name="d0e11673"/>
      <w:bookmarkStart w:id="18" w:name="d0e11680"/>
      <w:bookmarkStart w:id="19" w:name="d0e11685"/>
      <w:bookmarkStart w:id="20" w:name="d0e11690"/>
      <w:bookmarkStart w:id="21" w:name="d0e11697"/>
      <w:bookmarkStart w:id="22" w:name="d0e11702"/>
      <w:bookmarkStart w:id="23" w:name="d0e11707"/>
      <w:bookmarkStart w:id="24" w:name="d0e11714"/>
      <w:bookmarkStart w:id="25" w:name="d0e11719"/>
      <w:bookmarkStart w:id="26" w:name="d0e11724"/>
      <w:bookmarkStart w:id="27" w:name="d0e11731"/>
      <w:bookmarkStart w:id="28" w:name="d0e11736"/>
      <w:bookmarkStart w:id="29" w:name="d0e11741"/>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A417C1">
        <w:rPr>
          <w:rFonts w:asciiTheme="minorHAnsi" w:hAnsiTheme="minorHAnsi" w:cstheme="minorHAnsi"/>
          <w:color w:val="222222"/>
          <w:sz w:val="22"/>
          <w:szCs w:val="22"/>
        </w:rPr>
        <w:t>To record and confirm Department of Treasury payment information, navigate to the Treasury Confirmation and Reconciliation window</w:t>
      </w:r>
      <w:r w:rsidR="00937A4F">
        <w:rPr>
          <w:rFonts w:asciiTheme="minorHAnsi" w:hAnsiTheme="minorHAnsi" w:cstheme="minorHAnsi"/>
          <w:color w:val="222222"/>
          <w:sz w:val="22"/>
          <w:szCs w:val="22"/>
        </w:rPr>
        <w:t xml:space="preserve"> as follows: Federal Administrator-&gt;Confirm-&gt;Confirm</w:t>
      </w:r>
    </w:p>
    <w:p w14:paraId="65FF269D" w14:textId="08794F2C" w:rsidR="00937A4F" w:rsidRDefault="00937A4F" w:rsidP="00016702">
      <w:pPr>
        <w:pStyle w:val="NormalWeb"/>
        <w:shd w:val="clear" w:color="auto" w:fill="FFFFFF"/>
        <w:rPr>
          <w:rFonts w:asciiTheme="minorHAnsi" w:hAnsiTheme="minorHAnsi" w:cstheme="minorHAnsi"/>
          <w:color w:val="222222"/>
          <w:sz w:val="22"/>
          <w:szCs w:val="22"/>
        </w:rPr>
      </w:pPr>
      <w:r>
        <w:rPr>
          <w:noProof/>
        </w:rPr>
        <w:lastRenderedPageBreak/>
        <w:drawing>
          <wp:inline distT="0" distB="0" distL="0" distR="0" wp14:anchorId="30DF014F" wp14:editId="240897D8">
            <wp:extent cx="5943600" cy="33991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43600" cy="3399155"/>
                    </a:xfrm>
                    <a:prstGeom prst="rect">
                      <a:avLst/>
                    </a:prstGeom>
                  </pic:spPr>
                </pic:pic>
              </a:graphicData>
            </a:graphic>
          </wp:inline>
        </w:drawing>
      </w:r>
    </w:p>
    <w:p w14:paraId="65078D2D" w14:textId="3E9DF3D1" w:rsidR="00016702" w:rsidRPr="00A417C1" w:rsidRDefault="00016702" w:rsidP="00016702">
      <w:pPr>
        <w:pStyle w:val="NormalWeb"/>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 xml:space="preserve">The </w:t>
      </w:r>
      <w:r w:rsidR="00937A4F">
        <w:rPr>
          <w:rFonts w:asciiTheme="minorHAnsi" w:hAnsiTheme="minorHAnsi" w:cstheme="minorHAnsi"/>
          <w:color w:val="222222"/>
          <w:sz w:val="22"/>
          <w:szCs w:val="22"/>
        </w:rPr>
        <w:t>above screen shot and below</w:t>
      </w:r>
      <w:r w:rsidRPr="00A417C1">
        <w:rPr>
          <w:rFonts w:asciiTheme="minorHAnsi" w:hAnsiTheme="minorHAnsi" w:cstheme="minorHAnsi"/>
          <w:color w:val="222222"/>
          <w:sz w:val="22"/>
          <w:szCs w:val="22"/>
        </w:rPr>
        <w:t xml:space="preserve"> table describes selected fields on the Treasury Confirmation and Reconciliation window.</w:t>
      </w:r>
    </w:p>
    <w:tbl>
      <w:tblPr>
        <w:tblW w:w="7994" w:type="dxa"/>
        <w:tblInd w:w="-8"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1202"/>
        <w:gridCol w:w="6792"/>
      </w:tblGrid>
      <w:tr w:rsidR="00016702" w:rsidRPr="00FA032C" w14:paraId="4745076D" w14:textId="77777777" w:rsidTr="00937A4F">
        <w:trPr>
          <w:trHeight w:val="349"/>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5BF6188C" w14:textId="77777777" w:rsidR="00016702" w:rsidRPr="00FA032C" w:rsidRDefault="00016702" w:rsidP="00FA032C">
            <w:pPr>
              <w:spacing w:after="0"/>
              <w:rPr>
                <w:rFonts w:cstheme="minorHAnsi"/>
                <w:color w:val="222222"/>
                <w:sz w:val="18"/>
                <w:szCs w:val="18"/>
              </w:rPr>
            </w:pPr>
            <w:r w:rsidRPr="00FA032C">
              <w:rPr>
                <w:rFonts w:cstheme="minorHAnsi"/>
                <w:b/>
                <w:bCs/>
                <w:color w:val="222222"/>
                <w:sz w:val="18"/>
                <w:szCs w:val="18"/>
              </w:rPr>
              <w:t>Field Name</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0B1888CE" w14:textId="77777777" w:rsidR="00016702" w:rsidRPr="00FA032C" w:rsidRDefault="00016702" w:rsidP="00FA032C">
            <w:pPr>
              <w:spacing w:after="0"/>
              <w:rPr>
                <w:rFonts w:cstheme="minorHAnsi"/>
                <w:b/>
                <w:bCs/>
                <w:color w:val="222222"/>
                <w:sz w:val="18"/>
                <w:szCs w:val="18"/>
              </w:rPr>
            </w:pPr>
            <w:r w:rsidRPr="00FA032C">
              <w:rPr>
                <w:rFonts w:cstheme="minorHAnsi"/>
                <w:b/>
                <w:bCs/>
                <w:color w:val="222222"/>
                <w:sz w:val="18"/>
                <w:szCs w:val="18"/>
              </w:rPr>
              <w:t>Description</w:t>
            </w:r>
          </w:p>
        </w:tc>
      </w:tr>
      <w:tr w:rsidR="00016702" w:rsidRPr="00FA032C" w14:paraId="0A4E13AA" w14:textId="77777777" w:rsidTr="00937A4F">
        <w:trPr>
          <w:trHeight w:val="454"/>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3E3AAA1A"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Operating Unit</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6B9C888D"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Operating unit of the record.</w:t>
            </w:r>
          </w:p>
          <w:p w14:paraId="6F2F72A5" w14:textId="77777777" w:rsidR="00016702" w:rsidRPr="00FA032C" w:rsidRDefault="00016702" w:rsidP="00FA032C">
            <w:pPr>
              <w:spacing w:after="0"/>
              <w:rPr>
                <w:rFonts w:cstheme="minorHAnsi"/>
                <w:color w:val="222222"/>
                <w:sz w:val="18"/>
                <w:szCs w:val="18"/>
              </w:rPr>
            </w:pPr>
            <w:r w:rsidRPr="00FA032C">
              <w:rPr>
                <w:rStyle w:val="Strong"/>
                <w:rFonts w:cstheme="minorHAnsi"/>
                <w:color w:val="222222"/>
                <w:sz w:val="18"/>
                <w:szCs w:val="18"/>
              </w:rPr>
              <w:t>Note:</w:t>
            </w:r>
            <w:r w:rsidRPr="00FA032C">
              <w:rPr>
                <w:rFonts w:cstheme="minorHAnsi"/>
                <w:color w:val="222222"/>
                <w:sz w:val="18"/>
                <w:szCs w:val="18"/>
              </w:rPr>
              <w:t> The list of values include operating units assigned to the MO: Security profile.</w:t>
            </w:r>
          </w:p>
        </w:tc>
      </w:tr>
      <w:tr w:rsidR="00016702" w:rsidRPr="00FA032C" w14:paraId="352155C1" w14:textId="77777777" w:rsidTr="00937A4F">
        <w:trPr>
          <w:trHeight w:val="261"/>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0550DA3"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Payment Instruction</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09F91EDA"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Payment Instruction</w:t>
            </w:r>
          </w:p>
        </w:tc>
      </w:tr>
      <w:tr w:rsidR="00016702" w:rsidRPr="00FA032C" w14:paraId="77356130" w14:textId="77777777" w:rsidTr="00937A4F">
        <w:trPr>
          <w:trHeight w:val="611"/>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5AE3AEA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Reference Assigned by Admin</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6BB0C2FD"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User defined payment instruction name</w:t>
            </w:r>
          </w:p>
        </w:tc>
      </w:tr>
      <w:tr w:rsidR="00016702" w:rsidRPr="00FA032C" w14:paraId="3FB88021" w14:textId="77777777" w:rsidTr="00937A4F">
        <w:trPr>
          <w:trHeight w:val="454"/>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55DE6340"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Date Sent to Treasury</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4F926EF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Date payment batch sent to treasury; defaults to payment date in payables</w:t>
            </w:r>
          </w:p>
        </w:tc>
      </w:tr>
      <w:tr w:rsidR="00016702" w:rsidRPr="00FA032C" w14:paraId="16E9F06D" w14:textId="77777777" w:rsidTr="00937A4F">
        <w:trPr>
          <w:trHeight w:val="541"/>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4184FE0"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Accomplished Date</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53BD0EB4"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Department of Treasury document date; cannot be before the Date sent to Treasury</w:t>
            </w:r>
          </w:p>
        </w:tc>
      </w:tr>
      <w:tr w:rsidR="00016702" w:rsidRPr="00FA032C" w14:paraId="4333F538" w14:textId="77777777" w:rsidTr="00937A4F">
        <w:trPr>
          <w:trHeight w:val="279"/>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27B941B1"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Range Type</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0919F0B5"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Range type values; includes single or multiple. Default value is single.</w:t>
            </w:r>
          </w:p>
        </w:tc>
      </w:tr>
      <w:tr w:rsidR="00016702" w:rsidRPr="00FA032C" w14:paraId="4D99CDD6" w14:textId="77777777" w:rsidTr="00937A4F">
        <w:trPr>
          <w:trHeight w:val="349"/>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3B53384A"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From</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02A34BA6"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Beginning check sequence number; required if the range type is single; disabled if range type is multiple</w:t>
            </w:r>
          </w:p>
        </w:tc>
      </w:tr>
      <w:tr w:rsidR="00016702" w:rsidRPr="00FA032C" w14:paraId="4B78646C" w14:textId="77777777" w:rsidTr="00937A4F">
        <w:trPr>
          <w:trHeight w:val="279"/>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207A5CDE"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To</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11497E21"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Ending check sequence; required if range type is single; disabled if range type is multiple</w:t>
            </w:r>
          </w:p>
        </w:tc>
      </w:tr>
      <w:tr w:rsidR="00016702" w:rsidRPr="00FA032C" w14:paraId="548BD9DD" w14:textId="77777777" w:rsidTr="00937A4F">
        <w:trPr>
          <w:trHeight w:val="104"/>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64B1520F"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lastRenderedPageBreak/>
              <w:t>Check Ranges</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01A5E697"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Opens check ranges window; disabled if range type is single</w:t>
            </w:r>
          </w:p>
        </w:tc>
      </w:tr>
      <w:tr w:rsidR="00016702" w:rsidRPr="00FA032C" w14:paraId="5AD2748F" w14:textId="77777777" w:rsidTr="00937A4F">
        <w:trPr>
          <w:trHeight w:val="497"/>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431D72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Check Sequence Gap</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5718506E"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Selected when the range type is set to multiple or when a payment in the batch has an offset record with a corrected treasury check no.</w:t>
            </w:r>
          </w:p>
        </w:tc>
      </w:tr>
      <w:tr w:rsidR="00016702" w:rsidRPr="00FA032C" w14:paraId="0982188D" w14:textId="77777777" w:rsidTr="00937A4F">
        <w:trPr>
          <w:trHeight w:val="454"/>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56CE81A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Treasury Check No</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4B51504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Department of treasury check number</w:t>
            </w:r>
          </w:p>
        </w:tc>
      </w:tr>
      <w:tr w:rsidR="00016702" w:rsidRPr="00FA032C" w14:paraId="738E67B1" w14:textId="77777777" w:rsidTr="00937A4F">
        <w:trPr>
          <w:trHeight w:val="305"/>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5EF4A1C0"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Amount</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69EE3C5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Document amount</w:t>
            </w:r>
          </w:p>
        </w:tc>
      </w:tr>
      <w:tr w:rsidR="00016702" w:rsidRPr="00FA032C" w14:paraId="69128B04" w14:textId="77777777" w:rsidTr="00937A4F">
        <w:trPr>
          <w:trHeight w:val="768"/>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392CDC13"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Void</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0903989A"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Indicates that payment is voided</w:t>
            </w:r>
          </w:p>
          <w:p w14:paraId="6A01FB4C" w14:textId="77777777" w:rsidR="00016702" w:rsidRPr="00FA032C" w:rsidRDefault="00016702" w:rsidP="00FA032C">
            <w:pPr>
              <w:spacing w:after="0"/>
              <w:rPr>
                <w:rFonts w:cstheme="minorHAnsi"/>
                <w:color w:val="222222"/>
                <w:sz w:val="18"/>
                <w:szCs w:val="18"/>
              </w:rPr>
            </w:pPr>
            <w:r w:rsidRPr="00FA032C">
              <w:rPr>
                <w:rStyle w:val="Strong"/>
                <w:rFonts w:cstheme="minorHAnsi"/>
                <w:color w:val="222222"/>
                <w:sz w:val="18"/>
                <w:szCs w:val="18"/>
              </w:rPr>
              <w:t>Note:</w:t>
            </w:r>
            <w:r w:rsidRPr="00FA032C">
              <w:rPr>
                <w:rFonts w:cstheme="minorHAnsi"/>
                <w:color w:val="222222"/>
                <w:sz w:val="18"/>
                <w:szCs w:val="18"/>
              </w:rPr>
              <w:t> When a payment is voided in payables, the void check box is selected in the treasury confirmation and reconciliation window.</w:t>
            </w:r>
          </w:p>
        </w:tc>
      </w:tr>
      <w:tr w:rsidR="00016702" w:rsidRPr="00FA032C" w14:paraId="50AC0493" w14:textId="77777777" w:rsidTr="00937A4F">
        <w:trPr>
          <w:trHeight w:val="366"/>
        </w:trPr>
        <w:tc>
          <w:tcPr>
            <w:tcW w:w="1202"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76C14B0"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Offset</w:t>
            </w:r>
          </w:p>
        </w:tc>
        <w:tc>
          <w:tcPr>
            <w:tcW w:w="6792" w:type="dxa"/>
            <w:tcBorders>
              <w:top w:val="outset" w:sz="6" w:space="0" w:color="auto"/>
              <w:left w:val="outset" w:sz="6" w:space="0" w:color="auto"/>
              <w:bottom w:val="outset" w:sz="6" w:space="0" w:color="auto"/>
              <w:right w:val="outset" w:sz="6" w:space="0" w:color="auto"/>
            </w:tcBorders>
            <w:shd w:val="clear" w:color="auto" w:fill="FFFFFF"/>
          </w:tcPr>
          <w:p w14:paraId="58625D8E"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Indicates payment has offset</w:t>
            </w:r>
          </w:p>
        </w:tc>
      </w:tr>
      <w:tr w:rsidR="00016702" w:rsidRPr="00FA032C" w14:paraId="0B8E4EA6" w14:textId="77777777" w:rsidTr="00937A4F">
        <w:trPr>
          <w:trHeight w:val="153"/>
        </w:trPr>
        <w:tc>
          <w:tcPr>
            <w:tcW w:w="1202"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72385C22"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Gap</w:t>
            </w:r>
          </w:p>
        </w:tc>
        <w:tc>
          <w:tcPr>
            <w:tcW w:w="6792" w:type="dxa"/>
            <w:tcBorders>
              <w:top w:val="outset" w:sz="6" w:space="0" w:color="auto"/>
              <w:left w:val="outset" w:sz="6" w:space="0" w:color="auto"/>
              <w:bottom w:val="outset" w:sz="6" w:space="0" w:color="auto"/>
              <w:right w:val="outset" w:sz="6" w:space="0" w:color="auto"/>
            </w:tcBorders>
            <w:shd w:val="clear" w:color="auto" w:fill="F9F9F9"/>
          </w:tcPr>
          <w:p w14:paraId="7733714B" w14:textId="77777777" w:rsidR="00016702" w:rsidRPr="00FA032C" w:rsidRDefault="00016702" w:rsidP="00FA032C">
            <w:pPr>
              <w:spacing w:after="0"/>
              <w:rPr>
                <w:rFonts w:cstheme="minorHAnsi"/>
                <w:color w:val="222222"/>
                <w:sz w:val="18"/>
                <w:szCs w:val="18"/>
              </w:rPr>
            </w:pPr>
            <w:r w:rsidRPr="00FA032C">
              <w:rPr>
                <w:rFonts w:cstheme="minorHAnsi"/>
                <w:color w:val="222222"/>
                <w:sz w:val="18"/>
                <w:szCs w:val="18"/>
              </w:rPr>
              <w:t>Indicates payment has a document number sequence gap</w:t>
            </w:r>
          </w:p>
        </w:tc>
      </w:tr>
      <w:bookmarkEnd w:id="2"/>
    </w:tbl>
    <w:p w14:paraId="0BCA42E9" w14:textId="4C9F614E" w:rsidR="00937A4F" w:rsidRDefault="00937A4F" w:rsidP="00937A4F">
      <w:pPr>
        <w:spacing w:before="240"/>
      </w:pPr>
    </w:p>
    <w:p w14:paraId="52BB37F0" w14:textId="3CA2DEA7" w:rsidR="00A35960" w:rsidRPr="002940D9" w:rsidRDefault="002940D9" w:rsidP="00052E7A">
      <w:pPr>
        <w:pStyle w:val="Heading3"/>
      </w:pPr>
      <w:bookmarkStart w:id="30" w:name="_Toc99369884"/>
      <w:r>
        <w:t>Treasury Confirmation Process Map</w:t>
      </w:r>
      <w:bookmarkEnd w:id="30"/>
      <w:r w:rsidR="00A35960" w:rsidRPr="00E60580">
        <w:rPr>
          <w:color w:val="8EAADB" w:themeColor="accent5" w:themeTint="99"/>
        </w:rPr>
        <w:t xml:space="preserve"> </w:t>
      </w:r>
    </w:p>
    <w:p w14:paraId="6EE72CB3" w14:textId="26F6D3C6" w:rsidR="00BD6A59" w:rsidRPr="008308CE" w:rsidRDefault="00BD6A59" w:rsidP="0095398D">
      <w:pPr>
        <w:rPr>
          <w:b/>
          <w:bCs/>
          <w:color w:val="808080" w:themeColor="background1" w:themeShade="80"/>
        </w:rPr>
      </w:pPr>
      <w:r>
        <w:rPr>
          <w:noProof/>
        </w:rPr>
        <w:drawing>
          <wp:inline distT="0" distB="0" distL="0" distR="0" wp14:anchorId="66271264" wp14:editId="7BD7411D">
            <wp:extent cx="5943600" cy="2784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2784475"/>
                    </a:xfrm>
                    <a:prstGeom prst="rect">
                      <a:avLst/>
                    </a:prstGeom>
                  </pic:spPr>
                </pic:pic>
              </a:graphicData>
            </a:graphic>
          </wp:inline>
        </w:drawing>
      </w:r>
    </w:p>
    <w:p w14:paraId="21113C57" w14:textId="7657C7E2" w:rsidR="002940D9" w:rsidRDefault="002940D9" w:rsidP="002940D9">
      <w:pPr>
        <w:pStyle w:val="Heading3"/>
      </w:pPr>
      <w:bookmarkStart w:id="31" w:name="_Toc99369885"/>
      <w:r>
        <w:t>Treasury Confirmation Process Steps</w:t>
      </w:r>
      <w:bookmarkEnd w:id="31"/>
    </w:p>
    <w:p w14:paraId="65EF5B01" w14:textId="77777777" w:rsidR="00B81ABF" w:rsidRPr="00B81ABF" w:rsidRDefault="00B81ABF" w:rsidP="00B81ABF"/>
    <w:tbl>
      <w:tblPr>
        <w:tblW w:w="94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ayout w:type="fixed"/>
        <w:tblLook w:val="0400" w:firstRow="0" w:lastRow="0" w:firstColumn="0" w:lastColumn="0" w:noHBand="0" w:noVBand="1"/>
      </w:tblPr>
      <w:tblGrid>
        <w:gridCol w:w="706"/>
        <w:gridCol w:w="8736"/>
      </w:tblGrid>
      <w:tr w:rsidR="00607D78" w:rsidRPr="00607D78" w14:paraId="76ABB556" w14:textId="77777777" w:rsidTr="00A33F3C">
        <w:trPr>
          <w:trHeight w:val="530"/>
        </w:trPr>
        <w:tc>
          <w:tcPr>
            <w:tcW w:w="70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594C4FEE" w14:textId="77777777" w:rsidR="00607D78" w:rsidRPr="00607D78" w:rsidRDefault="00607D78" w:rsidP="00A33F3C">
            <w:pPr>
              <w:rPr>
                <w:rFonts w:cstheme="minorHAnsi"/>
                <w:b/>
                <w:bCs/>
              </w:rPr>
            </w:pPr>
            <w:r w:rsidRPr="00607D78">
              <w:rPr>
                <w:rFonts w:cstheme="minorHAnsi"/>
                <w:b/>
                <w:bCs/>
              </w:rPr>
              <w:t>Step</w:t>
            </w:r>
          </w:p>
        </w:tc>
        <w:tc>
          <w:tcPr>
            <w:tcW w:w="873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5FA34A7B" w14:textId="77777777" w:rsidR="00607D78" w:rsidRPr="00607D78" w:rsidRDefault="00607D78" w:rsidP="00A33F3C">
            <w:pPr>
              <w:jc w:val="center"/>
              <w:rPr>
                <w:rFonts w:cstheme="minorHAnsi"/>
              </w:rPr>
            </w:pPr>
            <w:r w:rsidRPr="00607D78">
              <w:rPr>
                <w:rFonts w:cstheme="minorHAnsi"/>
                <w:b/>
              </w:rPr>
              <w:t>Short Description of Key Process Steps</w:t>
            </w:r>
          </w:p>
        </w:tc>
      </w:tr>
      <w:tr w:rsidR="00607D78" w:rsidRPr="00607D78" w14:paraId="4B73264E" w14:textId="77777777" w:rsidTr="00B81ABF">
        <w:trPr>
          <w:trHeight w:val="462"/>
        </w:trPr>
        <w:tc>
          <w:tcPr>
            <w:tcW w:w="706" w:type="dxa"/>
            <w:tcBorders>
              <w:top w:val="single" w:sz="6" w:space="0" w:color="A6A6A6" w:themeColor="background1" w:themeShade="A6"/>
            </w:tcBorders>
          </w:tcPr>
          <w:p w14:paraId="3458AC03" w14:textId="77777777" w:rsidR="00607D78" w:rsidRPr="00607D78" w:rsidRDefault="00607D78" w:rsidP="00A33F3C">
            <w:pPr>
              <w:spacing w:after="0"/>
              <w:rPr>
                <w:rFonts w:cstheme="minorHAnsi"/>
              </w:rPr>
            </w:pPr>
            <w:r w:rsidRPr="00607D78">
              <w:rPr>
                <w:rFonts w:cstheme="minorHAnsi"/>
              </w:rPr>
              <w:t>1</w:t>
            </w:r>
          </w:p>
        </w:tc>
        <w:tc>
          <w:tcPr>
            <w:tcW w:w="8736" w:type="dxa"/>
            <w:tcBorders>
              <w:top w:val="single" w:sz="6" w:space="0" w:color="A6A6A6" w:themeColor="background1" w:themeShade="A6"/>
            </w:tcBorders>
          </w:tcPr>
          <w:p w14:paraId="48CBCE06" w14:textId="0AB82D21" w:rsidR="00607D78" w:rsidRPr="00607D78" w:rsidRDefault="00B81ABF" w:rsidP="00B81ABF">
            <w:pPr>
              <w:shd w:val="clear" w:color="auto" w:fill="FFFFFF"/>
              <w:spacing w:before="100" w:beforeAutospacing="1" w:after="100" w:afterAutospacing="1" w:line="240" w:lineRule="auto"/>
              <w:rPr>
                <w:rFonts w:cstheme="minorHAnsi"/>
              </w:rPr>
            </w:pPr>
            <w:r w:rsidRPr="00A417C1">
              <w:rPr>
                <w:rFonts w:eastAsia="Times New Roman" w:cstheme="minorHAnsi"/>
                <w:color w:val="222222"/>
              </w:rPr>
              <w:t>The agency enters and confirms the payment process request in Oracle Payables.</w:t>
            </w:r>
          </w:p>
        </w:tc>
      </w:tr>
      <w:tr w:rsidR="00607D78" w:rsidRPr="00607D78" w14:paraId="182411FE" w14:textId="77777777" w:rsidTr="00B81ABF">
        <w:trPr>
          <w:trHeight w:val="345"/>
        </w:trPr>
        <w:tc>
          <w:tcPr>
            <w:tcW w:w="706" w:type="dxa"/>
          </w:tcPr>
          <w:p w14:paraId="1B91660A" w14:textId="77777777" w:rsidR="00607D78" w:rsidRPr="00607D78" w:rsidRDefault="00607D78" w:rsidP="00A33F3C">
            <w:pPr>
              <w:spacing w:after="0"/>
              <w:rPr>
                <w:rFonts w:cstheme="minorHAnsi"/>
              </w:rPr>
            </w:pPr>
            <w:r w:rsidRPr="00607D78">
              <w:rPr>
                <w:rFonts w:cstheme="minorHAnsi"/>
              </w:rPr>
              <w:t>2</w:t>
            </w:r>
          </w:p>
        </w:tc>
        <w:tc>
          <w:tcPr>
            <w:tcW w:w="8736" w:type="dxa"/>
          </w:tcPr>
          <w:p w14:paraId="34045018" w14:textId="00988A0F" w:rsidR="00607D78" w:rsidRPr="00607D78" w:rsidRDefault="00B81ABF" w:rsidP="00B81ABF">
            <w:pPr>
              <w:shd w:val="clear" w:color="auto" w:fill="FFFFFF"/>
              <w:spacing w:before="100" w:beforeAutospacing="1" w:after="100" w:afterAutospacing="1" w:line="240" w:lineRule="auto"/>
              <w:rPr>
                <w:rFonts w:cstheme="minorHAnsi"/>
              </w:rPr>
            </w:pPr>
            <w:r w:rsidRPr="00A417C1">
              <w:rPr>
                <w:rFonts w:eastAsia="Times New Roman" w:cstheme="minorHAnsi"/>
                <w:color w:val="222222"/>
              </w:rPr>
              <w:t>The agency sends the payment file to Treasury for payment</w:t>
            </w:r>
            <w:r>
              <w:rPr>
                <w:rFonts w:eastAsia="Times New Roman" w:cstheme="minorHAnsi"/>
                <w:color w:val="222222"/>
              </w:rPr>
              <w:t>.</w:t>
            </w:r>
          </w:p>
        </w:tc>
      </w:tr>
      <w:tr w:rsidR="00607D78" w:rsidRPr="00607D78" w14:paraId="00E642E0" w14:textId="77777777" w:rsidTr="00B81ABF">
        <w:trPr>
          <w:trHeight w:val="345"/>
        </w:trPr>
        <w:tc>
          <w:tcPr>
            <w:tcW w:w="706" w:type="dxa"/>
          </w:tcPr>
          <w:p w14:paraId="3AD309B3" w14:textId="77777777" w:rsidR="00607D78" w:rsidRPr="00607D78" w:rsidRDefault="00607D78" w:rsidP="00A33F3C">
            <w:pPr>
              <w:spacing w:after="0"/>
              <w:rPr>
                <w:rFonts w:cstheme="minorHAnsi"/>
              </w:rPr>
            </w:pPr>
            <w:r w:rsidRPr="00607D78">
              <w:rPr>
                <w:rFonts w:cstheme="minorHAnsi"/>
              </w:rPr>
              <w:lastRenderedPageBreak/>
              <w:t>3</w:t>
            </w:r>
          </w:p>
        </w:tc>
        <w:tc>
          <w:tcPr>
            <w:tcW w:w="8736" w:type="dxa"/>
          </w:tcPr>
          <w:p w14:paraId="4D27FC5B" w14:textId="039B06C6" w:rsidR="00607D78" w:rsidRPr="00607D78" w:rsidRDefault="00B81ABF" w:rsidP="00B81ABF">
            <w:pPr>
              <w:shd w:val="clear" w:color="auto" w:fill="FFFFFF"/>
              <w:spacing w:before="100" w:beforeAutospacing="1" w:after="100" w:afterAutospacing="1" w:line="240" w:lineRule="auto"/>
              <w:rPr>
                <w:rFonts w:cstheme="minorHAnsi"/>
              </w:rPr>
            </w:pPr>
            <w:r w:rsidRPr="00A417C1">
              <w:rPr>
                <w:rFonts w:eastAsia="Times New Roman" w:cstheme="minorHAnsi"/>
                <w:color w:val="222222"/>
              </w:rPr>
              <w:t>Treasury sends back the Agency Confirmation report.</w:t>
            </w:r>
          </w:p>
        </w:tc>
      </w:tr>
      <w:tr w:rsidR="00607D78" w:rsidRPr="00607D78" w14:paraId="0AA658AA" w14:textId="77777777" w:rsidTr="00B81ABF">
        <w:trPr>
          <w:trHeight w:val="1785"/>
        </w:trPr>
        <w:tc>
          <w:tcPr>
            <w:tcW w:w="706" w:type="dxa"/>
          </w:tcPr>
          <w:p w14:paraId="1CA04153" w14:textId="77777777" w:rsidR="00607D78" w:rsidRPr="00607D78" w:rsidRDefault="00607D78" w:rsidP="00A33F3C">
            <w:pPr>
              <w:spacing w:after="0"/>
              <w:rPr>
                <w:rFonts w:cstheme="minorHAnsi"/>
              </w:rPr>
            </w:pPr>
            <w:r w:rsidRPr="00607D78">
              <w:rPr>
                <w:rFonts w:cstheme="minorHAnsi"/>
              </w:rPr>
              <w:t>4</w:t>
            </w:r>
          </w:p>
        </w:tc>
        <w:tc>
          <w:tcPr>
            <w:tcW w:w="8736" w:type="dxa"/>
          </w:tcPr>
          <w:p w14:paraId="7B94AD0C" w14:textId="77777777" w:rsidR="00B81ABF" w:rsidRDefault="00B81ABF" w:rsidP="00B81ABF">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The agency navigates to the Treasury Confirmation and Reconciliation window and enters the Accomplish Date, Amount, and the Treasury Check Information.</w:t>
            </w:r>
          </w:p>
          <w:p w14:paraId="4AF6DE9A" w14:textId="22FDA76F" w:rsidR="00607D78" w:rsidRPr="00607D78" w:rsidRDefault="00B81ABF" w:rsidP="00B81ABF">
            <w:pPr>
              <w:shd w:val="clear" w:color="auto" w:fill="FFFFFF"/>
              <w:spacing w:before="100" w:beforeAutospacing="1" w:after="100" w:afterAutospacing="1" w:line="240" w:lineRule="auto"/>
              <w:rPr>
                <w:rFonts w:cstheme="minorHAnsi"/>
              </w:rPr>
            </w:pPr>
            <w:r w:rsidRPr="00B81ABF">
              <w:rPr>
                <w:rFonts w:cstheme="minorHAnsi"/>
                <w:color w:val="222222"/>
              </w:rPr>
              <w:t>If there is only one check range, the agency selects Single as the Range Type. The From and To fields are then required. If there are multiple check ranges, the agency selects Multiple as the Range Type and the agency enters at least two ranges in the Check Ranges window.</w:t>
            </w:r>
          </w:p>
        </w:tc>
      </w:tr>
      <w:tr w:rsidR="00607D78" w:rsidRPr="00607D78" w14:paraId="10809849" w14:textId="77777777" w:rsidTr="00B81ABF">
        <w:trPr>
          <w:trHeight w:val="705"/>
        </w:trPr>
        <w:tc>
          <w:tcPr>
            <w:tcW w:w="706" w:type="dxa"/>
          </w:tcPr>
          <w:p w14:paraId="2AA42622" w14:textId="77777777" w:rsidR="00607D78" w:rsidRPr="00607D78" w:rsidRDefault="00607D78" w:rsidP="00A33F3C">
            <w:pPr>
              <w:spacing w:after="0"/>
              <w:rPr>
                <w:rFonts w:cstheme="minorHAnsi"/>
              </w:rPr>
            </w:pPr>
            <w:r w:rsidRPr="00607D78">
              <w:rPr>
                <w:rFonts w:cstheme="minorHAnsi"/>
              </w:rPr>
              <w:t>5</w:t>
            </w:r>
          </w:p>
        </w:tc>
        <w:tc>
          <w:tcPr>
            <w:tcW w:w="8736" w:type="dxa"/>
          </w:tcPr>
          <w:p w14:paraId="7657BEEA" w14:textId="5601411F" w:rsidR="00607D78" w:rsidRPr="00607D78" w:rsidRDefault="00B81ABF" w:rsidP="00B81ABF">
            <w:pPr>
              <w:shd w:val="clear" w:color="auto" w:fill="FFFFFF"/>
              <w:spacing w:before="100" w:beforeAutospacing="1" w:after="100" w:afterAutospacing="1" w:line="240" w:lineRule="auto"/>
              <w:rPr>
                <w:rFonts w:cstheme="minorHAnsi"/>
              </w:rPr>
            </w:pPr>
            <w:r w:rsidRPr="00A417C1">
              <w:rPr>
                <w:rFonts w:eastAsia="Times New Roman" w:cstheme="minorHAnsi"/>
                <w:color w:val="222222"/>
              </w:rPr>
              <w:t>If an offset occurs, the agency clicks Offset to enter Offset information from Treasury before confirming the payment.</w:t>
            </w:r>
          </w:p>
        </w:tc>
      </w:tr>
      <w:tr w:rsidR="00607D78" w:rsidRPr="00607D78" w14:paraId="4641B1C6" w14:textId="77777777" w:rsidTr="00B81ABF">
        <w:trPr>
          <w:trHeight w:val="345"/>
        </w:trPr>
        <w:tc>
          <w:tcPr>
            <w:tcW w:w="706" w:type="dxa"/>
          </w:tcPr>
          <w:p w14:paraId="305ED0FB" w14:textId="77777777" w:rsidR="00607D78" w:rsidRPr="00607D78" w:rsidRDefault="00607D78" w:rsidP="00A33F3C">
            <w:pPr>
              <w:spacing w:after="0"/>
              <w:rPr>
                <w:rFonts w:cstheme="minorHAnsi"/>
              </w:rPr>
            </w:pPr>
            <w:r w:rsidRPr="00607D78">
              <w:rPr>
                <w:rFonts w:cstheme="minorHAnsi"/>
              </w:rPr>
              <w:t>6</w:t>
            </w:r>
          </w:p>
        </w:tc>
        <w:tc>
          <w:tcPr>
            <w:tcW w:w="8736" w:type="dxa"/>
          </w:tcPr>
          <w:p w14:paraId="40840A52" w14:textId="092C33A2" w:rsidR="00607D78" w:rsidRPr="00607D78" w:rsidRDefault="00B81ABF" w:rsidP="00B81ABF">
            <w:pPr>
              <w:shd w:val="clear" w:color="auto" w:fill="FFFFFF"/>
              <w:spacing w:before="100" w:beforeAutospacing="1" w:after="100" w:afterAutospacing="1" w:line="240" w:lineRule="auto"/>
              <w:rPr>
                <w:rFonts w:cstheme="minorHAnsi"/>
              </w:rPr>
            </w:pPr>
            <w:r w:rsidRPr="00A417C1">
              <w:rPr>
                <w:rFonts w:eastAsia="Times New Roman" w:cstheme="minorHAnsi"/>
                <w:color w:val="222222"/>
              </w:rPr>
              <w:t>The agency clicks Confirm in the Treasury Confirmation and Reconciliation window.</w:t>
            </w:r>
          </w:p>
        </w:tc>
      </w:tr>
    </w:tbl>
    <w:p w14:paraId="686F24B9" w14:textId="555BA8BD" w:rsidR="002940D9" w:rsidRDefault="002940D9" w:rsidP="002940D9">
      <w:pPr>
        <w:pStyle w:val="Heading3"/>
      </w:pPr>
      <w:bookmarkStart w:id="32" w:name="_Toc99369886"/>
      <w:r>
        <w:t>Check Range Examples</w:t>
      </w:r>
      <w:bookmarkEnd w:id="32"/>
    </w:p>
    <w:p w14:paraId="22D843BD" w14:textId="2A520B9D" w:rsidR="004434C4" w:rsidRPr="004434C4" w:rsidRDefault="004E6BD6" w:rsidP="004434C4">
      <w:r>
        <w:t>Below 3 examples explain how the</w:t>
      </w:r>
      <w:r w:rsidR="004434C4">
        <w:t xml:space="preserve"> Payables Check Number</w:t>
      </w:r>
      <w:r>
        <w:t>s</w:t>
      </w:r>
      <w:r w:rsidR="004434C4">
        <w:t xml:space="preserve"> and Treasury Check Number</w:t>
      </w:r>
      <w:r>
        <w:t>s are assigned:</w:t>
      </w:r>
    </w:p>
    <w:p w14:paraId="4CF81A1B" w14:textId="77777777" w:rsidR="004434C4" w:rsidRPr="00E60580" w:rsidRDefault="004434C4" w:rsidP="00135773">
      <w:pPr>
        <w:pStyle w:val="Heading4"/>
        <w:rPr>
          <w:rFonts w:eastAsia="Times New Roman"/>
          <w:color w:val="8EAADB" w:themeColor="accent5" w:themeTint="99"/>
        </w:rPr>
      </w:pPr>
      <w:r w:rsidRPr="00E60580">
        <w:rPr>
          <w:rFonts w:eastAsia="Times New Roman"/>
          <w:color w:val="8EAADB" w:themeColor="accent5" w:themeTint="99"/>
        </w:rPr>
        <w:t>Example 1: The Agency Confirmation Report contains an offset.</w:t>
      </w:r>
    </w:p>
    <w:p w14:paraId="650E607D"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In this scenario, the offset payment check number is outside of the check range provided by Treasury, and the remaining check numbers are not resequenced.</w:t>
      </w:r>
    </w:p>
    <w:p w14:paraId="73987DB7"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The payment process request has 8 payments. The payment process request has payment numbers 2202 to 2209. The payment range assigned by Treasury for this payment file is 7 - 14. An offset occurs. Treasury number 74 is assigned to the fifth payment or the original Treasury number 11. This example could be entered in these ways.</w:t>
      </w:r>
    </w:p>
    <w:p w14:paraId="3C1BBB4F" w14:textId="77777777" w:rsidR="004434C4" w:rsidRPr="00E60580" w:rsidRDefault="004434C4" w:rsidP="004434C4">
      <w:pPr>
        <w:shd w:val="clear" w:color="auto" w:fill="FFFFFF"/>
        <w:spacing w:before="240" w:after="90" w:line="240" w:lineRule="auto"/>
        <w:outlineLvl w:val="3"/>
        <w:rPr>
          <w:rFonts w:eastAsia="Times New Roman" w:cstheme="minorHAnsi"/>
          <w:color w:val="8EAADB" w:themeColor="accent5" w:themeTint="99"/>
        </w:rPr>
      </w:pPr>
      <w:r w:rsidRPr="00E60580">
        <w:rPr>
          <w:rFonts w:eastAsia="Times New Roman" w:cstheme="minorHAnsi"/>
          <w:b/>
          <w:bCs/>
          <w:color w:val="8EAADB" w:themeColor="accent5" w:themeTint="99"/>
        </w:rPr>
        <w:t>A.</w:t>
      </w:r>
    </w:p>
    <w:p w14:paraId="0EED99D9"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Perform these steps:</w:t>
      </w:r>
    </w:p>
    <w:p w14:paraId="4C33CCA2" w14:textId="77777777" w:rsidR="004434C4" w:rsidRPr="00A417C1" w:rsidRDefault="004434C4" w:rsidP="001A24AB">
      <w:pPr>
        <w:numPr>
          <w:ilvl w:val="0"/>
          <w:numId w:val="5"/>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Single as the Range Type.</w:t>
      </w:r>
    </w:p>
    <w:p w14:paraId="7A3E4288" w14:textId="77777777" w:rsidR="004434C4" w:rsidRPr="00A417C1" w:rsidRDefault="004434C4" w:rsidP="001A24AB">
      <w:pPr>
        <w:numPr>
          <w:ilvl w:val="0"/>
          <w:numId w:val="5"/>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7 in the From field and 14 in the To field.</w:t>
      </w:r>
    </w:p>
    <w:p w14:paraId="418B59E3" w14:textId="77777777" w:rsidR="004434C4" w:rsidRPr="00A417C1" w:rsidRDefault="004434C4" w:rsidP="001A24AB">
      <w:pPr>
        <w:numPr>
          <w:ilvl w:val="0"/>
          <w:numId w:val="5"/>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Place the cursor on the fifth payment, Treasury Check No. 11, in the Invoice Payment Details region.</w:t>
      </w:r>
    </w:p>
    <w:p w14:paraId="1A042452" w14:textId="77777777" w:rsidR="004434C4" w:rsidRPr="00A417C1" w:rsidRDefault="004434C4" w:rsidP="001A24AB">
      <w:pPr>
        <w:numPr>
          <w:ilvl w:val="0"/>
          <w:numId w:val="5"/>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Click Offset.</w:t>
      </w:r>
    </w:p>
    <w:p w14:paraId="2BF222E0" w14:textId="77777777" w:rsidR="004434C4" w:rsidRPr="00A417C1" w:rsidRDefault="004434C4" w:rsidP="001A24AB">
      <w:pPr>
        <w:numPr>
          <w:ilvl w:val="0"/>
          <w:numId w:val="5"/>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the Corrected Treasury Check No. as 74.</w:t>
      </w:r>
    </w:p>
    <w:p w14:paraId="0330B0FD" w14:textId="77777777" w:rsidR="004434C4" w:rsidRPr="00A417C1" w:rsidRDefault="004434C4" w:rsidP="004434C4">
      <w:pPr>
        <w:shd w:val="clear" w:color="auto" w:fill="FFFFFF"/>
        <w:spacing w:before="100" w:beforeAutospacing="1" w:after="100" w:afterAutospacing="1" w:line="240" w:lineRule="auto"/>
        <w:ind w:left="720"/>
        <w:rPr>
          <w:rFonts w:eastAsia="Times New Roman" w:cstheme="minorHAnsi"/>
          <w:color w:val="222222"/>
        </w:rPr>
      </w:pPr>
      <w:r w:rsidRPr="00A417C1">
        <w:rPr>
          <w:rFonts w:eastAsia="Times New Roman" w:cstheme="minorHAnsi"/>
          <w:color w:val="222222"/>
        </w:rPr>
        <w:t>Gap is now selected for this record in the Invoice Payment Details region and Check Sequence Gap is selected.</w:t>
      </w:r>
    </w:p>
    <w:p w14:paraId="7E028391" w14:textId="77777777" w:rsidR="004434C4" w:rsidRPr="00E60580" w:rsidRDefault="004434C4" w:rsidP="004434C4">
      <w:pPr>
        <w:shd w:val="clear" w:color="auto" w:fill="FFFFFF"/>
        <w:spacing w:before="240" w:after="90" w:line="240" w:lineRule="auto"/>
        <w:outlineLvl w:val="3"/>
        <w:rPr>
          <w:rFonts w:eastAsia="Times New Roman" w:cstheme="minorHAnsi"/>
          <w:color w:val="8EAADB" w:themeColor="accent5" w:themeTint="99"/>
        </w:rPr>
      </w:pPr>
      <w:r w:rsidRPr="00E60580">
        <w:rPr>
          <w:rFonts w:eastAsia="Times New Roman" w:cstheme="minorHAnsi"/>
          <w:b/>
          <w:bCs/>
          <w:color w:val="8EAADB" w:themeColor="accent5" w:themeTint="99"/>
        </w:rPr>
        <w:t>B.</w:t>
      </w:r>
    </w:p>
    <w:p w14:paraId="417E5195" w14:textId="77777777" w:rsidR="004434C4" w:rsidRPr="00A417C1" w:rsidRDefault="004434C4" w:rsidP="001A24AB">
      <w:pPr>
        <w:numPr>
          <w:ilvl w:val="0"/>
          <w:numId w:val="6"/>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In the Treasury Confirmation and Reconciliation window, click Check Ranges.</w:t>
      </w:r>
    </w:p>
    <w:p w14:paraId="260C8DEF" w14:textId="77777777" w:rsidR="004434C4" w:rsidRPr="00A417C1" w:rsidRDefault="004434C4" w:rsidP="001A24AB">
      <w:pPr>
        <w:numPr>
          <w:ilvl w:val="0"/>
          <w:numId w:val="6"/>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sequences as described in the following table:</w:t>
      </w:r>
    </w:p>
    <w:tbl>
      <w:tblPr>
        <w:tblW w:w="8190" w:type="dxa"/>
        <w:tblInd w:w="-8"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2250"/>
        <w:gridCol w:w="2970"/>
        <w:gridCol w:w="2970"/>
      </w:tblGrid>
      <w:tr w:rsidR="004434C4" w:rsidRPr="00A417C1" w14:paraId="5CA638F6" w14:textId="77777777" w:rsidTr="00997712">
        <w:tc>
          <w:tcPr>
            <w:tcW w:w="225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4AADC44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Range Sequence</w:t>
            </w:r>
          </w:p>
        </w:tc>
        <w:tc>
          <w:tcPr>
            <w:tcW w:w="2970" w:type="dxa"/>
            <w:tcBorders>
              <w:top w:val="outset" w:sz="6" w:space="0" w:color="auto"/>
              <w:left w:val="outset" w:sz="6" w:space="0" w:color="auto"/>
              <w:bottom w:val="outset" w:sz="6" w:space="0" w:color="auto"/>
              <w:right w:val="outset" w:sz="6" w:space="0" w:color="auto"/>
            </w:tcBorders>
            <w:shd w:val="clear" w:color="auto" w:fill="FFFFFF"/>
          </w:tcPr>
          <w:p w14:paraId="074F589F" w14:textId="77777777" w:rsidR="004434C4" w:rsidRPr="00A417C1" w:rsidRDefault="004434C4" w:rsidP="00997712">
            <w:pPr>
              <w:spacing w:after="0" w:line="240" w:lineRule="auto"/>
              <w:rPr>
                <w:rFonts w:eastAsia="Times New Roman" w:cstheme="minorHAnsi"/>
                <w:b/>
                <w:bCs/>
                <w:color w:val="222222"/>
              </w:rPr>
            </w:pPr>
            <w:r w:rsidRPr="00A417C1">
              <w:rPr>
                <w:rFonts w:eastAsia="Times New Roman" w:cstheme="minorHAnsi"/>
                <w:b/>
                <w:bCs/>
                <w:color w:val="222222"/>
              </w:rPr>
              <w:t>From</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A077F2B"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To</w:t>
            </w:r>
          </w:p>
        </w:tc>
      </w:tr>
      <w:tr w:rsidR="004434C4" w:rsidRPr="00A417C1" w14:paraId="57D02971" w14:textId="77777777" w:rsidTr="00997712">
        <w:tc>
          <w:tcPr>
            <w:tcW w:w="225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6FE412E0"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lastRenderedPageBreak/>
              <w:t>1</w:t>
            </w:r>
          </w:p>
        </w:tc>
        <w:tc>
          <w:tcPr>
            <w:tcW w:w="2970" w:type="dxa"/>
            <w:tcBorders>
              <w:top w:val="outset" w:sz="6" w:space="0" w:color="auto"/>
              <w:left w:val="outset" w:sz="6" w:space="0" w:color="auto"/>
              <w:bottom w:val="outset" w:sz="6" w:space="0" w:color="auto"/>
              <w:right w:val="outset" w:sz="6" w:space="0" w:color="auto"/>
            </w:tcBorders>
            <w:shd w:val="clear" w:color="auto" w:fill="F9F9F9"/>
          </w:tcPr>
          <w:p w14:paraId="1BB50F97"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w:t>
            </w:r>
          </w:p>
        </w:tc>
        <w:tc>
          <w:tcPr>
            <w:tcW w:w="297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0C23E33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10</w:t>
            </w:r>
          </w:p>
        </w:tc>
      </w:tr>
      <w:tr w:rsidR="004434C4" w:rsidRPr="00A417C1" w14:paraId="263D23E5" w14:textId="77777777" w:rsidTr="00997712">
        <w:tc>
          <w:tcPr>
            <w:tcW w:w="225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67D2AEF0"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w:t>
            </w:r>
          </w:p>
        </w:tc>
        <w:tc>
          <w:tcPr>
            <w:tcW w:w="2970" w:type="dxa"/>
            <w:tcBorders>
              <w:top w:val="outset" w:sz="6" w:space="0" w:color="auto"/>
              <w:left w:val="outset" w:sz="6" w:space="0" w:color="auto"/>
              <w:bottom w:val="outset" w:sz="6" w:space="0" w:color="auto"/>
              <w:right w:val="outset" w:sz="6" w:space="0" w:color="auto"/>
            </w:tcBorders>
            <w:shd w:val="clear" w:color="auto" w:fill="FFFFFF"/>
          </w:tcPr>
          <w:p w14:paraId="188E13B1"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c>
          <w:tcPr>
            <w:tcW w:w="297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D96335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r>
      <w:tr w:rsidR="004434C4" w:rsidRPr="00A417C1" w14:paraId="72BD4208" w14:textId="77777777" w:rsidTr="00997712">
        <w:tc>
          <w:tcPr>
            <w:tcW w:w="225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1296C902"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3</w:t>
            </w:r>
          </w:p>
        </w:tc>
        <w:tc>
          <w:tcPr>
            <w:tcW w:w="2970" w:type="dxa"/>
            <w:tcBorders>
              <w:top w:val="outset" w:sz="6" w:space="0" w:color="auto"/>
              <w:left w:val="outset" w:sz="6" w:space="0" w:color="auto"/>
              <w:bottom w:val="outset" w:sz="6" w:space="0" w:color="auto"/>
              <w:right w:val="outset" w:sz="6" w:space="0" w:color="auto"/>
            </w:tcBorders>
            <w:shd w:val="clear" w:color="auto" w:fill="F9F9F9"/>
          </w:tcPr>
          <w:p w14:paraId="3DAA09C6"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12</w:t>
            </w:r>
          </w:p>
        </w:tc>
        <w:tc>
          <w:tcPr>
            <w:tcW w:w="297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3F45C5AD"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14</w:t>
            </w:r>
          </w:p>
        </w:tc>
      </w:tr>
    </w:tbl>
    <w:p w14:paraId="619B11FC"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 xml:space="preserve">In both </w:t>
      </w:r>
      <w:r w:rsidRPr="00E60580">
        <w:rPr>
          <w:rFonts w:eastAsia="Times New Roman" w:cstheme="minorHAnsi"/>
          <w:b/>
          <w:bCs/>
          <w:color w:val="8EAADB" w:themeColor="accent5" w:themeTint="99"/>
        </w:rPr>
        <w:t>A</w:t>
      </w:r>
      <w:r w:rsidRPr="004434C4">
        <w:rPr>
          <w:rFonts w:eastAsia="Times New Roman" w:cstheme="minorHAnsi"/>
          <w:color w:val="5B9BD5" w:themeColor="accent1"/>
        </w:rPr>
        <w:t xml:space="preserve"> </w:t>
      </w:r>
      <w:r w:rsidRPr="00A417C1">
        <w:rPr>
          <w:rFonts w:eastAsia="Times New Roman" w:cstheme="minorHAnsi"/>
          <w:color w:val="222222"/>
        </w:rPr>
        <w:t xml:space="preserve">and </w:t>
      </w:r>
      <w:r w:rsidRPr="00E60580">
        <w:rPr>
          <w:rFonts w:eastAsia="Times New Roman" w:cstheme="minorHAnsi"/>
          <w:b/>
          <w:bCs/>
          <w:color w:val="8EAADB" w:themeColor="accent5" w:themeTint="99"/>
        </w:rPr>
        <w:t>B</w:t>
      </w:r>
      <w:r w:rsidRPr="00A417C1">
        <w:rPr>
          <w:rFonts w:eastAsia="Times New Roman" w:cstheme="minorHAnsi"/>
          <w:color w:val="222222"/>
        </w:rPr>
        <w:t>, the Treasury check numbers would be assigned as described in the following table:</w:t>
      </w:r>
    </w:p>
    <w:tbl>
      <w:tblPr>
        <w:tblW w:w="5490"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2700"/>
        <w:gridCol w:w="2790"/>
      </w:tblGrid>
      <w:tr w:rsidR="004434C4" w:rsidRPr="00A417C1" w14:paraId="4D4DC74F" w14:textId="77777777" w:rsidTr="00997712">
        <w:tc>
          <w:tcPr>
            <w:tcW w:w="0" w:type="auto"/>
            <w:gridSpan w:val="2"/>
            <w:tcBorders>
              <w:top w:val="nil"/>
              <w:left w:val="nil"/>
              <w:bottom w:val="nil"/>
              <w:right w:val="nil"/>
            </w:tcBorders>
            <w:shd w:val="clear" w:color="auto" w:fill="FFFFFF"/>
          </w:tcPr>
          <w:p w14:paraId="150DCBBD" w14:textId="77777777" w:rsidR="004434C4" w:rsidRPr="00A417C1" w:rsidRDefault="004434C4" w:rsidP="00997712">
            <w:pPr>
              <w:spacing w:after="0" w:line="240" w:lineRule="auto"/>
              <w:jc w:val="center"/>
              <w:rPr>
                <w:rFonts w:eastAsia="Times New Roman" w:cstheme="minorHAnsi"/>
                <w:color w:val="222222"/>
              </w:rPr>
            </w:pPr>
          </w:p>
        </w:tc>
      </w:tr>
      <w:tr w:rsidR="004434C4" w:rsidRPr="00A417C1" w14:paraId="1A33832B"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3BE3FDA3"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Treasury Check Number</w:t>
            </w:r>
          </w:p>
        </w:tc>
        <w:tc>
          <w:tcPr>
            <w:tcW w:w="2790" w:type="dxa"/>
            <w:tcBorders>
              <w:top w:val="outset" w:sz="6" w:space="0" w:color="auto"/>
              <w:left w:val="outset" w:sz="6" w:space="0" w:color="auto"/>
              <w:bottom w:val="outset" w:sz="6" w:space="0" w:color="auto"/>
              <w:right w:val="outset" w:sz="6" w:space="0" w:color="auto"/>
            </w:tcBorders>
            <w:shd w:val="clear" w:color="auto" w:fill="FFFFFF"/>
          </w:tcPr>
          <w:p w14:paraId="34862B2F" w14:textId="77777777" w:rsidR="004434C4" w:rsidRPr="00A417C1" w:rsidRDefault="004434C4" w:rsidP="00997712">
            <w:pPr>
              <w:spacing w:after="0" w:line="240" w:lineRule="auto"/>
              <w:rPr>
                <w:rFonts w:eastAsia="Times New Roman" w:cstheme="minorHAnsi"/>
                <w:b/>
                <w:bCs/>
                <w:color w:val="222222"/>
              </w:rPr>
            </w:pPr>
            <w:r w:rsidRPr="00A417C1">
              <w:rPr>
                <w:rFonts w:eastAsia="Times New Roman" w:cstheme="minorHAnsi"/>
                <w:b/>
                <w:bCs/>
                <w:color w:val="222222"/>
              </w:rPr>
              <w:t>Payables Check Number</w:t>
            </w:r>
          </w:p>
        </w:tc>
      </w:tr>
      <w:tr w:rsidR="004434C4" w:rsidRPr="00A417C1" w14:paraId="29207D25"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453BBAF9"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w:t>
            </w:r>
          </w:p>
        </w:tc>
        <w:tc>
          <w:tcPr>
            <w:tcW w:w="2790" w:type="dxa"/>
            <w:tcBorders>
              <w:top w:val="outset" w:sz="6" w:space="0" w:color="auto"/>
              <w:left w:val="outset" w:sz="6" w:space="0" w:color="auto"/>
              <w:bottom w:val="outset" w:sz="6" w:space="0" w:color="auto"/>
              <w:right w:val="outset" w:sz="6" w:space="0" w:color="auto"/>
            </w:tcBorders>
            <w:shd w:val="clear" w:color="auto" w:fill="F9F9F9"/>
          </w:tcPr>
          <w:p w14:paraId="1F80BEB2"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2202</w:t>
            </w:r>
          </w:p>
        </w:tc>
      </w:tr>
      <w:tr w:rsidR="004434C4" w:rsidRPr="00A417C1" w14:paraId="47CB888D"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5E6DBD0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8</w:t>
            </w:r>
          </w:p>
        </w:tc>
        <w:tc>
          <w:tcPr>
            <w:tcW w:w="2790" w:type="dxa"/>
            <w:tcBorders>
              <w:top w:val="outset" w:sz="6" w:space="0" w:color="auto"/>
              <w:left w:val="outset" w:sz="6" w:space="0" w:color="auto"/>
              <w:bottom w:val="outset" w:sz="6" w:space="0" w:color="auto"/>
              <w:right w:val="outset" w:sz="6" w:space="0" w:color="auto"/>
            </w:tcBorders>
            <w:shd w:val="clear" w:color="auto" w:fill="FFFFFF"/>
          </w:tcPr>
          <w:p w14:paraId="32FA4F93"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2203</w:t>
            </w:r>
          </w:p>
        </w:tc>
      </w:tr>
      <w:tr w:rsidR="004434C4" w:rsidRPr="00A417C1" w14:paraId="5D90B12E"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6642745E"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9</w:t>
            </w:r>
          </w:p>
        </w:tc>
        <w:tc>
          <w:tcPr>
            <w:tcW w:w="2790" w:type="dxa"/>
            <w:tcBorders>
              <w:top w:val="outset" w:sz="6" w:space="0" w:color="auto"/>
              <w:left w:val="outset" w:sz="6" w:space="0" w:color="auto"/>
              <w:bottom w:val="outset" w:sz="6" w:space="0" w:color="auto"/>
              <w:right w:val="outset" w:sz="6" w:space="0" w:color="auto"/>
            </w:tcBorders>
            <w:shd w:val="clear" w:color="auto" w:fill="F9F9F9"/>
          </w:tcPr>
          <w:p w14:paraId="1E77309D"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2204</w:t>
            </w:r>
          </w:p>
        </w:tc>
      </w:tr>
      <w:tr w:rsidR="004434C4" w:rsidRPr="00A417C1" w14:paraId="02B7CA36"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2EA09C1"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10</w:t>
            </w:r>
          </w:p>
        </w:tc>
        <w:tc>
          <w:tcPr>
            <w:tcW w:w="2790" w:type="dxa"/>
            <w:tcBorders>
              <w:top w:val="outset" w:sz="6" w:space="0" w:color="auto"/>
              <w:left w:val="outset" w:sz="6" w:space="0" w:color="auto"/>
              <w:bottom w:val="outset" w:sz="6" w:space="0" w:color="auto"/>
              <w:right w:val="outset" w:sz="6" w:space="0" w:color="auto"/>
            </w:tcBorders>
            <w:shd w:val="clear" w:color="auto" w:fill="FFFFFF"/>
          </w:tcPr>
          <w:p w14:paraId="3784F500"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2205</w:t>
            </w:r>
          </w:p>
        </w:tc>
      </w:tr>
      <w:tr w:rsidR="004434C4" w:rsidRPr="00A417C1" w14:paraId="1DC403CA"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5FD5187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c>
          <w:tcPr>
            <w:tcW w:w="2790" w:type="dxa"/>
            <w:tcBorders>
              <w:top w:val="outset" w:sz="6" w:space="0" w:color="auto"/>
              <w:left w:val="outset" w:sz="6" w:space="0" w:color="auto"/>
              <w:bottom w:val="outset" w:sz="6" w:space="0" w:color="auto"/>
              <w:right w:val="outset" w:sz="6" w:space="0" w:color="auto"/>
            </w:tcBorders>
            <w:shd w:val="clear" w:color="auto" w:fill="F9F9F9"/>
          </w:tcPr>
          <w:p w14:paraId="0D1946F6"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2206</w:t>
            </w:r>
          </w:p>
        </w:tc>
      </w:tr>
      <w:tr w:rsidR="004434C4" w:rsidRPr="00A417C1" w14:paraId="0FCEA334"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3D22D9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12</w:t>
            </w:r>
          </w:p>
        </w:tc>
        <w:tc>
          <w:tcPr>
            <w:tcW w:w="2790" w:type="dxa"/>
            <w:tcBorders>
              <w:top w:val="outset" w:sz="6" w:space="0" w:color="auto"/>
              <w:left w:val="outset" w:sz="6" w:space="0" w:color="auto"/>
              <w:bottom w:val="outset" w:sz="6" w:space="0" w:color="auto"/>
              <w:right w:val="outset" w:sz="6" w:space="0" w:color="auto"/>
            </w:tcBorders>
            <w:shd w:val="clear" w:color="auto" w:fill="FFFFFF"/>
          </w:tcPr>
          <w:p w14:paraId="312C6941"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2207</w:t>
            </w:r>
          </w:p>
        </w:tc>
      </w:tr>
      <w:tr w:rsidR="004434C4" w:rsidRPr="00A417C1" w14:paraId="1497F589"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0557CB66"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13</w:t>
            </w:r>
          </w:p>
        </w:tc>
        <w:tc>
          <w:tcPr>
            <w:tcW w:w="2790" w:type="dxa"/>
            <w:tcBorders>
              <w:top w:val="outset" w:sz="6" w:space="0" w:color="auto"/>
              <w:left w:val="outset" w:sz="6" w:space="0" w:color="auto"/>
              <w:bottom w:val="outset" w:sz="6" w:space="0" w:color="auto"/>
              <w:right w:val="outset" w:sz="6" w:space="0" w:color="auto"/>
            </w:tcBorders>
            <w:shd w:val="clear" w:color="auto" w:fill="F9F9F9"/>
          </w:tcPr>
          <w:p w14:paraId="1422C2CD"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2208</w:t>
            </w:r>
          </w:p>
        </w:tc>
      </w:tr>
      <w:tr w:rsidR="004434C4" w:rsidRPr="00A417C1" w14:paraId="0214BB87" w14:textId="77777777" w:rsidTr="00997712">
        <w:tc>
          <w:tcPr>
            <w:tcW w:w="270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24B3520D"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14</w:t>
            </w:r>
          </w:p>
        </w:tc>
        <w:tc>
          <w:tcPr>
            <w:tcW w:w="2790" w:type="dxa"/>
            <w:tcBorders>
              <w:top w:val="outset" w:sz="6" w:space="0" w:color="auto"/>
              <w:left w:val="outset" w:sz="6" w:space="0" w:color="auto"/>
              <w:bottom w:val="outset" w:sz="6" w:space="0" w:color="auto"/>
              <w:right w:val="outset" w:sz="6" w:space="0" w:color="auto"/>
            </w:tcBorders>
            <w:shd w:val="clear" w:color="auto" w:fill="FFFFFF"/>
          </w:tcPr>
          <w:p w14:paraId="0E5F88EE"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2209</w:t>
            </w:r>
          </w:p>
        </w:tc>
      </w:tr>
    </w:tbl>
    <w:p w14:paraId="706ACBD5" w14:textId="77777777" w:rsidR="004434C4" w:rsidRPr="00E60580" w:rsidRDefault="004434C4" w:rsidP="00135773">
      <w:pPr>
        <w:pStyle w:val="Heading4"/>
        <w:rPr>
          <w:rFonts w:eastAsia="Times New Roman"/>
          <w:color w:val="8EAADB" w:themeColor="accent5" w:themeTint="99"/>
        </w:rPr>
      </w:pPr>
      <w:r w:rsidRPr="00E60580">
        <w:rPr>
          <w:rFonts w:eastAsia="Times New Roman"/>
          <w:color w:val="8EAADB" w:themeColor="accent5" w:themeTint="99"/>
        </w:rPr>
        <w:t>Example 2: The agency Confirmation report contains an offset.</w:t>
      </w:r>
    </w:p>
    <w:p w14:paraId="4C1AA783"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In this scenario, the offset check number is outside of the check range provided by Treasury, and the remaining check numbers are resequenced.</w:t>
      </w:r>
    </w:p>
    <w:p w14:paraId="3599242F" w14:textId="5325869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The payment process request has eight payments. The payment process request has payment numbers 2202 to 2209. The payment range assigned by Treasury for this payment file is 7 - 10 for the first four payments. The fifth payment is assigned treasury number 74, and the last three payments are assigned the range 11 - 13. This should be entered as:</w:t>
      </w:r>
    </w:p>
    <w:p w14:paraId="4F0DDF83"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Complete the following steps:</w:t>
      </w:r>
    </w:p>
    <w:p w14:paraId="62448685" w14:textId="77777777" w:rsidR="004434C4" w:rsidRPr="00A417C1" w:rsidRDefault="004434C4" w:rsidP="001A24AB">
      <w:pPr>
        <w:numPr>
          <w:ilvl w:val="0"/>
          <w:numId w:val="7"/>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Multiple as the Range Type.</w:t>
      </w:r>
    </w:p>
    <w:p w14:paraId="79E985AA" w14:textId="77777777" w:rsidR="004434C4" w:rsidRPr="00A417C1" w:rsidRDefault="004434C4" w:rsidP="001A24AB">
      <w:pPr>
        <w:numPr>
          <w:ilvl w:val="0"/>
          <w:numId w:val="7"/>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Click Check Ranges.</w:t>
      </w:r>
    </w:p>
    <w:p w14:paraId="0EB9B370" w14:textId="77777777" w:rsidR="004434C4" w:rsidRPr="00A417C1" w:rsidRDefault="004434C4" w:rsidP="001A24AB">
      <w:pPr>
        <w:numPr>
          <w:ilvl w:val="0"/>
          <w:numId w:val="7"/>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Enter sequences as described in the following table:</w:t>
      </w:r>
    </w:p>
    <w:tbl>
      <w:tblPr>
        <w:tblW w:w="6898" w:type="dxa"/>
        <w:tblInd w:w="712"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2160"/>
        <w:gridCol w:w="2610"/>
        <w:gridCol w:w="2128"/>
      </w:tblGrid>
      <w:tr w:rsidR="004434C4" w:rsidRPr="00A417C1" w14:paraId="327021E0" w14:textId="77777777" w:rsidTr="00997712">
        <w:tc>
          <w:tcPr>
            <w:tcW w:w="216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52579BA"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Range Sequence</w:t>
            </w:r>
          </w:p>
        </w:tc>
        <w:tc>
          <w:tcPr>
            <w:tcW w:w="2610" w:type="dxa"/>
            <w:tcBorders>
              <w:top w:val="outset" w:sz="6" w:space="0" w:color="auto"/>
              <w:left w:val="outset" w:sz="6" w:space="0" w:color="auto"/>
              <w:bottom w:val="outset" w:sz="6" w:space="0" w:color="auto"/>
              <w:right w:val="outset" w:sz="6" w:space="0" w:color="auto"/>
            </w:tcBorders>
            <w:shd w:val="clear" w:color="auto" w:fill="FFFFFF"/>
          </w:tcPr>
          <w:p w14:paraId="09BB843A" w14:textId="77777777" w:rsidR="004434C4" w:rsidRPr="00A417C1" w:rsidRDefault="004434C4" w:rsidP="00997712">
            <w:pPr>
              <w:spacing w:after="0" w:line="240" w:lineRule="auto"/>
              <w:rPr>
                <w:rFonts w:eastAsia="Times New Roman" w:cstheme="minorHAnsi"/>
                <w:b/>
                <w:bCs/>
                <w:color w:val="222222"/>
              </w:rPr>
            </w:pPr>
            <w:r w:rsidRPr="00A417C1">
              <w:rPr>
                <w:rFonts w:eastAsia="Times New Roman" w:cstheme="minorHAnsi"/>
                <w:b/>
                <w:bCs/>
                <w:color w:val="222222"/>
              </w:rPr>
              <w:t>From</w:t>
            </w:r>
          </w:p>
        </w:tc>
        <w:tc>
          <w:tcPr>
            <w:tcW w:w="2128"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9CC6CA0"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To</w:t>
            </w:r>
          </w:p>
        </w:tc>
      </w:tr>
      <w:tr w:rsidR="004434C4" w:rsidRPr="00A417C1" w14:paraId="3D5F69F2" w14:textId="77777777" w:rsidTr="00997712">
        <w:tc>
          <w:tcPr>
            <w:tcW w:w="216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12D049A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lastRenderedPageBreak/>
              <w:t>1</w:t>
            </w:r>
          </w:p>
        </w:tc>
        <w:tc>
          <w:tcPr>
            <w:tcW w:w="2610" w:type="dxa"/>
            <w:tcBorders>
              <w:top w:val="outset" w:sz="6" w:space="0" w:color="auto"/>
              <w:left w:val="outset" w:sz="6" w:space="0" w:color="auto"/>
              <w:bottom w:val="outset" w:sz="6" w:space="0" w:color="auto"/>
              <w:right w:val="outset" w:sz="6" w:space="0" w:color="auto"/>
            </w:tcBorders>
            <w:shd w:val="clear" w:color="auto" w:fill="F9F9F9"/>
          </w:tcPr>
          <w:p w14:paraId="5BA60C6A"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w:t>
            </w:r>
          </w:p>
        </w:tc>
        <w:tc>
          <w:tcPr>
            <w:tcW w:w="2128"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0C3737A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10</w:t>
            </w:r>
          </w:p>
        </w:tc>
      </w:tr>
      <w:tr w:rsidR="004434C4" w:rsidRPr="00A417C1" w14:paraId="7EB61A4A" w14:textId="77777777" w:rsidTr="00997712">
        <w:tc>
          <w:tcPr>
            <w:tcW w:w="216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070460E"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w:t>
            </w:r>
          </w:p>
        </w:tc>
        <w:tc>
          <w:tcPr>
            <w:tcW w:w="2610" w:type="dxa"/>
            <w:tcBorders>
              <w:top w:val="outset" w:sz="6" w:space="0" w:color="auto"/>
              <w:left w:val="outset" w:sz="6" w:space="0" w:color="auto"/>
              <w:bottom w:val="outset" w:sz="6" w:space="0" w:color="auto"/>
              <w:right w:val="outset" w:sz="6" w:space="0" w:color="auto"/>
            </w:tcBorders>
            <w:shd w:val="clear" w:color="auto" w:fill="FFFFFF"/>
          </w:tcPr>
          <w:p w14:paraId="3E3C3218"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c>
          <w:tcPr>
            <w:tcW w:w="2128"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265AA69A"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r>
      <w:tr w:rsidR="004434C4" w:rsidRPr="00A417C1" w14:paraId="763758BE" w14:textId="77777777" w:rsidTr="00997712">
        <w:tc>
          <w:tcPr>
            <w:tcW w:w="216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B1B7980"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3</w:t>
            </w:r>
          </w:p>
        </w:tc>
        <w:tc>
          <w:tcPr>
            <w:tcW w:w="2610" w:type="dxa"/>
            <w:tcBorders>
              <w:top w:val="outset" w:sz="6" w:space="0" w:color="auto"/>
              <w:left w:val="outset" w:sz="6" w:space="0" w:color="auto"/>
              <w:bottom w:val="outset" w:sz="6" w:space="0" w:color="auto"/>
              <w:right w:val="outset" w:sz="6" w:space="0" w:color="auto"/>
            </w:tcBorders>
            <w:shd w:val="clear" w:color="auto" w:fill="F9F9F9"/>
          </w:tcPr>
          <w:p w14:paraId="5810FDA3"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11</w:t>
            </w:r>
          </w:p>
        </w:tc>
        <w:tc>
          <w:tcPr>
            <w:tcW w:w="2128"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1EDF43C3"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13</w:t>
            </w:r>
          </w:p>
        </w:tc>
      </w:tr>
    </w:tbl>
    <w:p w14:paraId="4454671C" w14:textId="77777777" w:rsidR="004434C4" w:rsidRPr="00A417C1" w:rsidRDefault="004434C4" w:rsidP="001A24AB">
      <w:pPr>
        <w:numPr>
          <w:ilvl w:val="0"/>
          <w:numId w:val="7"/>
        </w:num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The Treasury check numbers would be assigned as described in the following table below:</w:t>
      </w:r>
    </w:p>
    <w:tbl>
      <w:tblPr>
        <w:tblW w:w="5850" w:type="dxa"/>
        <w:tblInd w:w="720"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2790"/>
        <w:gridCol w:w="3060"/>
      </w:tblGrid>
      <w:tr w:rsidR="004434C4" w:rsidRPr="00A417C1" w14:paraId="48DD6E2C" w14:textId="77777777" w:rsidTr="00997712">
        <w:tc>
          <w:tcPr>
            <w:tcW w:w="0" w:type="auto"/>
            <w:gridSpan w:val="2"/>
            <w:tcBorders>
              <w:top w:val="nil"/>
              <w:left w:val="nil"/>
              <w:bottom w:val="nil"/>
              <w:right w:val="nil"/>
            </w:tcBorders>
            <w:shd w:val="clear" w:color="auto" w:fill="FFFFFF"/>
          </w:tcPr>
          <w:p w14:paraId="75048133" w14:textId="77777777" w:rsidR="004434C4" w:rsidRPr="00A417C1" w:rsidRDefault="004434C4" w:rsidP="00997712">
            <w:pPr>
              <w:spacing w:after="0" w:line="240" w:lineRule="auto"/>
              <w:jc w:val="center"/>
              <w:rPr>
                <w:rFonts w:eastAsia="Times New Roman" w:cstheme="minorHAnsi"/>
              </w:rPr>
            </w:pPr>
          </w:p>
        </w:tc>
      </w:tr>
      <w:tr w:rsidR="004434C4" w:rsidRPr="00A417C1" w14:paraId="00BAEB44"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1D87682"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Treasury Check Number</w:t>
            </w:r>
          </w:p>
        </w:tc>
        <w:tc>
          <w:tcPr>
            <w:tcW w:w="3060" w:type="dxa"/>
            <w:tcBorders>
              <w:top w:val="outset" w:sz="6" w:space="0" w:color="auto"/>
              <w:left w:val="outset" w:sz="6" w:space="0" w:color="auto"/>
              <w:bottom w:val="outset" w:sz="6" w:space="0" w:color="auto"/>
              <w:right w:val="outset" w:sz="6" w:space="0" w:color="auto"/>
            </w:tcBorders>
            <w:shd w:val="clear" w:color="auto" w:fill="FFFFFF"/>
          </w:tcPr>
          <w:p w14:paraId="184741FB" w14:textId="77777777" w:rsidR="004434C4" w:rsidRPr="00A417C1" w:rsidRDefault="004434C4" w:rsidP="00997712">
            <w:pPr>
              <w:spacing w:after="0" w:line="240" w:lineRule="auto"/>
              <w:rPr>
                <w:rFonts w:eastAsia="Times New Roman" w:cstheme="minorHAnsi"/>
                <w:b/>
                <w:bCs/>
                <w:color w:val="222222"/>
              </w:rPr>
            </w:pPr>
            <w:r w:rsidRPr="00A417C1">
              <w:rPr>
                <w:rFonts w:eastAsia="Times New Roman" w:cstheme="minorHAnsi"/>
                <w:b/>
                <w:bCs/>
                <w:color w:val="222222"/>
              </w:rPr>
              <w:t>Payables Check Number</w:t>
            </w:r>
          </w:p>
        </w:tc>
      </w:tr>
      <w:tr w:rsidR="004434C4" w:rsidRPr="00A417C1" w14:paraId="4840ECEA"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1DE0423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w:t>
            </w:r>
          </w:p>
        </w:tc>
        <w:tc>
          <w:tcPr>
            <w:tcW w:w="3060" w:type="dxa"/>
            <w:tcBorders>
              <w:top w:val="outset" w:sz="6" w:space="0" w:color="auto"/>
              <w:left w:val="outset" w:sz="6" w:space="0" w:color="auto"/>
              <w:bottom w:val="outset" w:sz="6" w:space="0" w:color="auto"/>
              <w:right w:val="outset" w:sz="6" w:space="0" w:color="auto"/>
            </w:tcBorders>
            <w:shd w:val="clear" w:color="auto" w:fill="F9F9F9"/>
          </w:tcPr>
          <w:p w14:paraId="3F58AF11"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2202</w:t>
            </w:r>
          </w:p>
        </w:tc>
      </w:tr>
      <w:tr w:rsidR="004434C4" w:rsidRPr="00A417C1" w14:paraId="64816B0F"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DCDA4F8"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8</w:t>
            </w:r>
          </w:p>
        </w:tc>
        <w:tc>
          <w:tcPr>
            <w:tcW w:w="3060" w:type="dxa"/>
            <w:tcBorders>
              <w:top w:val="outset" w:sz="6" w:space="0" w:color="auto"/>
              <w:left w:val="outset" w:sz="6" w:space="0" w:color="auto"/>
              <w:bottom w:val="outset" w:sz="6" w:space="0" w:color="auto"/>
              <w:right w:val="outset" w:sz="6" w:space="0" w:color="auto"/>
            </w:tcBorders>
            <w:shd w:val="clear" w:color="auto" w:fill="FFFFFF"/>
          </w:tcPr>
          <w:p w14:paraId="553EC7B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2203</w:t>
            </w:r>
          </w:p>
        </w:tc>
      </w:tr>
      <w:tr w:rsidR="004434C4" w:rsidRPr="00A417C1" w14:paraId="4D148F71"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53F510A4"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9</w:t>
            </w:r>
          </w:p>
        </w:tc>
        <w:tc>
          <w:tcPr>
            <w:tcW w:w="3060" w:type="dxa"/>
            <w:tcBorders>
              <w:top w:val="outset" w:sz="6" w:space="0" w:color="auto"/>
              <w:left w:val="outset" w:sz="6" w:space="0" w:color="auto"/>
              <w:bottom w:val="outset" w:sz="6" w:space="0" w:color="auto"/>
              <w:right w:val="outset" w:sz="6" w:space="0" w:color="auto"/>
            </w:tcBorders>
            <w:shd w:val="clear" w:color="auto" w:fill="F9F9F9"/>
          </w:tcPr>
          <w:p w14:paraId="7B8C368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2204</w:t>
            </w:r>
          </w:p>
        </w:tc>
      </w:tr>
      <w:tr w:rsidR="004434C4" w:rsidRPr="00A417C1" w14:paraId="5027EDE3"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28CFB719"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10</w:t>
            </w:r>
          </w:p>
        </w:tc>
        <w:tc>
          <w:tcPr>
            <w:tcW w:w="3060" w:type="dxa"/>
            <w:tcBorders>
              <w:top w:val="outset" w:sz="6" w:space="0" w:color="auto"/>
              <w:left w:val="outset" w:sz="6" w:space="0" w:color="auto"/>
              <w:bottom w:val="outset" w:sz="6" w:space="0" w:color="auto"/>
              <w:right w:val="outset" w:sz="6" w:space="0" w:color="auto"/>
            </w:tcBorders>
            <w:shd w:val="clear" w:color="auto" w:fill="FFFFFF"/>
          </w:tcPr>
          <w:p w14:paraId="43AFF3C7"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2205</w:t>
            </w:r>
          </w:p>
        </w:tc>
      </w:tr>
      <w:tr w:rsidR="004434C4" w:rsidRPr="00A417C1" w14:paraId="330F9D12"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6DDFA14"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c>
          <w:tcPr>
            <w:tcW w:w="3060" w:type="dxa"/>
            <w:tcBorders>
              <w:top w:val="outset" w:sz="6" w:space="0" w:color="auto"/>
              <w:left w:val="outset" w:sz="6" w:space="0" w:color="auto"/>
              <w:bottom w:val="outset" w:sz="6" w:space="0" w:color="auto"/>
              <w:right w:val="outset" w:sz="6" w:space="0" w:color="auto"/>
            </w:tcBorders>
            <w:shd w:val="clear" w:color="auto" w:fill="F9F9F9"/>
          </w:tcPr>
          <w:p w14:paraId="2CCF9839"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2206</w:t>
            </w:r>
          </w:p>
        </w:tc>
      </w:tr>
      <w:tr w:rsidR="004434C4" w:rsidRPr="00A417C1" w14:paraId="3642DBC1"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909979F"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11</w:t>
            </w:r>
          </w:p>
        </w:tc>
        <w:tc>
          <w:tcPr>
            <w:tcW w:w="3060" w:type="dxa"/>
            <w:tcBorders>
              <w:top w:val="outset" w:sz="6" w:space="0" w:color="auto"/>
              <w:left w:val="outset" w:sz="6" w:space="0" w:color="auto"/>
              <w:bottom w:val="outset" w:sz="6" w:space="0" w:color="auto"/>
              <w:right w:val="outset" w:sz="6" w:space="0" w:color="auto"/>
            </w:tcBorders>
            <w:shd w:val="clear" w:color="auto" w:fill="FFFFFF"/>
          </w:tcPr>
          <w:p w14:paraId="000AB809"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2207</w:t>
            </w:r>
          </w:p>
        </w:tc>
      </w:tr>
      <w:tr w:rsidR="004434C4" w:rsidRPr="00A417C1" w14:paraId="1BE37B77"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3DF55494"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12</w:t>
            </w:r>
          </w:p>
        </w:tc>
        <w:tc>
          <w:tcPr>
            <w:tcW w:w="3060" w:type="dxa"/>
            <w:tcBorders>
              <w:top w:val="outset" w:sz="6" w:space="0" w:color="auto"/>
              <w:left w:val="outset" w:sz="6" w:space="0" w:color="auto"/>
              <w:bottom w:val="outset" w:sz="6" w:space="0" w:color="auto"/>
              <w:right w:val="outset" w:sz="6" w:space="0" w:color="auto"/>
            </w:tcBorders>
            <w:shd w:val="clear" w:color="auto" w:fill="F9F9F9"/>
          </w:tcPr>
          <w:p w14:paraId="07BA949A"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2208</w:t>
            </w:r>
          </w:p>
        </w:tc>
      </w:tr>
      <w:tr w:rsidR="004434C4" w:rsidRPr="00A417C1" w14:paraId="62109985" w14:textId="77777777" w:rsidTr="00997712">
        <w:tc>
          <w:tcPr>
            <w:tcW w:w="279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1043B7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13</w:t>
            </w:r>
          </w:p>
        </w:tc>
        <w:tc>
          <w:tcPr>
            <w:tcW w:w="3060" w:type="dxa"/>
            <w:tcBorders>
              <w:top w:val="outset" w:sz="6" w:space="0" w:color="auto"/>
              <w:left w:val="outset" w:sz="6" w:space="0" w:color="auto"/>
              <w:bottom w:val="outset" w:sz="6" w:space="0" w:color="auto"/>
              <w:right w:val="outset" w:sz="6" w:space="0" w:color="auto"/>
            </w:tcBorders>
            <w:shd w:val="clear" w:color="auto" w:fill="FFFFFF"/>
          </w:tcPr>
          <w:p w14:paraId="1A69A5F6"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2209</w:t>
            </w:r>
          </w:p>
        </w:tc>
      </w:tr>
    </w:tbl>
    <w:p w14:paraId="31DE6FC7" w14:textId="77777777" w:rsidR="004434C4" w:rsidRPr="00E60580" w:rsidRDefault="004434C4" w:rsidP="00135773">
      <w:pPr>
        <w:pStyle w:val="Heading4"/>
        <w:rPr>
          <w:rFonts w:eastAsia="Times New Roman"/>
          <w:color w:val="8EAADB" w:themeColor="accent5" w:themeTint="99"/>
        </w:rPr>
      </w:pPr>
      <w:r w:rsidRPr="00E60580">
        <w:rPr>
          <w:rFonts w:eastAsia="Times New Roman"/>
          <w:color w:val="8EAADB" w:themeColor="accent5" w:themeTint="99"/>
        </w:rPr>
        <w:t>Example 3: Multiple check ranges have overlapping ranges.</w:t>
      </w:r>
    </w:p>
    <w:p w14:paraId="3D72E907" w14:textId="77777777" w:rsidR="004434C4" w:rsidRPr="00A417C1" w:rsidRDefault="004434C4" w:rsidP="004434C4">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You cannot use the same Treasury Check number twice for the same payment process request. You will receive an error if these Treasury Check number were entered in the Check Ranges window as described in the following table:</w:t>
      </w:r>
    </w:p>
    <w:tbl>
      <w:tblPr>
        <w:tblW w:w="5940" w:type="dxa"/>
        <w:tblInd w:w="-8" w:type="dxa"/>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1980"/>
        <w:gridCol w:w="1980"/>
        <w:gridCol w:w="1980"/>
      </w:tblGrid>
      <w:tr w:rsidR="004434C4" w:rsidRPr="00A417C1" w14:paraId="11CAD96C" w14:textId="77777777" w:rsidTr="00997712">
        <w:tc>
          <w:tcPr>
            <w:tcW w:w="198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C62932C"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Range Sequence</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14:paraId="6CB4F2D2" w14:textId="77777777" w:rsidR="004434C4" w:rsidRPr="00A417C1" w:rsidRDefault="004434C4" w:rsidP="00997712">
            <w:pPr>
              <w:spacing w:after="0" w:line="240" w:lineRule="auto"/>
              <w:rPr>
                <w:rFonts w:eastAsia="Times New Roman" w:cstheme="minorHAnsi"/>
                <w:b/>
                <w:bCs/>
                <w:color w:val="222222"/>
              </w:rPr>
            </w:pPr>
            <w:r w:rsidRPr="00A417C1">
              <w:rPr>
                <w:rFonts w:eastAsia="Times New Roman" w:cstheme="minorHAnsi"/>
                <w:b/>
                <w:bCs/>
                <w:color w:val="222222"/>
              </w:rPr>
              <w:t>From</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74D45B98"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b/>
                <w:bCs/>
                <w:color w:val="222222"/>
              </w:rPr>
              <w:t>To</w:t>
            </w:r>
          </w:p>
        </w:tc>
      </w:tr>
      <w:tr w:rsidR="004434C4" w:rsidRPr="00A417C1" w14:paraId="7320C7D4" w14:textId="77777777" w:rsidTr="00997712">
        <w:tc>
          <w:tcPr>
            <w:tcW w:w="198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E03B9CF"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w:t>
            </w:r>
          </w:p>
        </w:tc>
        <w:tc>
          <w:tcPr>
            <w:tcW w:w="1980" w:type="dxa"/>
            <w:tcBorders>
              <w:top w:val="outset" w:sz="6" w:space="0" w:color="auto"/>
              <w:left w:val="outset" w:sz="6" w:space="0" w:color="auto"/>
              <w:bottom w:val="outset" w:sz="6" w:space="0" w:color="auto"/>
              <w:right w:val="outset" w:sz="6" w:space="0" w:color="auto"/>
            </w:tcBorders>
            <w:shd w:val="clear" w:color="auto" w:fill="F9F9F9"/>
          </w:tcPr>
          <w:p w14:paraId="5FFC0F2B"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w:t>
            </w:r>
          </w:p>
        </w:tc>
        <w:tc>
          <w:tcPr>
            <w:tcW w:w="198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63DEBDB5"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10</w:t>
            </w:r>
          </w:p>
        </w:tc>
      </w:tr>
      <w:tr w:rsidR="004434C4" w:rsidRPr="00A417C1" w14:paraId="6AECBD12" w14:textId="77777777" w:rsidTr="00997712">
        <w:tc>
          <w:tcPr>
            <w:tcW w:w="198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4B9F129E"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2</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14:paraId="309A01F4"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74</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F49BD37"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77</w:t>
            </w:r>
          </w:p>
        </w:tc>
      </w:tr>
      <w:tr w:rsidR="004434C4" w:rsidRPr="00A417C1" w14:paraId="150827B3" w14:textId="77777777" w:rsidTr="00997712">
        <w:tc>
          <w:tcPr>
            <w:tcW w:w="198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171E506E"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3</w:t>
            </w:r>
          </w:p>
        </w:tc>
        <w:tc>
          <w:tcPr>
            <w:tcW w:w="1980" w:type="dxa"/>
            <w:tcBorders>
              <w:top w:val="outset" w:sz="6" w:space="0" w:color="auto"/>
              <w:left w:val="outset" w:sz="6" w:space="0" w:color="auto"/>
              <w:bottom w:val="outset" w:sz="6" w:space="0" w:color="auto"/>
              <w:right w:val="outset" w:sz="6" w:space="0" w:color="auto"/>
            </w:tcBorders>
            <w:shd w:val="clear" w:color="auto" w:fill="F9F9F9"/>
          </w:tcPr>
          <w:p w14:paraId="01004D3A"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75</w:t>
            </w:r>
          </w:p>
        </w:tc>
        <w:tc>
          <w:tcPr>
            <w:tcW w:w="1980"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039F6591" w14:textId="77777777" w:rsidR="004434C4" w:rsidRPr="00A417C1" w:rsidRDefault="004434C4" w:rsidP="00997712">
            <w:pPr>
              <w:spacing w:after="0" w:line="240" w:lineRule="auto"/>
              <w:rPr>
                <w:rFonts w:eastAsia="Times New Roman" w:cstheme="minorHAnsi"/>
                <w:color w:val="222222"/>
              </w:rPr>
            </w:pPr>
            <w:r w:rsidRPr="00A417C1">
              <w:rPr>
                <w:rFonts w:eastAsia="Times New Roman" w:cstheme="minorHAnsi"/>
                <w:color w:val="222222"/>
              </w:rPr>
              <w:t>90</w:t>
            </w:r>
          </w:p>
        </w:tc>
      </w:tr>
    </w:tbl>
    <w:p w14:paraId="6DBACB75" w14:textId="7B2CC4F5" w:rsidR="00307A7A" w:rsidRDefault="004434C4" w:rsidP="00864BDB">
      <w:pPr>
        <w:shd w:val="clear" w:color="auto" w:fill="FFFFFF"/>
        <w:spacing w:before="100" w:beforeAutospacing="1" w:after="100" w:afterAutospacing="1" w:line="240" w:lineRule="auto"/>
        <w:rPr>
          <w:rFonts w:asciiTheme="majorHAnsi" w:eastAsiaTheme="majorEastAsia" w:hAnsiTheme="majorHAnsi" w:cstheme="majorBidi"/>
          <w:b/>
          <w:bCs/>
          <w:color w:val="2E74B5" w:themeColor="accent1" w:themeShade="BF"/>
        </w:rPr>
      </w:pPr>
      <w:r w:rsidRPr="00A417C1">
        <w:rPr>
          <w:rFonts w:eastAsia="Times New Roman" w:cstheme="minorHAnsi"/>
          <w:b/>
          <w:bCs/>
          <w:color w:val="222222"/>
        </w:rPr>
        <w:t>Note:</w:t>
      </w:r>
      <w:r w:rsidRPr="00A417C1">
        <w:rPr>
          <w:rFonts w:eastAsia="Times New Roman" w:cstheme="minorHAnsi"/>
          <w:color w:val="222222"/>
        </w:rPr>
        <w:t> This example would result in an error because Range 2 and Range 3 both contain Treasury check numbers 75 through 77.</w:t>
      </w:r>
    </w:p>
    <w:p w14:paraId="6CC8A204" w14:textId="7C437DD9" w:rsidR="00D044DE" w:rsidRDefault="00D044DE" w:rsidP="00D044DE">
      <w:pPr>
        <w:pStyle w:val="Heading3"/>
      </w:pPr>
      <w:bookmarkStart w:id="33" w:name="_Toc99369887"/>
      <w:r>
        <w:lastRenderedPageBreak/>
        <w:t>Business Exceptions Handling</w:t>
      </w:r>
      <w:bookmarkEnd w:id="33"/>
    </w:p>
    <w:p w14:paraId="0C12C267" w14:textId="5A209B23" w:rsidR="00236E35" w:rsidRPr="00236E35" w:rsidRDefault="00236E35" w:rsidP="00236E35">
      <w:r>
        <w:rPr>
          <w:rFonts w:ascii="Calibri" w:hAnsi="Calibri" w:cs="Calibri"/>
          <w:b/>
          <w:bCs/>
          <w:color w:val="808080"/>
        </w:rPr>
        <w:t>This section provides the possible exceptions</w:t>
      </w:r>
    </w:p>
    <w:tbl>
      <w:tblPr>
        <w:tblW w:w="980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77"/>
        <w:gridCol w:w="962"/>
        <w:gridCol w:w="1522"/>
        <w:gridCol w:w="4949"/>
      </w:tblGrid>
      <w:tr w:rsidR="00A33F3C" w:rsidRPr="00A33F3C" w14:paraId="77AD9620" w14:textId="77777777" w:rsidTr="00236E35">
        <w:trPr>
          <w:trHeight w:val="626"/>
        </w:trPr>
        <w:tc>
          <w:tcPr>
            <w:tcW w:w="895" w:type="dxa"/>
            <w:tcBorders>
              <w:top w:val="single" w:sz="4" w:space="0" w:color="A6A6A6"/>
              <w:bottom w:val="single" w:sz="6" w:space="0" w:color="A6A6A6"/>
            </w:tcBorders>
            <w:shd w:val="clear" w:color="auto" w:fill="D9D9D9" w:themeFill="background1" w:themeFillShade="D9"/>
          </w:tcPr>
          <w:p w14:paraId="38608C4B" w14:textId="77777777" w:rsidR="00A33F3C" w:rsidRPr="00A33F3C" w:rsidRDefault="00A33F3C" w:rsidP="00A33F3C">
            <w:pPr>
              <w:keepNext/>
              <w:spacing w:before="240"/>
              <w:rPr>
                <w:rFonts w:eastAsia="Ubuntu" w:cstheme="minorHAnsi"/>
                <w:b/>
              </w:rPr>
            </w:pPr>
            <w:r w:rsidRPr="00A33F3C">
              <w:rPr>
                <w:rFonts w:eastAsia="Ubuntu" w:cstheme="minorHAnsi"/>
                <w:b/>
              </w:rPr>
              <w:t>#</w:t>
            </w:r>
          </w:p>
        </w:tc>
        <w:tc>
          <w:tcPr>
            <w:tcW w:w="1477" w:type="dxa"/>
            <w:tcBorders>
              <w:top w:val="single" w:sz="4" w:space="0" w:color="A6A6A6"/>
              <w:bottom w:val="single" w:sz="6" w:space="0" w:color="A6A6A6"/>
            </w:tcBorders>
            <w:shd w:val="clear" w:color="auto" w:fill="D9D9D9" w:themeFill="background1" w:themeFillShade="D9"/>
          </w:tcPr>
          <w:p w14:paraId="6AF2F9E7" w14:textId="77777777" w:rsidR="00A33F3C" w:rsidRPr="00A33F3C" w:rsidRDefault="00A33F3C" w:rsidP="00A33F3C">
            <w:pPr>
              <w:keepNext/>
              <w:spacing w:before="240"/>
              <w:rPr>
                <w:rFonts w:eastAsia="Ubuntu" w:cstheme="minorHAnsi"/>
                <w:b/>
              </w:rPr>
            </w:pPr>
            <w:r w:rsidRPr="00A33F3C">
              <w:rPr>
                <w:rFonts w:eastAsia="Ubuntu" w:cstheme="minorHAnsi"/>
                <w:b/>
              </w:rPr>
              <w:t>Exception name</w:t>
            </w:r>
          </w:p>
        </w:tc>
        <w:tc>
          <w:tcPr>
            <w:tcW w:w="962" w:type="dxa"/>
            <w:tcBorders>
              <w:top w:val="single" w:sz="4" w:space="0" w:color="A6A6A6"/>
              <w:bottom w:val="single" w:sz="6" w:space="0" w:color="A6A6A6"/>
            </w:tcBorders>
            <w:shd w:val="clear" w:color="auto" w:fill="D9D9D9" w:themeFill="background1" w:themeFillShade="D9"/>
          </w:tcPr>
          <w:p w14:paraId="0669F8E6" w14:textId="77777777" w:rsidR="00A33F3C" w:rsidRPr="00A33F3C" w:rsidRDefault="00A33F3C" w:rsidP="00A33F3C">
            <w:pPr>
              <w:keepNext/>
              <w:spacing w:before="240"/>
              <w:rPr>
                <w:rFonts w:eastAsia="Ubuntu" w:cstheme="minorHAnsi"/>
                <w:b/>
              </w:rPr>
            </w:pPr>
            <w:r w:rsidRPr="00A33F3C">
              <w:rPr>
                <w:rFonts w:eastAsia="Ubuntu" w:cstheme="minorHAnsi"/>
                <w:b/>
              </w:rPr>
              <w:t>Step</w:t>
            </w:r>
            <w:r>
              <w:rPr>
                <w:rFonts w:eastAsia="Ubuntu" w:cstheme="minorHAnsi"/>
                <w:b/>
              </w:rPr>
              <w:t xml:space="preserve"> #</w:t>
            </w:r>
          </w:p>
        </w:tc>
        <w:tc>
          <w:tcPr>
            <w:tcW w:w="1522" w:type="dxa"/>
            <w:tcBorders>
              <w:top w:val="single" w:sz="4" w:space="0" w:color="A6A6A6"/>
              <w:bottom w:val="single" w:sz="6" w:space="0" w:color="A6A6A6"/>
            </w:tcBorders>
            <w:shd w:val="clear" w:color="auto" w:fill="D9D9D9" w:themeFill="background1" w:themeFillShade="D9"/>
          </w:tcPr>
          <w:p w14:paraId="2A7E4B46" w14:textId="77777777" w:rsidR="00A33F3C" w:rsidRPr="00A33F3C" w:rsidRDefault="00A33F3C" w:rsidP="00A33F3C">
            <w:pPr>
              <w:keepNext/>
              <w:spacing w:before="240"/>
              <w:rPr>
                <w:rFonts w:eastAsia="Ubuntu" w:cstheme="minorHAnsi"/>
                <w:b/>
              </w:rPr>
            </w:pPr>
            <w:r w:rsidRPr="00A33F3C">
              <w:rPr>
                <w:rFonts w:eastAsia="Ubuntu" w:cstheme="minorHAnsi"/>
                <w:b/>
              </w:rPr>
              <w:t>Parameters</w:t>
            </w:r>
          </w:p>
        </w:tc>
        <w:tc>
          <w:tcPr>
            <w:tcW w:w="4949" w:type="dxa"/>
            <w:tcBorders>
              <w:top w:val="single" w:sz="4" w:space="0" w:color="A6A6A6"/>
              <w:bottom w:val="single" w:sz="6" w:space="0" w:color="A6A6A6"/>
            </w:tcBorders>
            <w:shd w:val="clear" w:color="auto" w:fill="D9D9D9" w:themeFill="background1" w:themeFillShade="D9"/>
          </w:tcPr>
          <w:p w14:paraId="4A1A8D5A" w14:textId="77777777" w:rsidR="00A33F3C" w:rsidRPr="00A33F3C" w:rsidRDefault="00A33F3C" w:rsidP="00A33F3C">
            <w:pPr>
              <w:keepNext/>
              <w:spacing w:before="240"/>
              <w:rPr>
                <w:rFonts w:eastAsia="Ubuntu" w:cstheme="minorHAnsi"/>
                <w:b/>
              </w:rPr>
            </w:pPr>
            <w:r w:rsidRPr="00A33F3C">
              <w:rPr>
                <w:rFonts w:eastAsia="Ubuntu" w:cstheme="minorHAnsi"/>
                <w:b/>
              </w:rPr>
              <w:t>Action to be taken</w:t>
            </w:r>
          </w:p>
        </w:tc>
      </w:tr>
      <w:tr w:rsidR="00A33F3C" w:rsidRPr="00A33F3C" w14:paraId="7AF618F4" w14:textId="77777777" w:rsidTr="00236E35">
        <w:trPr>
          <w:trHeight w:val="1497"/>
        </w:trPr>
        <w:tc>
          <w:tcPr>
            <w:tcW w:w="895" w:type="dxa"/>
            <w:tcBorders>
              <w:top w:val="single" w:sz="6" w:space="0" w:color="A6A6A6"/>
            </w:tcBorders>
          </w:tcPr>
          <w:p w14:paraId="5965410F" w14:textId="2617ECA1" w:rsidR="00A33F3C" w:rsidRPr="00236E35" w:rsidRDefault="00A33F3C" w:rsidP="001A24AB">
            <w:pPr>
              <w:pStyle w:val="ListParagraph"/>
              <w:keepNext/>
              <w:numPr>
                <w:ilvl w:val="0"/>
                <w:numId w:val="8"/>
              </w:numPr>
              <w:spacing w:before="240"/>
              <w:rPr>
                <w:rFonts w:eastAsia="Ubuntu" w:cstheme="minorHAnsi"/>
                <w:bCs/>
                <w:iCs/>
              </w:rPr>
            </w:pPr>
          </w:p>
        </w:tc>
        <w:tc>
          <w:tcPr>
            <w:tcW w:w="1477" w:type="dxa"/>
            <w:tcBorders>
              <w:top w:val="single" w:sz="6" w:space="0" w:color="A6A6A6"/>
            </w:tcBorders>
          </w:tcPr>
          <w:p w14:paraId="1C7DCAF9" w14:textId="4A9097CB" w:rsidR="00A33F3C" w:rsidRPr="00A33F3C" w:rsidRDefault="00816DDE" w:rsidP="00236E35">
            <w:pPr>
              <w:spacing w:after="0"/>
              <w:rPr>
                <w:rFonts w:eastAsia="Ubuntu" w:cstheme="minorHAnsi"/>
                <w:bCs/>
                <w:iCs/>
              </w:rPr>
            </w:pPr>
            <w:r w:rsidRPr="00135773">
              <w:t>Backing Out Confirmed Department of Treasury Payments</w:t>
            </w:r>
          </w:p>
        </w:tc>
        <w:tc>
          <w:tcPr>
            <w:tcW w:w="962" w:type="dxa"/>
            <w:tcBorders>
              <w:top w:val="single" w:sz="6" w:space="0" w:color="A6A6A6"/>
            </w:tcBorders>
          </w:tcPr>
          <w:p w14:paraId="20E062DD" w14:textId="77777777" w:rsidR="00A33F3C" w:rsidRPr="00A33F3C" w:rsidRDefault="00A33F3C" w:rsidP="00236E35">
            <w:pPr>
              <w:keepNext/>
              <w:spacing w:before="240" w:after="0"/>
              <w:rPr>
                <w:rFonts w:eastAsia="Ubuntu" w:cstheme="minorHAnsi"/>
                <w:bCs/>
                <w:iCs/>
              </w:rPr>
            </w:pPr>
          </w:p>
        </w:tc>
        <w:tc>
          <w:tcPr>
            <w:tcW w:w="1522" w:type="dxa"/>
            <w:tcBorders>
              <w:top w:val="single" w:sz="6" w:space="0" w:color="A6A6A6"/>
            </w:tcBorders>
          </w:tcPr>
          <w:p w14:paraId="5B3D78CC" w14:textId="77777777" w:rsidR="00A33F3C" w:rsidRPr="00A33F3C" w:rsidRDefault="00A33F3C" w:rsidP="00236E35">
            <w:pPr>
              <w:keepNext/>
              <w:spacing w:before="240" w:after="0"/>
              <w:rPr>
                <w:rFonts w:eastAsia="Ubuntu" w:cstheme="minorHAnsi"/>
                <w:bCs/>
                <w:iCs/>
              </w:rPr>
            </w:pPr>
          </w:p>
        </w:tc>
        <w:tc>
          <w:tcPr>
            <w:tcW w:w="4949" w:type="dxa"/>
            <w:tcBorders>
              <w:top w:val="single" w:sz="6" w:space="0" w:color="A6A6A6"/>
            </w:tcBorders>
          </w:tcPr>
          <w:p w14:paraId="60501302" w14:textId="52CDE997" w:rsidR="00A33F3C" w:rsidRPr="00A33F3C" w:rsidRDefault="00816DDE" w:rsidP="00236E35">
            <w:pPr>
              <w:pStyle w:val="NormalWeb"/>
              <w:shd w:val="clear" w:color="auto" w:fill="FFFFFF"/>
              <w:spacing w:after="0" w:afterAutospacing="0"/>
              <w:rPr>
                <w:rFonts w:eastAsia="Ubuntu" w:cstheme="minorHAnsi"/>
                <w:bCs/>
                <w:iCs/>
              </w:rPr>
            </w:pPr>
            <w:r w:rsidRPr="00A417C1">
              <w:rPr>
                <w:rFonts w:asciiTheme="minorHAnsi" w:hAnsiTheme="minorHAnsi" w:cstheme="minorHAnsi"/>
                <w:color w:val="222222"/>
                <w:sz w:val="22"/>
                <w:szCs w:val="22"/>
              </w:rPr>
              <w:t>Click Back Out on the Treasury Confirmation and Reconciliation window if you make a mistake when entering data. For example, you enter an incorrect Accomplished Date. All journal entries created by the confirmation are reversed.</w:t>
            </w:r>
          </w:p>
        </w:tc>
      </w:tr>
      <w:tr w:rsidR="00A33F3C" w:rsidRPr="00A33F3C" w14:paraId="2F55C567" w14:textId="77777777" w:rsidTr="00236E35">
        <w:trPr>
          <w:trHeight w:val="576"/>
        </w:trPr>
        <w:tc>
          <w:tcPr>
            <w:tcW w:w="895" w:type="dxa"/>
          </w:tcPr>
          <w:p w14:paraId="4E2831B1" w14:textId="7EDDB0DB" w:rsidR="00A33F3C" w:rsidRPr="00236E35" w:rsidRDefault="00A33F3C" w:rsidP="001A24AB">
            <w:pPr>
              <w:pStyle w:val="ListParagraph"/>
              <w:keepNext/>
              <w:numPr>
                <w:ilvl w:val="0"/>
                <w:numId w:val="8"/>
              </w:numPr>
              <w:spacing w:before="240"/>
              <w:rPr>
                <w:rFonts w:eastAsia="Ubuntu" w:cstheme="minorHAnsi"/>
                <w:bCs/>
                <w:iCs/>
              </w:rPr>
            </w:pPr>
          </w:p>
        </w:tc>
        <w:tc>
          <w:tcPr>
            <w:tcW w:w="1477" w:type="dxa"/>
          </w:tcPr>
          <w:p w14:paraId="5C489313" w14:textId="77777777" w:rsidR="00816DDE" w:rsidRPr="00135773" w:rsidRDefault="00816DDE" w:rsidP="00816DDE">
            <w:pPr>
              <w:rPr>
                <w:b/>
                <w:bCs/>
              </w:rPr>
            </w:pPr>
            <w:r w:rsidRPr="00135773">
              <w:t>Voiding Confirmed Payments</w:t>
            </w:r>
          </w:p>
          <w:p w14:paraId="77072040" w14:textId="77777777" w:rsidR="00A33F3C" w:rsidRPr="00A33F3C" w:rsidRDefault="00A33F3C" w:rsidP="00A33F3C">
            <w:pPr>
              <w:keepNext/>
              <w:rPr>
                <w:rFonts w:eastAsia="Ubuntu" w:cstheme="minorHAnsi"/>
                <w:bCs/>
                <w:iCs/>
              </w:rPr>
            </w:pPr>
          </w:p>
        </w:tc>
        <w:tc>
          <w:tcPr>
            <w:tcW w:w="962" w:type="dxa"/>
          </w:tcPr>
          <w:p w14:paraId="676D25FE" w14:textId="77777777" w:rsidR="00A33F3C" w:rsidRPr="00A33F3C" w:rsidRDefault="00A33F3C" w:rsidP="00A33F3C">
            <w:pPr>
              <w:keepNext/>
              <w:spacing w:before="240"/>
              <w:rPr>
                <w:rFonts w:eastAsia="Ubuntu" w:cstheme="minorHAnsi"/>
                <w:bCs/>
                <w:iCs/>
              </w:rPr>
            </w:pPr>
          </w:p>
        </w:tc>
        <w:tc>
          <w:tcPr>
            <w:tcW w:w="1522" w:type="dxa"/>
          </w:tcPr>
          <w:p w14:paraId="61576D18" w14:textId="77777777" w:rsidR="00A33F3C" w:rsidRPr="00A33F3C" w:rsidRDefault="00A33F3C" w:rsidP="00A33F3C">
            <w:pPr>
              <w:keepNext/>
              <w:rPr>
                <w:rFonts w:eastAsia="Ubuntu" w:cstheme="minorHAnsi"/>
                <w:bCs/>
                <w:iCs/>
              </w:rPr>
            </w:pPr>
          </w:p>
        </w:tc>
        <w:tc>
          <w:tcPr>
            <w:tcW w:w="4949" w:type="dxa"/>
          </w:tcPr>
          <w:p w14:paraId="72011A2B" w14:textId="273C6882" w:rsidR="00A33F3C" w:rsidRPr="00A33F3C" w:rsidRDefault="00816DDE" w:rsidP="00816DDE">
            <w:pPr>
              <w:pStyle w:val="NormalWeb"/>
              <w:shd w:val="clear" w:color="auto" w:fill="FFFFFF"/>
              <w:rPr>
                <w:rFonts w:eastAsia="Ubuntu" w:cstheme="minorHAnsi"/>
                <w:bCs/>
                <w:iCs/>
              </w:rPr>
            </w:pPr>
            <w:r w:rsidRPr="00A417C1">
              <w:rPr>
                <w:rFonts w:asciiTheme="minorHAnsi" w:hAnsiTheme="minorHAnsi" w:cstheme="minorHAnsi"/>
                <w:color w:val="222222"/>
                <w:sz w:val="22"/>
                <w:szCs w:val="22"/>
              </w:rPr>
              <w:t>To reverse the confirmation entries for payments voided in Oracle Payables after the payment was Treasury Confirmed, use the Submit Request window and select Disbursements in Transit Voided Checks.</w:t>
            </w:r>
          </w:p>
        </w:tc>
      </w:tr>
      <w:tr w:rsidR="00A33F3C" w:rsidRPr="00A33F3C" w14:paraId="2A6E3C0D" w14:textId="77777777" w:rsidTr="00236E35">
        <w:trPr>
          <w:trHeight w:val="7023"/>
        </w:trPr>
        <w:tc>
          <w:tcPr>
            <w:tcW w:w="895" w:type="dxa"/>
          </w:tcPr>
          <w:p w14:paraId="0882DBE9" w14:textId="19D6AFA2" w:rsidR="00A33F3C" w:rsidRPr="00236E35" w:rsidRDefault="00A33F3C" w:rsidP="001A24AB">
            <w:pPr>
              <w:pStyle w:val="ListParagraph"/>
              <w:keepNext/>
              <w:numPr>
                <w:ilvl w:val="0"/>
                <w:numId w:val="8"/>
              </w:numPr>
              <w:spacing w:before="240"/>
              <w:rPr>
                <w:rFonts w:eastAsia="Ubuntu" w:cstheme="minorHAnsi"/>
                <w:bCs/>
                <w:iCs/>
              </w:rPr>
            </w:pPr>
          </w:p>
        </w:tc>
        <w:tc>
          <w:tcPr>
            <w:tcW w:w="1477" w:type="dxa"/>
          </w:tcPr>
          <w:p w14:paraId="1F3B24CE" w14:textId="2321974F" w:rsidR="00A33F3C" w:rsidRPr="00A33F3C" w:rsidRDefault="00816DDE" w:rsidP="00816DDE">
            <w:pPr>
              <w:rPr>
                <w:rFonts w:eastAsia="Ubuntu" w:cstheme="minorHAnsi"/>
                <w:bCs/>
                <w:iCs/>
              </w:rPr>
            </w:pPr>
            <w:r w:rsidRPr="00135773">
              <w:t>Offsetting Payments</w:t>
            </w:r>
          </w:p>
        </w:tc>
        <w:tc>
          <w:tcPr>
            <w:tcW w:w="962" w:type="dxa"/>
          </w:tcPr>
          <w:p w14:paraId="3AFFBE4A" w14:textId="77777777" w:rsidR="00A33F3C" w:rsidRPr="00A33F3C" w:rsidRDefault="00A33F3C" w:rsidP="00A33F3C">
            <w:pPr>
              <w:keepNext/>
              <w:spacing w:before="240"/>
              <w:rPr>
                <w:rFonts w:eastAsia="Ubuntu" w:cstheme="minorHAnsi"/>
                <w:bCs/>
                <w:iCs/>
              </w:rPr>
            </w:pPr>
          </w:p>
        </w:tc>
        <w:tc>
          <w:tcPr>
            <w:tcW w:w="1522" w:type="dxa"/>
          </w:tcPr>
          <w:p w14:paraId="0033F35B" w14:textId="77777777" w:rsidR="00A33F3C" w:rsidRPr="00A33F3C" w:rsidRDefault="00A33F3C" w:rsidP="00A33F3C">
            <w:pPr>
              <w:keepNext/>
              <w:spacing w:before="240"/>
              <w:rPr>
                <w:rFonts w:eastAsia="Ubuntu" w:cstheme="minorHAnsi"/>
                <w:bCs/>
                <w:iCs/>
              </w:rPr>
            </w:pPr>
          </w:p>
        </w:tc>
        <w:tc>
          <w:tcPr>
            <w:tcW w:w="4949" w:type="dxa"/>
          </w:tcPr>
          <w:p w14:paraId="598B1945" w14:textId="243DCF69" w:rsidR="00816DDE" w:rsidRDefault="00816DDE" w:rsidP="00816DDE">
            <w:pPr>
              <w:pStyle w:val="NormalWeb"/>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To offset a payment before confirmation, navigate to the Treasury Confirmation and Reconciliation window.</w:t>
            </w:r>
            <w:r>
              <w:rPr>
                <w:rFonts w:asciiTheme="minorHAnsi" w:hAnsiTheme="minorHAnsi" w:cstheme="minorHAnsi"/>
                <w:color w:val="222222"/>
                <w:sz w:val="22"/>
                <w:szCs w:val="22"/>
              </w:rPr>
              <w:t xml:space="preserve"> </w:t>
            </w:r>
            <w:r w:rsidRPr="00A417C1">
              <w:rPr>
                <w:rFonts w:asciiTheme="minorHAnsi" w:hAnsiTheme="minorHAnsi" w:cstheme="minorHAnsi"/>
                <w:color w:val="222222"/>
                <w:sz w:val="22"/>
                <w:szCs w:val="22"/>
              </w:rPr>
              <w:t>The following table describes selected fields on the Treasury Confirmation Offset window.</w:t>
            </w:r>
          </w:p>
          <w:tbl>
            <w:tblPr>
              <w:tblW w:w="4657" w:type="dxa"/>
              <w:shd w:val="clear" w:color="auto" w:fill="FFFFFF"/>
              <w:tblLayout w:type="fixed"/>
              <w:tblCellMar>
                <w:top w:w="40" w:type="dxa"/>
                <w:left w:w="40" w:type="dxa"/>
                <w:bottom w:w="40" w:type="dxa"/>
                <w:right w:w="40" w:type="dxa"/>
              </w:tblCellMar>
              <w:tblLook w:val="04A0" w:firstRow="1" w:lastRow="0" w:firstColumn="1" w:lastColumn="0" w:noHBand="0" w:noVBand="1"/>
              <w:tblDescription w:val="table is summarized in text"/>
            </w:tblPr>
            <w:tblGrid>
              <w:gridCol w:w="1371"/>
              <w:gridCol w:w="3286"/>
            </w:tblGrid>
            <w:tr w:rsidR="00816DDE" w:rsidRPr="00236E35" w14:paraId="605EBD3B" w14:textId="77777777" w:rsidTr="00236E35">
              <w:trPr>
                <w:trHeight w:val="116"/>
              </w:trPr>
              <w:tc>
                <w:tcPr>
                  <w:tcW w:w="1371"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105A172F" w14:textId="77777777" w:rsidR="00816DDE" w:rsidRPr="00236E35" w:rsidRDefault="00816DDE" w:rsidP="00816DDE">
                  <w:pPr>
                    <w:spacing w:after="0"/>
                    <w:rPr>
                      <w:rFonts w:cstheme="minorHAnsi"/>
                      <w:color w:val="222222"/>
                      <w:sz w:val="16"/>
                      <w:szCs w:val="16"/>
                    </w:rPr>
                  </w:pPr>
                  <w:r w:rsidRPr="00236E35">
                    <w:rPr>
                      <w:rFonts w:cstheme="minorHAnsi"/>
                      <w:b/>
                      <w:bCs/>
                      <w:color w:val="222222"/>
                      <w:sz w:val="16"/>
                      <w:szCs w:val="16"/>
                    </w:rPr>
                    <w:t>Field Name</w:t>
                  </w:r>
                </w:p>
              </w:tc>
              <w:tc>
                <w:tcPr>
                  <w:tcW w:w="3286" w:type="dxa"/>
                  <w:tcBorders>
                    <w:top w:val="outset" w:sz="6" w:space="0" w:color="auto"/>
                    <w:left w:val="outset" w:sz="6" w:space="0" w:color="auto"/>
                    <w:bottom w:val="outset" w:sz="6" w:space="0" w:color="auto"/>
                    <w:right w:val="outset" w:sz="6" w:space="0" w:color="auto"/>
                  </w:tcBorders>
                  <w:shd w:val="clear" w:color="auto" w:fill="FFFFFF"/>
                </w:tcPr>
                <w:p w14:paraId="6B380D2F" w14:textId="77777777" w:rsidR="00816DDE" w:rsidRPr="00236E35" w:rsidRDefault="00816DDE" w:rsidP="00816DDE">
                  <w:pPr>
                    <w:spacing w:after="0"/>
                    <w:rPr>
                      <w:rFonts w:cstheme="minorHAnsi"/>
                      <w:b/>
                      <w:bCs/>
                      <w:color w:val="222222"/>
                      <w:sz w:val="16"/>
                      <w:szCs w:val="16"/>
                    </w:rPr>
                  </w:pPr>
                  <w:r w:rsidRPr="00236E35">
                    <w:rPr>
                      <w:rFonts w:cstheme="minorHAnsi"/>
                      <w:b/>
                      <w:bCs/>
                      <w:color w:val="222222"/>
                      <w:sz w:val="16"/>
                      <w:szCs w:val="16"/>
                    </w:rPr>
                    <w:t>Description</w:t>
                  </w:r>
                </w:p>
              </w:tc>
            </w:tr>
            <w:tr w:rsidR="00816DDE" w:rsidRPr="00236E35" w14:paraId="14247FD2" w14:textId="77777777" w:rsidTr="00236E35">
              <w:trPr>
                <w:trHeight w:val="171"/>
              </w:trPr>
              <w:tc>
                <w:tcPr>
                  <w:tcW w:w="1371"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D8E75B3"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Vendor Name</w:t>
                  </w:r>
                </w:p>
              </w:tc>
              <w:tc>
                <w:tcPr>
                  <w:tcW w:w="3286" w:type="dxa"/>
                  <w:tcBorders>
                    <w:top w:val="outset" w:sz="6" w:space="0" w:color="auto"/>
                    <w:left w:val="outset" w:sz="6" w:space="0" w:color="auto"/>
                    <w:bottom w:val="outset" w:sz="6" w:space="0" w:color="auto"/>
                    <w:right w:val="outset" w:sz="6" w:space="0" w:color="auto"/>
                  </w:tcBorders>
                  <w:shd w:val="clear" w:color="auto" w:fill="F9F9F9"/>
                </w:tcPr>
                <w:p w14:paraId="4D4611C5"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Derived from treasury confirmation and reconciliation window</w:t>
                  </w:r>
                </w:p>
              </w:tc>
            </w:tr>
            <w:tr w:rsidR="00816DDE" w:rsidRPr="00236E35" w14:paraId="38389791" w14:textId="77777777" w:rsidTr="00236E35">
              <w:trPr>
                <w:trHeight w:val="275"/>
              </w:trPr>
              <w:tc>
                <w:tcPr>
                  <w:tcW w:w="1371"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5748592E"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Original Treasury Check No.</w:t>
                  </w:r>
                </w:p>
              </w:tc>
              <w:tc>
                <w:tcPr>
                  <w:tcW w:w="3286" w:type="dxa"/>
                  <w:tcBorders>
                    <w:top w:val="outset" w:sz="6" w:space="0" w:color="auto"/>
                    <w:left w:val="outset" w:sz="6" w:space="0" w:color="auto"/>
                    <w:bottom w:val="outset" w:sz="6" w:space="0" w:color="auto"/>
                    <w:right w:val="outset" w:sz="6" w:space="0" w:color="auto"/>
                  </w:tcBorders>
                  <w:shd w:val="clear" w:color="auto" w:fill="FFFFFF"/>
                </w:tcPr>
                <w:p w14:paraId="0D9214E7"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Derived from treasury confirmation and reconciliation window</w:t>
                  </w:r>
                </w:p>
              </w:tc>
            </w:tr>
            <w:tr w:rsidR="00816DDE" w:rsidRPr="00236E35" w14:paraId="61E3249A" w14:textId="77777777" w:rsidTr="00236E35">
              <w:trPr>
                <w:trHeight w:val="331"/>
              </w:trPr>
              <w:tc>
                <w:tcPr>
                  <w:tcW w:w="1371"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6E1B719C"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Corrected Treasury Check No.</w:t>
                  </w:r>
                </w:p>
              </w:tc>
              <w:tc>
                <w:tcPr>
                  <w:tcW w:w="3286" w:type="dxa"/>
                  <w:tcBorders>
                    <w:top w:val="outset" w:sz="6" w:space="0" w:color="auto"/>
                    <w:left w:val="outset" w:sz="6" w:space="0" w:color="auto"/>
                    <w:bottom w:val="outset" w:sz="6" w:space="0" w:color="auto"/>
                    <w:right w:val="outset" w:sz="6" w:space="0" w:color="auto"/>
                  </w:tcBorders>
                  <w:shd w:val="clear" w:color="auto" w:fill="F9F9F9"/>
                </w:tcPr>
                <w:p w14:paraId="2DE26901"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Corrected department of treasury check number</w:t>
                  </w:r>
                </w:p>
              </w:tc>
            </w:tr>
            <w:tr w:rsidR="00816DDE" w:rsidRPr="00236E35" w14:paraId="342713FF" w14:textId="77777777" w:rsidTr="00236E35">
              <w:trPr>
                <w:trHeight w:val="192"/>
              </w:trPr>
              <w:tc>
                <w:tcPr>
                  <w:tcW w:w="1371"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62000E98"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Offset Party Name</w:t>
                  </w:r>
                </w:p>
              </w:tc>
              <w:tc>
                <w:tcPr>
                  <w:tcW w:w="3286" w:type="dxa"/>
                  <w:tcBorders>
                    <w:top w:val="outset" w:sz="6" w:space="0" w:color="auto"/>
                    <w:left w:val="outset" w:sz="6" w:space="0" w:color="auto"/>
                    <w:bottom w:val="outset" w:sz="6" w:space="0" w:color="auto"/>
                    <w:right w:val="outset" w:sz="6" w:space="0" w:color="auto"/>
                  </w:tcBorders>
                  <w:shd w:val="clear" w:color="auto" w:fill="FFFFFF"/>
                </w:tcPr>
                <w:p w14:paraId="373CD794"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Offset source</w:t>
                  </w:r>
                </w:p>
              </w:tc>
            </w:tr>
            <w:tr w:rsidR="00816DDE" w:rsidRPr="00236E35" w14:paraId="3499E917" w14:textId="77777777" w:rsidTr="00236E35">
              <w:trPr>
                <w:trHeight w:val="365"/>
              </w:trPr>
              <w:tc>
                <w:tcPr>
                  <w:tcW w:w="1371"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5A36DF33"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Original Payment Amount</w:t>
                  </w:r>
                </w:p>
              </w:tc>
              <w:tc>
                <w:tcPr>
                  <w:tcW w:w="3286" w:type="dxa"/>
                  <w:tcBorders>
                    <w:top w:val="outset" w:sz="6" w:space="0" w:color="auto"/>
                    <w:left w:val="outset" w:sz="6" w:space="0" w:color="auto"/>
                    <w:bottom w:val="outset" w:sz="6" w:space="0" w:color="auto"/>
                    <w:right w:val="outset" w:sz="6" w:space="0" w:color="auto"/>
                  </w:tcBorders>
                  <w:shd w:val="clear" w:color="auto" w:fill="F9F9F9"/>
                </w:tcPr>
                <w:p w14:paraId="061D7EE6"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Derived from treasury confirmation and reconciliation window</w:t>
                  </w:r>
                </w:p>
              </w:tc>
            </w:tr>
            <w:tr w:rsidR="00816DDE" w:rsidRPr="00236E35" w14:paraId="4D7BFB43" w14:textId="77777777" w:rsidTr="00236E35">
              <w:trPr>
                <w:trHeight w:val="428"/>
              </w:trPr>
              <w:tc>
                <w:tcPr>
                  <w:tcW w:w="1371"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hideMark/>
                </w:tcPr>
                <w:p w14:paraId="0F8FDF4A"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Net Payment Amount</w:t>
                  </w:r>
                </w:p>
              </w:tc>
              <w:tc>
                <w:tcPr>
                  <w:tcW w:w="3286" w:type="dxa"/>
                  <w:tcBorders>
                    <w:top w:val="outset" w:sz="6" w:space="0" w:color="auto"/>
                    <w:left w:val="outset" w:sz="6" w:space="0" w:color="auto"/>
                    <w:bottom w:val="outset" w:sz="6" w:space="0" w:color="auto"/>
                    <w:right w:val="outset" w:sz="6" w:space="0" w:color="auto"/>
                  </w:tcBorders>
                  <w:shd w:val="clear" w:color="auto" w:fill="FFFFFF"/>
                </w:tcPr>
                <w:p w14:paraId="1D75DBBF"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Displayed if offset amount is entered; calculated value derived from original payment amount less offset amount</w:t>
                  </w:r>
                </w:p>
              </w:tc>
            </w:tr>
            <w:tr w:rsidR="00816DDE" w:rsidRPr="00236E35" w14:paraId="054281A9" w14:textId="77777777" w:rsidTr="00236E35">
              <w:trPr>
                <w:trHeight w:val="20"/>
              </w:trPr>
              <w:tc>
                <w:tcPr>
                  <w:tcW w:w="1371" w:type="dxa"/>
                  <w:tcBorders>
                    <w:top w:val="outset" w:sz="6" w:space="0" w:color="auto"/>
                    <w:left w:val="outset" w:sz="6" w:space="0" w:color="auto"/>
                    <w:bottom w:val="outset" w:sz="6" w:space="0" w:color="auto"/>
                    <w:right w:val="outset" w:sz="6" w:space="0" w:color="auto"/>
                  </w:tcBorders>
                  <w:shd w:val="clear" w:color="auto" w:fill="F9F9F9"/>
                  <w:tcMar>
                    <w:top w:w="120" w:type="dxa"/>
                    <w:left w:w="90" w:type="dxa"/>
                    <w:bottom w:w="120" w:type="dxa"/>
                    <w:right w:w="90" w:type="dxa"/>
                  </w:tcMar>
                  <w:hideMark/>
                </w:tcPr>
                <w:p w14:paraId="2863211E"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Void</w:t>
                  </w:r>
                </w:p>
              </w:tc>
              <w:tc>
                <w:tcPr>
                  <w:tcW w:w="3286" w:type="dxa"/>
                  <w:tcBorders>
                    <w:top w:val="outset" w:sz="6" w:space="0" w:color="auto"/>
                    <w:left w:val="outset" w:sz="6" w:space="0" w:color="auto"/>
                    <w:bottom w:val="outset" w:sz="6" w:space="0" w:color="auto"/>
                    <w:right w:val="outset" w:sz="6" w:space="0" w:color="auto"/>
                  </w:tcBorders>
                  <w:shd w:val="clear" w:color="auto" w:fill="F9F9F9"/>
                </w:tcPr>
                <w:p w14:paraId="7DFA4553" w14:textId="77777777" w:rsidR="00816DDE" w:rsidRPr="00236E35" w:rsidRDefault="00816DDE" w:rsidP="00816DDE">
                  <w:pPr>
                    <w:spacing w:after="0"/>
                    <w:rPr>
                      <w:rFonts w:cstheme="minorHAnsi"/>
                      <w:color w:val="222222"/>
                      <w:sz w:val="16"/>
                      <w:szCs w:val="16"/>
                    </w:rPr>
                  </w:pPr>
                  <w:r w:rsidRPr="00236E35">
                    <w:rPr>
                      <w:rFonts w:cstheme="minorHAnsi"/>
                      <w:color w:val="222222"/>
                      <w:sz w:val="16"/>
                      <w:szCs w:val="16"/>
                    </w:rPr>
                    <w:t>Indicates payment is voided</w:t>
                  </w:r>
                </w:p>
              </w:tc>
            </w:tr>
          </w:tbl>
          <w:p w14:paraId="640B8EB2" w14:textId="48556201" w:rsidR="00A33F3C" w:rsidRPr="00A33F3C" w:rsidRDefault="00A33F3C" w:rsidP="00816DDE">
            <w:pPr>
              <w:pStyle w:val="NormalWeb"/>
              <w:shd w:val="clear" w:color="auto" w:fill="FFFFFF"/>
              <w:rPr>
                <w:rFonts w:eastAsia="Ubuntu" w:cstheme="minorHAnsi"/>
                <w:bCs/>
                <w:iCs/>
              </w:rPr>
            </w:pPr>
          </w:p>
        </w:tc>
      </w:tr>
    </w:tbl>
    <w:p w14:paraId="0D20B3B2" w14:textId="37951FCE" w:rsidR="00A35960" w:rsidRDefault="00A35960" w:rsidP="00A35960"/>
    <w:p w14:paraId="54930A8B" w14:textId="77777777" w:rsidR="00074E7B" w:rsidRDefault="00074E7B" w:rsidP="00074E7B">
      <w:pPr>
        <w:pStyle w:val="Heading3"/>
      </w:pPr>
      <w:bookmarkStart w:id="34" w:name="_Toc99369888"/>
      <w:r>
        <w:t>Applications Used in the Process</w:t>
      </w:r>
      <w:bookmarkEnd w:id="34"/>
    </w:p>
    <w:p w14:paraId="28086445" w14:textId="77777777" w:rsidR="00074E7B" w:rsidRPr="00C91B11" w:rsidRDefault="00074E7B" w:rsidP="00074E7B">
      <w:pPr>
        <w:spacing w:line="256" w:lineRule="auto"/>
        <w:rPr>
          <w:rFonts w:cs="Arial"/>
          <w:b/>
          <w:bCs/>
          <w:color w:val="808080" w:themeColor="background1" w:themeShade="80"/>
        </w:rPr>
      </w:pPr>
      <w:r w:rsidRPr="00C91B11">
        <w:rPr>
          <w:rFonts w:cs="Arial"/>
          <w:b/>
          <w:bCs/>
          <w:color w:val="808080" w:themeColor="background1" w:themeShade="80"/>
        </w:rPr>
        <w:t>N/A</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16"/>
        <w:gridCol w:w="1622"/>
        <w:gridCol w:w="1169"/>
        <w:gridCol w:w="1125"/>
        <w:gridCol w:w="1192"/>
        <w:gridCol w:w="1641"/>
        <w:gridCol w:w="2185"/>
      </w:tblGrid>
      <w:tr w:rsidR="00074E7B" w:rsidRPr="00270CCD" w14:paraId="71452F86" w14:textId="77777777" w:rsidTr="00997712">
        <w:trPr>
          <w:trHeight w:val="699"/>
        </w:trPr>
        <w:tc>
          <w:tcPr>
            <w:tcW w:w="477"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64FB6283" w14:textId="77777777" w:rsidR="00074E7B" w:rsidRPr="00607D78" w:rsidRDefault="00074E7B" w:rsidP="00997712">
            <w:pPr>
              <w:rPr>
                <w:rFonts w:cstheme="minorHAnsi"/>
                <w:b/>
                <w:bCs/>
                <w:color w:val="000000" w:themeColor="text1"/>
              </w:rPr>
            </w:pPr>
            <w:r w:rsidRPr="00607D78">
              <w:rPr>
                <w:rFonts w:cstheme="minorHAnsi"/>
                <w:b/>
                <w:bCs/>
                <w:color w:val="000000" w:themeColor="text1"/>
              </w:rPr>
              <w:lastRenderedPageBreak/>
              <w:t>#</w:t>
            </w:r>
          </w:p>
        </w:tc>
        <w:tc>
          <w:tcPr>
            <w:tcW w:w="187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1AFF2551"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Application name &amp; version</w:t>
            </w:r>
          </w:p>
        </w:tc>
        <w:tc>
          <w:tcPr>
            <w:tcW w:w="1231"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49475337"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System</w:t>
            </w:r>
          </w:p>
          <w:p w14:paraId="50504710"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Language</w:t>
            </w:r>
          </w:p>
        </w:tc>
        <w:tc>
          <w:tcPr>
            <w:tcW w:w="1263"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32C301BC"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Login Module</w:t>
            </w:r>
          </w:p>
        </w:tc>
        <w:tc>
          <w:tcPr>
            <w:tcW w:w="1300"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7E2669BA"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Interface</w:t>
            </w:r>
          </w:p>
        </w:tc>
        <w:tc>
          <w:tcPr>
            <w:tcW w:w="1745"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22B2FC02"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Environment/</w:t>
            </w:r>
          </w:p>
          <w:p w14:paraId="477AA0E2"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Access method</w:t>
            </w:r>
          </w:p>
        </w:tc>
        <w:tc>
          <w:tcPr>
            <w:tcW w:w="287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467AD4DE" w14:textId="77777777" w:rsidR="00074E7B" w:rsidRPr="00607D78" w:rsidRDefault="00074E7B" w:rsidP="00997712">
            <w:pPr>
              <w:rPr>
                <w:rFonts w:cstheme="minorHAnsi"/>
                <w:b/>
                <w:bCs/>
                <w:color w:val="000000" w:themeColor="text1"/>
              </w:rPr>
            </w:pPr>
            <w:r w:rsidRPr="00607D78">
              <w:rPr>
                <w:rFonts w:cstheme="minorHAnsi"/>
                <w:b/>
                <w:bCs/>
                <w:color w:val="000000" w:themeColor="text1"/>
              </w:rPr>
              <w:t>Comments</w:t>
            </w:r>
          </w:p>
        </w:tc>
      </w:tr>
      <w:tr w:rsidR="00074E7B" w:rsidRPr="00270CCD" w14:paraId="3C79CC99" w14:textId="77777777" w:rsidTr="00997712">
        <w:trPr>
          <w:trHeight w:val="513"/>
        </w:trPr>
        <w:tc>
          <w:tcPr>
            <w:tcW w:w="477" w:type="dxa"/>
            <w:tcBorders>
              <w:top w:val="single" w:sz="6" w:space="0" w:color="A6A6A6" w:themeColor="background1" w:themeShade="A6"/>
            </w:tcBorders>
          </w:tcPr>
          <w:p w14:paraId="063D1095" w14:textId="77777777" w:rsidR="00074E7B" w:rsidRPr="00607D78" w:rsidRDefault="00074E7B" w:rsidP="00997712">
            <w:pPr>
              <w:rPr>
                <w:rFonts w:cstheme="minorHAnsi"/>
                <w:iCs/>
                <w:color w:val="000000" w:themeColor="text1"/>
              </w:rPr>
            </w:pPr>
            <w:r w:rsidRPr="00607D78">
              <w:rPr>
                <w:rFonts w:cstheme="minorHAnsi"/>
                <w:iCs/>
                <w:color w:val="000000" w:themeColor="text1"/>
              </w:rPr>
              <w:t>1</w:t>
            </w:r>
          </w:p>
        </w:tc>
        <w:tc>
          <w:tcPr>
            <w:tcW w:w="1876" w:type="dxa"/>
            <w:tcBorders>
              <w:top w:val="single" w:sz="6" w:space="0" w:color="A6A6A6" w:themeColor="background1" w:themeShade="A6"/>
            </w:tcBorders>
          </w:tcPr>
          <w:p w14:paraId="6FB1E2FE" w14:textId="77777777" w:rsidR="00074E7B" w:rsidRPr="00607D78" w:rsidRDefault="00074E7B" w:rsidP="00997712">
            <w:pPr>
              <w:rPr>
                <w:rFonts w:cstheme="minorHAnsi"/>
                <w:i/>
                <w:color w:val="000000" w:themeColor="text1"/>
              </w:rPr>
            </w:pPr>
          </w:p>
        </w:tc>
        <w:tc>
          <w:tcPr>
            <w:tcW w:w="1231" w:type="dxa"/>
            <w:tcBorders>
              <w:top w:val="single" w:sz="6" w:space="0" w:color="A6A6A6" w:themeColor="background1" w:themeShade="A6"/>
            </w:tcBorders>
          </w:tcPr>
          <w:p w14:paraId="165E1353" w14:textId="77777777" w:rsidR="00074E7B" w:rsidRPr="00607D78" w:rsidRDefault="00074E7B" w:rsidP="00997712">
            <w:pPr>
              <w:rPr>
                <w:rFonts w:cstheme="minorHAnsi"/>
                <w:i/>
                <w:color w:val="000000" w:themeColor="text1"/>
              </w:rPr>
            </w:pPr>
          </w:p>
        </w:tc>
        <w:tc>
          <w:tcPr>
            <w:tcW w:w="1263" w:type="dxa"/>
            <w:tcBorders>
              <w:top w:val="single" w:sz="6" w:space="0" w:color="A6A6A6" w:themeColor="background1" w:themeShade="A6"/>
            </w:tcBorders>
          </w:tcPr>
          <w:p w14:paraId="3218241B" w14:textId="77777777" w:rsidR="00074E7B" w:rsidRPr="00607D78" w:rsidRDefault="00074E7B" w:rsidP="00997712">
            <w:pPr>
              <w:rPr>
                <w:rFonts w:cstheme="minorHAnsi"/>
                <w:i/>
                <w:color w:val="000000" w:themeColor="text1"/>
              </w:rPr>
            </w:pPr>
          </w:p>
        </w:tc>
        <w:tc>
          <w:tcPr>
            <w:tcW w:w="1300" w:type="dxa"/>
            <w:tcBorders>
              <w:top w:val="single" w:sz="6" w:space="0" w:color="A6A6A6" w:themeColor="background1" w:themeShade="A6"/>
            </w:tcBorders>
          </w:tcPr>
          <w:p w14:paraId="632DE830" w14:textId="77777777" w:rsidR="00074E7B" w:rsidRPr="00607D78" w:rsidRDefault="00074E7B" w:rsidP="00997712">
            <w:pPr>
              <w:rPr>
                <w:rFonts w:cstheme="minorHAnsi"/>
                <w:i/>
                <w:color w:val="000000" w:themeColor="text1"/>
              </w:rPr>
            </w:pPr>
          </w:p>
        </w:tc>
        <w:tc>
          <w:tcPr>
            <w:tcW w:w="1745" w:type="dxa"/>
            <w:tcBorders>
              <w:top w:val="single" w:sz="6" w:space="0" w:color="A6A6A6" w:themeColor="background1" w:themeShade="A6"/>
            </w:tcBorders>
          </w:tcPr>
          <w:p w14:paraId="7331651B" w14:textId="77777777" w:rsidR="00074E7B" w:rsidRPr="00607D78" w:rsidRDefault="00074E7B" w:rsidP="00997712">
            <w:pPr>
              <w:rPr>
                <w:rFonts w:cstheme="minorHAnsi"/>
                <w:i/>
                <w:color w:val="000000" w:themeColor="text1"/>
              </w:rPr>
            </w:pPr>
          </w:p>
        </w:tc>
        <w:tc>
          <w:tcPr>
            <w:tcW w:w="2876" w:type="dxa"/>
            <w:tcBorders>
              <w:top w:val="single" w:sz="6" w:space="0" w:color="A6A6A6" w:themeColor="background1" w:themeShade="A6"/>
            </w:tcBorders>
          </w:tcPr>
          <w:p w14:paraId="4900BDAF" w14:textId="77777777" w:rsidR="00074E7B" w:rsidRPr="00607D78" w:rsidRDefault="00074E7B" w:rsidP="00997712">
            <w:pPr>
              <w:rPr>
                <w:rFonts w:cstheme="minorHAnsi"/>
                <w:i/>
                <w:color w:val="000000" w:themeColor="text1"/>
              </w:rPr>
            </w:pPr>
          </w:p>
        </w:tc>
      </w:tr>
      <w:tr w:rsidR="00074E7B" w:rsidRPr="00270CCD" w14:paraId="12CF976C" w14:textId="77777777" w:rsidTr="00997712">
        <w:trPr>
          <w:trHeight w:val="766"/>
        </w:trPr>
        <w:tc>
          <w:tcPr>
            <w:tcW w:w="477" w:type="dxa"/>
          </w:tcPr>
          <w:p w14:paraId="27AAE43F" w14:textId="77777777" w:rsidR="00074E7B" w:rsidRPr="00607D78" w:rsidRDefault="00074E7B" w:rsidP="00997712">
            <w:pPr>
              <w:rPr>
                <w:rFonts w:cstheme="minorHAnsi"/>
                <w:iCs/>
                <w:color w:val="000000" w:themeColor="text1"/>
              </w:rPr>
            </w:pPr>
            <w:r w:rsidRPr="00607D78">
              <w:rPr>
                <w:rFonts w:cstheme="minorHAnsi"/>
                <w:iCs/>
                <w:color w:val="000000" w:themeColor="text1"/>
              </w:rPr>
              <w:t>2</w:t>
            </w:r>
          </w:p>
        </w:tc>
        <w:tc>
          <w:tcPr>
            <w:tcW w:w="1876" w:type="dxa"/>
          </w:tcPr>
          <w:p w14:paraId="6203167B" w14:textId="77777777" w:rsidR="00074E7B" w:rsidRPr="00607D78" w:rsidRDefault="00074E7B" w:rsidP="00997712">
            <w:pPr>
              <w:rPr>
                <w:rFonts w:cstheme="minorHAnsi"/>
                <w:i/>
                <w:color w:val="000000" w:themeColor="text1"/>
              </w:rPr>
            </w:pPr>
          </w:p>
        </w:tc>
        <w:tc>
          <w:tcPr>
            <w:tcW w:w="1231" w:type="dxa"/>
          </w:tcPr>
          <w:p w14:paraId="2B826578" w14:textId="77777777" w:rsidR="00074E7B" w:rsidRPr="00607D78" w:rsidRDefault="00074E7B" w:rsidP="00997712">
            <w:pPr>
              <w:rPr>
                <w:rFonts w:cstheme="minorHAnsi"/>
                <w:i/>
                <w:color w:val="000000" w:themeColor="text1"/>
              </w:rPr>
            </w:pPr>
          </w:p>
        </w:tc>
        <w:tc>
          <w:tcPr>
            <w:tcW w:w="1263" w:type="dxa"/>
          </w:tcPr>
          <w:p w14:paraId="447B7EF1" w14:textId="77777777" w:rsidR="00074E7B" w:rsidRPr="00607D78" w:rsidRDefault="00074E7B" w:rsidP="00997712">
            <w:pPr>
              <w:rPr>
                <w:rFonts w:cstheme="minorHAnsi"/>
                <w:i/>
                <w:color w:val="000000" w:themeColor="text1"/>
              </w:rPr>
            </w:pPr>
          </w:p>
        </w:tc>
        <w:tc>
          <w:tcPr>
            <w:tcW w:w="1300" w:type="dxa"/>
          </w:tcPr>
          <w:p w14:paraId="50C1AEEE" w14:textId="77777777" w:rsidR="00074E7B" w:rsidRPr="00607D78" w:rsidRDefault="00074E7B" w:rsidP="00997712">
            <w:pPr>
              <w:rPr>
                <w:rFonts w:cstheme="minorHAnsi"/>
                <w:i/>
                <w:color w:val="000000" w:themeColor="text1"/>
              </w:rPr>
            </w:pPr>
          </w:p>
        </w:tc>
        <w:tc>
          <w:tcPr>
            <w:tcW w:w="1745" w:type="dxa"/>
          </w:tcPr>
          <w:p w14:paraId="3160AFF6" w14:textId="77777777" w:rsidR="00074E7B" w:rsidRPr="00607D78" w:rsidRDefault="00074E7B" w:rsidP="00997712">
            <w:pPr>
              <w:rPr>
                <w:rFonts w:cstheme="minorHAnsi"/>
                <w:i/>
                <w:color w:val="000000" w:themeColor="text1"/>
              </w:rPr>
            </w:pPr>
          </w:p>
        </w:tc>
        <w:tc>
          <w:tcPr>
            <w:tcW w:w="2876" w:type="dxa"/>
          </w:tcPr>
          <w:p w14:paraId="654B3F7D" w14:textId="77777777" w:rsidR="00074E7B" w:rsidRPr="00607D78" w:rsidRDefault="00074E7B" w:rsidP="00997712">
            <w:pPr>
              <w:rPr>
                <w:rFonts w:cstheme="minorHAnsi"/>
                <w:i/>
                <w:color w:val="000000" w:themeColor="text1"/>
              </w:rPr>
            </w:pPr>
          </w:p>
        </w:tc>
      </w:tr>
      <w:tr w:rsidR="00074E7B" w:rsidRPr="00270CCD" w14:paraId="7530D091" w14:textId="77777777" w:rsidTr="00997712">
        <w:trPr>
          <w:trHeight w:val="773"/>
        </w:trPr>
        <w:tc>
          <w:tcPr>
            <w:tcW w:w="477" w:type="dxa"/>
          </w:tcPr>
          <w:p w14:paraId="40F0CB1F" w14:textId="77777777" w:rsidR="00074E7B" w:rsidRPr="00607D78" w:rsidRDefault="00074E7B" w:rsidP="00997712">
            <w:pPr>
              <w:rPr>
                <w:rFonts w:cstheme="minorHAnsi"/>
                <w:iCs/>
                <w:color w:val="000000" w:themeColor="text1"/>
              </w:rPr>
            </w:pPr>
            <w:r w:rsidRPr="00607D78">
              <w:rPr>
                <w:rFonts w:cstheme="minorHAnsi"/>
                <w:iCs/>
                <w:color w:val="000000" w:themeColor="text1"/>
              </w:rPr>
              <w:t>3</w:t>
            </w:r>
          </w:p>
        </w:tc>
        <w:tc>
          <w:tcPr>
            <w:tcW w:w="1876" w:type="dxa"/>
          </w:tcPr>
          <w:p w14:paraId="70AD49A3" w14:textId="77777777" w:rsidR="00074E7B" w:rsidRPr="00607D78" w:rsidRDefault="00074E7B" w:rsidP="00997712">
            <w:pPr>
              <w:rPr>
                <w:rFonts w:cstheme="minorHAnsi"/>
                <w:i/>
                <w:color w:val="000000" w:themeColor="text1"/>
              </w:rPr>
            </w:pPr>
          </w:p>
        </w:tc>
        <w:tc>
          <w:tcPr>
            <w:tcW w:w="1231" w:type="dxa"/>
          </w:tcPr>
          <w:p w14:paraId="42EEE933" w14:textId="77777777" w:rsidR="00074E7B" w:rsidRPr="00607D78" w:rsidRDefault="00074E7B" w:rsidP="00997712">
            <w:pPr>
              <w:rPr>
                <w:rFonts w:cstheme="minorHAnsi"/>
                <w:i/>
                <w:color w:val="000000" w:themeColor="text1"/>
              </w:rPr>
            </w:pPr>
          </w:p>
        </w:tc>
        <w:tc>
          <w:tcPr>
            <w:tcW w:w="1263" w:type="dxa"/>
          </w:tcPr>
          <w:p w14:paraId="62753473" w14:textId="77777777" w:rsidR="00074E7B" w:rsidRPr="00607D78" w:rsidRDefault="00074E7B" w:rsidP="00997712">
            <w:pPr>
              <w:rPr>
                <w:rFonts w:cstheme="minorHAnsi"/>
                <w:i/>
                <w:color w:val="000000" w:themeColor="text1"/>
              </w:rPr>
            </w:pPr>
          </w:p>
        </w:tc>
        <w:tc>
          <w:tcPr>
            <w:tcW w:w="1300" w:type="dxa"/>
          </w:tcPr>
          <w:p w14:paraId="456A0155" w14:textId="77777777" w:rsidR="00074E7B" w:rsidRPr="00607D78" w:rsidRDefault="00074E7B" w:rsidP="00997712">
            <w:pPr>
              <w:rPr>
                <w:rFonts w:cstheme="minorHAnsi"/>
                <w:i/>
                <w:color w:val="000000" w:themeColor="text1"/>
              </w:rPr>
            </w:pPr>
          </w:p>
        </w:tc>
        <w:tc>
          <w:tcPr>
            <w:tcW w:w="1745" w:type="dxa"/>
          </w:tcPr>
          <w:p w14:paraId="0EC206C1" w14:textId="77777777" w:rsidR="00074E7B" w:rsidRPr="00607D78" w:rsidRDefault="00074E7B" w:rsidP="00997712">
            <w:pPr>
              <w:rPr>
                <w:rFonts w:cstheme="minorHAnsi"/>
                <w:i/>
                <w:color w:val="000000" w:themeColor="text1"/>
              </w:rPr>
            </w:pPr>
          </w:p>
        </w:tc>
        <w:tc>
          <w:tcPr>
            <w:tcW w:w="2876" w:type="dxa"/>
          </w:tcPr>
          <w:p w14:paraId="4489CAAB" w14:textId="77777777" w:rsidR="00074E7B" w:rsidRPr="00607D78" w:rsidRDefault="00074E7B" w:rsidP="00997712">
            <w:pPr>
              <w:rPr>
                <w:rFonts w:cstheme="minorHAnsi"/>
                <w:i/>
                <w:color w:val="000000" w:themeColor="text1"/>
              </w:rPr>
            </w:pPr>
          </w:p>
        </w:tc>
      </w:tr>
    </w:tbl>
    <w:p w14:paraId="6CBE51B2" w14:textId="77777777" w:rsidR="00074E7B" w:rsidRPr="00A35960" w:rsidRDefault="00074E7B" w:rsidP="00074E7B">
      <w:pPr>
        <w:rPr>
          <w:rFonts w:cs="Arial"/>
          <w:i/>
          <w:color w:val="000000" w:themeColor="text1"/>
          <w:sz w:val="18"/>
          <w:szCs w:val="18"/>
        </w:rPr>
      </w:pPr>
      <w:r w:rsidRPr="00A35960">
        <w:rPr>
          <w:rFonts w:cs="Arial"/>
          <w:i/>
          <w:color w:val="000000" w:themeColor="text1"/>
          <w:sz w:val="18"/>
          <w:szCs w:val="18"/>
        </w:rPr>
        <w:t xml:space="preserve">*Add more rows to the table </w:t>
      </w:r>
      <w:r>
        <w:rPr>
          <w:rFonts w:cs="Arial"/>
          <w:i/>
          <w:color w:val="000000" w:themeColor="text1"/>
          <w:sz w:val="18"/>
          <w:szCs w:val="18"/>
        </w:rPr>
        <w:t>as needed</w:t>
      </w:r>
      <w:r w:rsidRPr="00A35960">
        <w:rPr>
          <w:rFonts w:cs="Arial"/>
          <w:i/>
          <w:color w:val="000000" w:themeColor="text1"/>
          <w:sz w:val="18"/>
          <w:szCs w:val="18"/>
        </w:rPr>
        <w:t>.</w:t>
      </w:r>
    </w:p>
    <w:p w14:paraId="4555B960" w14:textId="3D9F24C2" w:rsidR="00A33F3C" w:rsidRDefault="00A33F3C" w:rsidP="00A33F3C">
      <w:pPr>
        <w:pStyle w:val="Heading3"/>
      </w:pPr>
      <w:bookmarkStart w:id="35" w:name="_Toc99369889"/>
      <w:r w:rsidRPr="00607D78">
        <w:t>Additional Process Documentation</w:t>
      </w:r>
      <w:bookmarkEnd w:id="35"/>
    </w:p>
    <w:p w14:paraId="1330330B" w14:textId="19CE9607" w:rsidR="00A33F3C" w:rsidRPr="00A33F3C" w:rsidRDefault="00E60580" w:rsidP="00A33F3C">
      <w:pPr>
        <w:rPr>
          <w:color w:val="808080" w:themeColor="background1" w:themeShade="80"/>
        </w:rPr>
      </w:pPr>
      <w:r>
        <w:rPr>
          <w:color w:val="808080" w:themeColor="background1" w:themeShade="80"/>
        </w:rPr>
        <w:t>N/A</w:t>
      </w:r>
    </w:p>
    <w:tbl>
      <w:tblPr>
        <w:tblW w:w="9720"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2250"/>
        <w:gridCol w:w="3650"/>
        <w:gridCol w:w="3820"/>
      </w:tblGrid>
      <w:tr w:rsidR="00A33F3C" w:rsidRPr="00607D78" w14:paraId="5A0FD04B" w14:textId="77777777" w:rsidTr="00A33F3C">
        <w:tc>
          <w:tcPr>
            <w:tcW w:w="9720" w:type="dxa"/>
            <w:gridSpan w:val="3"/>
            <w:tcBorders>
              <w:top w:val="single" w:sz="4" w:space="0" w:color="A6A6A6"/>
              <w:bottom w:val="single" w:sz="6" w:space="0" w:color="A6A6A6"/>
            </w:tcBorders>
            <w:shd w:val="clear" w:color="auto" w:fill="D9D9D9" w:themeFill="background1" w:themeFillShade="D9"/>
          </w:tcPr>
          <w:p w14:paraId="5C3AE27E" w14:textId="77777777" w:rsidR="00A33F3C" w:rsidRPr="00607D78" w:rsidRDefault="00A33F3C" w:rsidP="00A33F3C">
            <w:pPr>
              <w:jc w:val="center"/>
              <w:rPr>
                <w:rFonts w:cstheme="minorHAnsi"/>
                <w:b/>
                <w:bCs/>
              </w:rPr>
            </w:pPr>
            <w:r w:rsidRPr="00607D78">
              <w:rPr>
                <w:rFonts w:cstheme="minorHAnsi"/>
                <w:b/>
                <w:bCs/>
              </w:rPr>
              <w:t>Additional Process Documentation</w:t>
            </w:r>
          </w:p>
        </w:tc>
      </w:tr>
      <w:tr w:rsidR="00A33F3C" w:rsidRPr="00607D78" w14:paraId="69B823AC" w14:textId="77777777" w:rsidTr="00A33F3C">
        <w:tc>
          <w:tcPr>
            <w:tcW w:w="2250" w:type="dxa"/>
            <w:tcBorders>
              <w:top w:val="single" w:sz="6" w:space="0" w:color="A6A6A6"/>
              <w:bottom w:val="single" w:sz="6" w:space="0" w:color="A6A6A6"/>
            </w:tcBorders>
            <w:shd w:val="clear" w:color="auto" w:fill="auto"/>
          </w:tcPr>
          <w:p w14:paraId="2BB6A2E4" w14:textId="2FCCB660" w:rsidR="00A33F3C" w:rsidRPr="00607D78" w:rsidRDefault="00A33F3C" w:rsidP="00A33F3C">
            <w:pPr>
              <w:rPr>
                <w:rFonts w:cstheme="minorHAnsi"/>
              </w:rPr>
            </w:pPr>
          </w:p>
        </w:tc>
        <w:tc>
          <w:tcPr>
            <w:tcW w:w="3650" w:type="dxa"/>
            <w:tcBorders>
              <w:top w:val="single" w:sz="6" w:space="0" w:color="A6A6A6"/>
              <w:bottom w:val="single" w:sz="6" w:space="0" w:color="A6A6A6"/>
            </w:tcBorders>
            <w:shd w:val="clear" w:color="auto" w:fill="auto"/>
          </w:tcPr>
          <w:p w14:paraId="1893CFE9" w14:textId="36E5FAA1"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799BD144" w14:textId="217F978F" w:rsidR="00A33F3C" w:rsidRPr="00A33F3C" w:rsidRDefault="00A33F3C" w:rsidP="00A33F3C">
            <w:pPr>
              <w:rPr>
                <w:rFonts w:cstheme="minorHAnsi"/>
                <w:color w:val="808080" w:themeColor="background1" w:themeShade="80"/>
              </w:rPr>
            </w:pPr>
          </w:p>
        </w:tc>
      </w:tr>
      <w:tr w:rsidR="00A33F3C" w:rsidRPr="00607D78" w14:paraId="75382494" w14:textId="77777777" w:rsidTr="00A33F3C">
        <w:tc>
          <w:tcPr>
            <w:tcW w:w="2250" w:type="dxa"/>
            <w:tcBorders>
              <w:top w:val="single" w:sz="6" w:space="0" w:color="A6A6A6"/>
              <w:bottom w:val="single" w:sz="6" w:space="0" w:color="A6A6A6"/>
            </w:tcBorders>
            <w:shd w:val="clear" w:color="auto" w:fill="auto"/>
          </w:tcPr>
          <w:p w14:paraId="48BE299C" w14:textId="57B30DD4" w:rsidR="00A33F3C" w:rsidRPr="00607D78" w:rsidRDefault="00A33F3C" w:rsidP="00A33F3C">
            <w:pPr>
              <w:rPr>
                <w:rFonts w:cstheme="minorHAnsi"/>
              </w:rPr>
            </w:pPr>
          </w:p>
        </w:tc>
        <w:tc>
          <w:tcPr>
            <w:tcW w:w="3650" w:type="dxa"/>
            <w:tcBorders>
              <w:top w:val="single" w:sz="6" w:space="0" w:color="A6A6A6"/>
              <w:bottom w:val="single" w:sz="6" w:space="0" w:color="A6A6A6"/>
            </w:tcBorders>
            <w:shd w:val="clear" w:color="auto" w:fill="auto"/>
          </w:tcPr>
          <w:p w14:paraId="424F30BF" w14:textId="708FCCDC"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730DD884" w14:textId="5B7D4A14" w:rsidR="00A33F3C" w:rsidRPr="00A33F3C" w:rsidRDefault="00A33F3C" w:rsidP="00A33F3C">
            <w:pPr>
              <w:rPr>
                <w:rFonts w:cstheme="minorHAnsi"/>
                <w:color w:val="808080" w:themeColor="background1" w:themeShade="80"/>
              </w:rPr>
            </w:pPr>
          </w:p>
        </w:tc>
      </w:tr>
      <w:tr w:rsidR="00A33F3C" w:rsidRPr="00607D78" w14:paraId="6BA9B409" w14:textId="77777777" w:rsidTr="00A33F3C">
        <w:tc>
          <w:tcPr>
            <w:tcW w:w="2250" w:type="dxa"/>
            <w:tcBorders>
              <w:top w:val="single" w:sz="6" w:space="0" w:color="A6A6A6"/>
              <w:bottom w:val="single" w:sz="6" w:space="0" w:color="A6A6A6"/>
            </w:tcBorders>
            <w:shd w:val="clear" w:color="auto" w:fill="auto"/>
          </w:tcPr>
          <w:p w14:paraId="06FF1C77" w14:textId="6401B915" w:rsidR="00A33F3C" w:rsidRPr="00A33F3C" w:rsidRDefault="00A33F3C" w:rsidP="00A33F3C">
            <w:pPr>
              <w:rPr>
                <w:rFonts w:cstheme="minorHAnsi"/>
                <w:b/>
                <w:bCs/>
              </w:rPr>
            </w:pPr>
          </w:p>
        </w:tc>
        <w:tc>
          <w:tcPr>
            <w:tcW w:w="3650" w:type="dxa"/>
            <w:tcBorders>
              <w:top w:val="single" w:sz="6" w:space="0" w:color="A6A6A6"/>
              <w:bottom w:val="single" w:sz="6" w:space="0" w:color="A6A6A6"/>
            </w:tcBorders>
            <w:shd w:val="clear" w:color="auto" w:fill="auto"/>
          </w:tcPr>
          <w:p w14:paraId="03F3BB87" w14:textId="5C131B0D"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386DE9A8" w14:textId="0B266C3D" w:rsidR="00A33F3C" w:rsidRPr="00A33F3C" w:rsidRDefault="00A33F3C" w:rsidP="00A33F3C">
            <w:pPr>
              <w:rPr>
                <w:rFonts w:cstheme="minorHAnsi"/>
                <w:color w:val="808080" w:themeColor="background1" w:themeShade="80"/>
              </w:rPr>
            </w:pPr>
          </w:p>
        </w:tc>
      </w:tr>
      <w:tr w:rsidR="00A33F3C" w:rsidRPr="00607D78" w14:paraId="6B10A375" w14:textId="77777777" w:rsidTr="00A33F3C">
        <w:tc>
          <w:tcPr>
            <w:tcW w:w="2250" w:type="dxa"/>
            <w:tcBorders>
              <w:top w:val="single" w:sz="6" w:space="0" w:color="A6A6A6"/>
              <w:bottom w:val="single" w:sz="4" w:space="0" w:color="A6A6A6"/>
            </w:tcBorders>
            <w:shd w:val="clear" w:color="auto" w:fill="auto"/>
          </w:tcPr>
          <w:p w14:paraId="2C4C381F" w14:textId="16E1354E" w:rsidR="00A33F3C" w:rsidRPr="00607D78" w:rsidRDefault="00A33F3C" w:rsidP="00A33F3C">
            <w:pPr>
              <w:rPr>
                <w:rFonts w:cstheme="minorHAnsi"/>
              </w:rPr>
            </w:pPr>
          </w:p>
        </w:tc>
        <w:tc>
          <w:tcPr>
            <w:tcW w:w="3650" w:type="dxa"/>
            <w:tcBorders>
              <w:top w:val="single" w:sz="6" w:space="0" w:color="A6A6A6"/>
              <w:bottom w:val="single" w:sz="4" w:space="0" w:color="A6A6A6"/>
            </w:tcBorders>
            <w:shd w:val="clear" w:color="auto" w:fill="auto"/>
          </w:tcPr>
          <w:p w14:paraId="0311D4EF" w14:textId="23BFF9DC"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4" w:space="0" w:color="A6A6A6"/>
            </w:tcBorders>
            <w:shd w:val="clear" w:color="auto" w:fill="auto"/>
          </w:tcPr>
          <w:p w14:paraId="5E2275DE" w14:textId="31264208" w:rsidR="00A33F3C" w:rsidRPr="00A33F3C" w:rsidRDefault="00A33F3C" w:rsidP="00A33F3C">
            <w:pPr>
              <w:rPr>
                <w:rFonts w:cstheme="minorHAnsi"/>
                <w:color w:val="808080" w:themeColor="background1" w:themeShade="80"/>
              </w:rPr>
            </w:pPr>
          </w:p>
        </w:tc>
      </w:tr>
    </w:tbl>
    <w:p w14:paraId="1687364D" w14:textId="77777777" w:rsidR="00A33F3C" w:rsidRPr="00A35960" w:rsidRDefault="00A33F3C" w:rsidP="00A35960"/>
    <w:sectPr w:rsidR="00A33F3C" w:rsidRPr="00A35960" w:rsidSect="00607F4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15B2" w14:textId="77777777" w:rsidR="009C013A" w:rsidRDefault="009C013A" w:rsidP="00B67564">
      <w:pPr>
        <w:spacing w:after="0" w:line="240" w:lineRule="auto"/>
      </w:pPr>
      <w:r>
        <w:separator/>
      </w:r>
    </w:p>
  </w:endnote>
  <w:endnote w:type="continuationSeparator" w:id="0">
    <w:p w14:paraId="6E24B3EF" w14:textId="77777777" w:rsidR="009C013A" w:rsidRDefault="009C013A" w:rsidP="00B6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9831" w14:textId="77777777" w:rsidR="00DB6164" w:rsidRDefault="00DB6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F345" w14:textId="77777777" w:rsidR="002918CE" w:rsidRDefault="002918CE">
    <w:pPr>
      <w:pStyle w:val="Footer"/>
      <w:pBdr>
        <w:bottom w:val="single" w:sz="6" w:space="1" w:color="auto"/>
      </w:pBdr>
      <w:rPr>
        <w:rFonts w:cstheme="minorHAnsi"/>
        <w:szCs w:val="20"/>
      </w:rPr>
    </w:pPr>
  </w:p>
  <w:p w14:paraId="3B37F346" w14:textId="58748650" w:rsidR="002918CE" w:rsidRPr="00B67564" w:rsidRDefault="002918CE">
    <w:pPr>
      <w:pStyle w:val="Footer"/>
      <w:rPr>
        <w:sz w:val="18"/>
        <w:szCs w:val="18"/>
      </w:rPr>
    </w:pPr>
    <w:r>
      <w:rPr>
        <w:rFonts w:cstheme="minorHAnsi"/>
        <w:sz w:val="18"/>
        <w:szCs w:val="18"/>
      </w:rPr>
      <w:t xml:space="preserve">Date: </w:t>
    </w:r>
    <w:r w:rsidR="00736FE3">
      <w:rPr>
        <w:rFonts w:cstheme="minorHAnsi"/>
        <w:sz w:val="18"/>
        <w:szCs w:val="18"/>
      </w:rPr>
      <w:t>03</w:t>
    </w:r>
    <w:r>
      <w:rPr>
        <w:rFonts w:cstheme="minorHAnsi"/>
        <w:sz w:val="18"/>
        <w:szCs w:val="18"/>
      </w:rPr>
      <w:t>/</w:t>
    </w:r>
    <w:r w:rsidR="00736FE3">
      <w:rPr>
        <w:rFonts w:cstheme="minorHAnsi"/>
        <w:sz w:val="18"/>
        <w:szCs w:val="18"/>
      </w:rPr>
      <w:t>2</w:t>
    </w:r>
    <w:r w:rsidR="00DB6164">
      <w:rPr>
        <w:rFonts w:cstheme="minorHAnsi"/>
        <w:sz w:val="18"/>
        <w:szCs w:val="18"/>
      </w:rPr>
      <w:t>8</w:t>
    </w:r>
    <w:r w:rsidRPr="00B67564">
      <w:rPr>
        <w:rFonts w:cstheme="minorHAnsi"/>
        <w:sz w:val="18"/>
        <w:szCs w:val="18"/>
      </w:rPr>
      <w:t>/20</w:t>
    </w:r>
    <w:r w:rsidR="00736FE3">
      <w:rPr>
        <w:rFonts w:cstheme="minorHAnsi"/>
        <w:sz w:val="18"/>
        <w:szCs w:val="18"/>
      </w:rPr>
      <w:t>2</w:t>
    </w:r>
    <w:r w:rsidR="00340271">
      <w:rPr>
        <w:rFonts w:cstheme="minorHAnsi"/>
        <w:sz w:val="18"/>
        <w:szCs w:val="18"/>
      </w:rPr>
      <w:t>2</w:t>
    </w:r>
    <w:r w:rsidRPr="00B67564">
      <w:rPr>
        <w:sz w:val="18"/>
        <w:szCs w:val="18"/>
      </w:rPr>
      <w:ptab w:relativeTo="margin" w:alignment="center" w:leader="none"/>
    </w:r>
    <w:r w:rsidR="00226BAE">
      <w:rPr>
        <w:rFonts w:cstheme="minorHAnsi"/>
        <w:sz w:val="18"/>
        <w:szCs w:val="18"/>
      </w:rPr>
      <w:t>Version: D0.</w:t>
    </w:r>
    <w:r w:rsidR="004433D2">
      <w:rPr>
        <w:rFonts w:cstheme="minorHAnsi"/>
        <w:sz w:val="18"/>
        <w:szCs w:val="18"/>
      </w:rPr>
      <w:t>2</w:t>
    </w:r>
    <w:r w:rsidRPr="00B67564">
      <w:rPr>
        <w:sz w:val="18"/>
        <w:szCs w:val="18"/>
      </w:rPr>
      <w:ptab w:relativeTo="margin" w:alignment="right" w:leader="none"/>
    </w:r>
    <w:r w:rsidRPr="00B67564">
      <w:rPr>
        <w:rFonts w:cstheme="minorHAnsi"/>
        <w:sz w:val="18"/>
        <w:szCs w:val="18"/>
      </w:rPr>
      <w:t xml:space="preserve"> Page </w:t>
    </w:r>
    <w:r w:rsidRPr="00B67564">
      <w:rPr>
        <w:rFonts w:cstheme="minorHAnsi"/>
        <w:b/>
        <w:sz w:val="18"/>
        <w:szCs w:val="18"/>
      </w:rPr>
      <w:fldChar w:fldCharType="begin"/>
    </w:r>
    <w:r w:rsidRPr="00B67564">
      <w:rPr>
        <w:rFonts w:cstheme="minorHAnsi"/>
        <w:b/>
        <w:sz w:val="18"/>
        <w:szCs w:val="18"/>
      </w:rPr>
      <w:instrText xml:space="preserve"> PAGE </w:instrText>
    </w:r>
    <w:r w:rsidRPr="00B67564">
      <w:rPr>
        <w:rFonts w:cstheme="minorHAnsi"/>
        <w:b/>
        <w:sz w:val="18"/>
        <w:szCs w:val="18"/>
      </w:rPr>
      <w:fldChar w:fldCharType="separate"/>
    </w:r>
    <w:r w:rsidR="00747FFE">
      <w:rPr>
        <w:rFonts w:cstheme="minorHAnsi"/>
        <w:b/>
        <w:noProof/>
        <w:sz w:val="18"/>
        <w:szCs w:val="18"/>
      </w:rPr>
      <w:t>10</w:t>
    </w:r>
    <w:r w:rsidRPr="00B67564">
      <w:rPr>
        <w:rFonts w:cstheme="minorHAnsi"/>
        <w:b/>
        <w:sz w:val="18"/>
        <w:szCs w:val="18"/>
      </w:rPr>
      <w:fldChar w:fldCharType="end"/>
    </w:r>
    <w:r w:rsidRPr="00B67564">
      <w:rPr>
        <w:rFonts w:cstheme="minorHAnsi"/>
        <w:sz w:val="18"/>
        <w:szCs w:val="18"/>
      </w:rPr>
      <w:t xml:space="preserve"> of </w:t>
    </w:r>
    <w:r w:rsidRPr="00B67564">
      <w:rPr>
        <w:rFonts w:cstheme="minorHAnsi"/>
        <w:b/>
        <w:sz w:val="18"/>
        <w:szCs w:val="18"/>
      </w:rPr>
      <w:fldChar w:fldCharType="begin"/>
    </w:r>
    <w:r w:rsidRPr="00B67564">
      <w:rPr>
        <w:rFonts w:cstheme="minorHAnsi"/>
        <w:b/>
        <w:sz w:val="18"/>
        <w:szCs w:val="18"/>
      </w:rPr>
      <w:instrText xml:space="preserve"> NUMPAGES  </w:instrText>
    </w:r>
    <w:r w:rsidRPr="00B67564">
      <w:rPr>
        <w:rFonts w:cstheme="minorHAnsi"/>
        <w:b/>
        <w:sz w:val="18"/>
        <w:szCs w:val="18"/>
      </w:rPr>
      <w:fldChar w:fldCharType="separate"/>
    </w:r>
    <w:r w:rsidR="00747FFE">
      <w:rPr>
        <w:rFonts w:cstheme="minorHAnsi"/>
        <w:b/>
        <w:noProof/>
        <w:sz w:val="18"/>
        <w:szCs w:val="18"/>
      </w:rPr>
      <w:t>10</w:t>
    </w:r>
    <w:r w:rsidRPr="00B67564">
      <w:rPr>
        <w:rFonts w:cstheme="minorHAnsi"/>
        <w:b/>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597B" w14:textId="77777777" w:rsidR="00DB6164" w:rsidRDefault="00DB6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C0A3" w14:textId="77777777" w:rsidR="009C013A" w:rsidRDefault="009C013A" w:rsidP="00B67564">
      <w:pPr>
        <w:spacing w:after="0" w:line="240" w:lineRule="auto"/>
      </w:pPr>
      <w:r>
        <w:separator/>
      </w:r>
    </w:p>
  </w:footnote>
  <w:footnote w:type="continuationSeparator" w:id="0">
    <w:p w14:paraId="3A0EECFE" w14:textId="77777777" w:rsidR="009C013A" w:rsidRDefault="009C013A" w:rsidP="00B6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E6C3" w14:textId="77777777" w:rsidR="00DB6164" w:rsidRDefault="00DB6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F342" w14:textId="59504049" w:rsidR="002918CE" w:rsidRDefault="002918CE">
    <w:pPr>
      <w:pStyle w:val="Header"/>
      <w:pBdr>
        <w:bottom w:val="single" w:sz="6" w:space="1" w:color="auto"/>
      </w:pBdr>
    </w:pPr>
    <w:r>
      <w:t xml:space="preserve"> </w:t>
    </w:r>
    <w:r w:rsidR="00AD1D24">
      <w:t>Treasury Confirmation Process Document</w:t>
    </w:r>
  </w:p>
  <w:p w14:paraId="3B37F343" w14:textId="77777777" w:rsidR="002918CE" w:rsidRDefault="002918CE">
    <w:pPr>
      <w:pStyle w:val="Header"/>
    </w:pPr>
  </w:p>
  <w:p w14:paraId="3B37F344" w14:textId="77777777" w:rsidR="002918CE" w:rsidRDefault="002918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173D" w14:textId="77777777" w:rsidR="00DB6164" w:rsidRDefault="00DB6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0CFB"/>
    <w:multiLevelType w:val="multilevel"/>
    <w:tmpl w:val="5A54E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4A0655"/>
    <w:multiLevelType w:val="multilevel"/>
    <w:tmpl w:val="7146FD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443DA7"/>
    <w:multiLevelType w:val="multilevel"/>
    <w:tmpl w:val="F424C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82E67"/>
    <w:multiLevelType w:val="multilevel"/>
    <w:tmpl w:val="E01626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011FDA"/>
    <w:multiLevelType w:val="multilevel"/>
    <w:tmpl w:val="7146FD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C115153"/>
    <w:multiLevelType w:val="multilevel"/>
    <w:tmpl w:val="3DB82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52AED"/>
    <w:multiLevelType w:val="multilevel"/>
    <w:tmpl w:val="AA7CC632"/>
    <w:lvl w:ilvl="0">
      <w:start w:val="1"/>
      <w:numFmt w:val="decimal"/>
      <w:lvlText w:val="%1.0"/>
      <w:lvlJc w:val="left"/>
      <w:pPr>
        <w:ind w:left="720" w:hanging="720"/>
      </w:pPr>
      <w:rPr>
        <w:rFonts w:hint="default"/>
        <w:color w:val="8EAADB" w:themeColor="accent5" w:themeTint="99"/>
        <w:sz w:val="28"/>
        <w:szCs w:val="28"/>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423308F"/>
    <w:multiLevelType w:val="multilevel"/>
    <w:tmpl w:val="564CF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5"/>
  </w:num>
  <w:num w:numId="5">
    <w:abstractNumId w:val="0"/>
  </w:num>
  <w:num w:numId="6">
    <w:abstractNumId w:val="3"/>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B6"/>
    <w:rsid w:val="000040A8"/>
    <w:rsid w:val="00016702"/>
    <w:rsid w:val="00020722"/>
    <w:rsid w:val="0002073A"/>
    <w:rsid w:val="00023E8D"/>
    <w:rsid w:val="00024B4B"/>
    <w:rsid w:val="00024D7C"/>
    <w:rsid w:val="0002593D"/>
    <w:rsid w:val="00052E7A"/>
    <w:rsid w:val="0005632A"/>
    <w:rsid w:val="00060DA7"/>
    <w:rsid w:val="000663B4"/>
    <w:rsid w:val="000673B0"/>
    <w:rsid w:val="00070C4B"/>
    <w:rsid w:val="00070F4F"/>
    <w:rsid w:val="000727C7"/>
    <w:rsid w:val="000741E1"/>
    <w:rsid w:val="00074E7B"/>
    <w:rsid w:val="00076B01"/>
    <w:rsid w:val="00083BC5"/>
    <w:rsid w:val="00087D6F"/>
    <w:rsid w:val="00087D72"/>
    <w:rsid w:val="000A67F2"/>
    <w:rsid w:val="000B4B83"/>
    <w:rsid w:val="000B5940"/>
    <w:rsid w:val="000C4D42"/>
    <w:rsid w:val="000D2D91"/>
    <w:rsid w:val="000D63DF"/>
    <w:rsid w:val="000D6C99"/>
    <w:rsid w:val="000D792C"/>
    <w:rsid w:val="000F338A"/>
    <w:rsid w:val="001113FC"/>
    <w:rsid w:val="00113897"/>
    <w:rsid w:val="0011542E"/>
    <w:rsid w:val="001176A5"/>
    <w:rsid w:val="00122437"/>
    <w:rsid w:val="00135773"/>
    <w:rsid w:val="00135FD0"/>
    <w:rsid w:val="0014263E"/>
    <w:rsid w:val="00150EB6"/>
    <w:rsid w:val="001604EA"/>
    <w:rsid w:val="00190A91"/>
    <w:rsid w:val="001A24AB"/>
    <w:rsid w:val="001A5D0E"/>
    <w:rsid w:val="001B48E3"/>
    <w:rsid w:val="001B4D80"/>
    <w:rsid w:val="001C058F"/>
    <w:rsid w:val="001E0B85"/>
    <w:rsid w:val="001E4304"/>
    <w:rsid w:val="001F4C36"/>
    <w:rsid w:val="00201253"/>
    <w:rsid w:val="002157EC"/>
    <w:rsid w:val="0021637E"/>
    <w:rsid w:val="0021686A"/>
    <w:rsid w:val="002228C3"/>
    <w:rsid w:val="00226BAE"/>
    <w:rsid w:val="00231587"/>
    <w:rsid w:val="00236E35"/>
    <w:rsid w:val="00243F44"/>
    <w:rsid w:val="002572FE"/>
    <w:rsid w:val="00257B9B"/>
    <w:rsid w:val="00260E78"/>
    <w:rsid w:val="00265F59"/>
    <w:rsid w:val="002918CE"/>
    <w:rsid w:val="002940D9"/>
    <w:rsid w:val="00295972"/>
    <w:rsid w:val="00296C59"/>
    <w:rsid w:val="002972ED"/>
    <w:rsid w:val="002B04E1"/>
    <w:rsid w:val="002C0E5C"/>
    <w:rsid w:val="002F2613"/>
    <w:rsid w:val="003071A3"/>
    <w:rsid w:val="00307A7A"/>
    <w:rsid w:val="00310911"/>
    <w:rsid w:val="0032143A"/>
    <w:rsid w:val="00322ACA"/>
    <w:rsid w:val="00324B38"/>
    <w:rsid w:val="00336694"/>
    <w:rsid w:val="00336994"/>
    <w:rsid w:val="00337855"/>
    <w:rsid w:val="00340271"/>
    <w:rsid w:val="00340998"/>
    <w:rsid w:val="0034553A"/>
    <w:rsid w:val="00347163"/>
    <w:rsid w:val="0035211A"/>
    <w:rsid w:val="003623C3"/>
    <w:rsid w:val="003677D4"/>
    <w:rsid w:val="0038137A"/>
    <w:rsid w:val="00384C48"/>
    <w:rsid w:val="00384DA3"/>
    <w:rsid w:val="0039731F"/>
    <w:rsid w:val="003A57B1"/>
    <w:rsid w:val="003B3426"/>
    <w:rsid w:val="003C2F0C"/>
    <w:rsid w:val="003D1AF7"/>
    <w:rsid w:val="003E058F"/>
    <w:rsid w:val="003E4081"/>
    <w:rsid w:val="003E5273"/>
    <w:rsid w:val="00400335"/>
    <w:rsid w:val="00410894"/>
    <w:rsid w:val="00411F27"/>
    <w:rsid w:val="00415D7B"/>
    <w:rsid w:val="00416E94"/>
    <w:rsid w:val="00420E3C"/>
    <w:rsid w:val="00425D4E"/>
    <w:rsid w:val="004433D2"/>
    <w:rsid w:val="004434C4"/>
    <w:rsid w:val="00453FC0"/>
    <w:rsid w:val="004551B8"/>
    <w:rsid w:val="00460909"/>
    <w:rsid w:val="00475A92"/>
    <w:rsid w:val="004B21C0"/>
    <w:rsid w:val="004E6BD6"/>
    <w:rsid w:val="004F0E74"/>
    <w:rsid w:val="00511874"/>
    <w:rsid w:val="005212C0"/>
    <w:rsid w:val="00523A92"/>
    <w:rsid w:val="0052415B"/>
    <w:rsid w:val="00531042"/>
    <w:rsid w:val="00534D38"/>
    <w:rsid w:val="00571E25"/>
    <w:rsid w:val="00584688"/>
    <w:rsid w:val="005912C3"/>
    <w:rsid w:val="00595214"/>
    <w:rsid w:val="0059751D"/>
    <w:rsid w:val="005A1EBC"/>
    <w:rsid w:val="005B38F7"/>
    <w:rsid w:val="005D4C85"/>
    <w:rsid w:val="005D5654"/>
    <w:rsid w:val="005E3DFD"/>
    <w:rsid w:val="005F6C68"/>
    <w:rsid w:val="0060010C"/>
    <w:rsid w:val="0060249B"/>
    <w:rsid w:val="00607D78"/>
    <w:rsid w:val="00607F41"/>
    <w:rsid w:val="00615156"/>
    <w:rsid w:val="00640988"/>
    <w:rsid w:val="00647E6F"/>
    <w:rsid w:val="00653124"/>
    <w:rsid w:val="00674D3A"/>
    <w:rsid w:val="006844B8"/>
    <w:rsid w:val="00684E12"/>
    <w:rsid w:val="00694750"/>
    <w:rsid w:val="006959F5"/>
    <w:rsid w:val="006A0A43"/>
    <w:rsid w:val="006A70CA"/>
    <w:rsid w:val="006B7715"/>
    <w:rsid w:val="006C4B21"/>
    <w:rsid w:val="006F02DB"/>
    <w:rsid w:val="006F27E9"/>
    <w:rsid w:val="006F32D4"/>
    <w:rsid w:val="006F679A"/>
    <w:rsid w:val="006F69D1"/>
    <w:rsid w:val="00700BE7"/>
    <w:rsid w:val="00706D4A"/>
    <w:rsid w:val="00714A15"/>
    <w:rsid w:val="00717DB1"/>
    <w:rsid w:val="00723F62"/>
    <w:rsid w:val="00736FE3"/>
    <w:rsid w:val="0074180B"/>
    <w:rsid w:val="00745826"/>
    <w:rsid w:val="00747A3C"/>
    <w:rsid w:val="00747FFE"/>
    <w:rsid w:val="007644D8"/>
    <w:rsid w:val="00764DF0"/>
    <w:rsid w:val="00764E95"/>
    <w:rsid w:val="00770794"/>
    <w:rsid w:val="007750E6"/>
    <w:rsid w:val="00780814"/>
    <w:rsid w:val="007841F7"/>
    <w:rsid w:val="00787FBE"/>
    <w:rsid w:val="007945D7"/>
    <w:rsid w:val="00794B03"/>
    <w:rsid w:val="007A1507"/>
    <w:rsid w:val="007B5660"/>
    <w:rsid w:val="007B7FFA"/>
    <w:rsid w:val="007C3385"/>
    <w:rsid w:val="007C407B"/>
    <w:rsid w:val="007E1D28"/>
    <w:rsid w:val="007E6405"/>
    <w:rsid w:val="007F79DB"/>
    <w:rsid w:val="008055E2"/>
    <w:rsid w:val="00806C78"/>
    <w:rsid w:val="00812662"/>
    <w:rsid w:val="00816DDE"/>
    <w:rsid w:val="008206A2"/>
    <w:rsid w:val="00824864"/>
    <w:rsid w:val="00826990"/>
    <w:rsid w:val="008301AA"/>
    <w:rsid w:val="008308CE"/>
    <w:rsid w:val="008473F5"/>
    <w:rsid w:val="00852E1A"/>
    <w:rsid w:val="0085518D"/>
    <w:rsid w:val="00860AD2"/>
    <w:rsid w:val="00864BDB"/>
    <w:rsid w:val="00870728"/>
    <w:rsid w:val="0087322E"/>
    <w:rsid w:val="008831E1"/>
    <w:rsid w:val="00884846"/>
    <w:rsid w:val="00896335"/>
    <w:rsid w:val="008A255F"/>
    <w:rsid w:val="008B0CC1"/>
    <w:rsid w:val="008C0E50"/>
    <w:rsid w:val="008D5BB9"/>
    <w:rsid w:val="008E0C8E"/>
    <w:rsid w:val="008E32A6"/>
    <w:rsid w:val="009065AD"/>
    <w:rsid w:val="0091104D"/>
    <w:rsid w:val="00925127"/>
    <w:rsid w:val="009363C3"/>
    <w:rsid w:val="00937A4F"/>
    <w:rsid w:val="0095398D"/>
    <w:rsid w:val="00985F6D"/>
    <w:rsid w:val="009A6CD5"/>
    <w:rsid w:val="009B53CF"/>
    <w:rsid w:val="009C013A"/>
    <w:rsid w:val="009C2437"/>
    <w:rsid w:val="009C269E"/>
    <w:rsid w:val="009E1E6F"/>
    <w:rsid w:val="009E3934"/>
    <w:rsid w:val="00A25516"/>
    <w:rsid w:val="00A33F3C"/>
    <w:rsid w:val="00A35960"/>
    <w:rsid w:val="00A54892"/>
    <w:rsid w:val="00A65073"/>
    <w:rsid w:val="00A66801"/>
    <w:rsid w:val="00A81168"/>
    <w:rsid w:val="00A814DA"/>
    <w:rsid w:val="00A86B50"/>
    <w:rsid w:val="00AB3D8F"/>
    <w:rsid w:val="00AB7777"/>
    <w:rsid w:val="00AC0CFE"/>
    <w:rsid w:val="00AC168E"/>
    <w:rsid w:val="00AC1CFC"/>
    <w:rsid w:val="00AD1D24"/>
    <w:rsid w:val="00AF713C"/>
    <w:rsid w:val="00B0098D"/>
    <w:rsid w:val="00B065FC"/>
    <w:rsid w:val="00B17976"/>
    <w:rsid w:val="00B2478C"/>
    <w:rsid w:val="00B30BE8"/>
    <w:rsid w:val="00B37B07"/>
    <w:rsid w:val="00B6181F"/>
    <w:rsid w:val="00B6292F"/>
    <w:rsid w:val="00B67564"/>
    <w:rsid w:val="00B814C6"/>
    <w:rsid w:val="00B81ABF"/>
    <w:rsid w:val="00B83A41"/>
    <w:rsid w:val="00B91698"/>
    <w:rsid w:val="00BA172D"/>
    <w:rsid w:val="00BA25A6"/>
    <w:rsid w:val="00BA2AE6"/>
    <w:rsid w:val="00BB1DA6"/>
    <w:rsid w:val="00BC17D2"/>
    <w:rsid w:val="00BC25D6"/>
    <w:rsid w:val="00BC2906"/>
    <w:rsid w:val="00BD2A24"/>
    <w:rsid w:val="00BD2A79"/>
    <w:rsid w:val="00BD4C17"/>
    <w:rsid w:val="00BD4E86"/>
    <w:rsid w:val="00BD62DA"/>
    <w:rsid w:val="00BD6A59"/>
    <w:rsid w:val="00BE0B38"/>
    <w:rsid w:val="00BE219F"/>
    <w:rsid w:val="00C21AA3"/>
    <w:rsid w:val="00C33F5E"/>
    <w:rsid w:val="00C365EE"/>
    <w:rsid w:val="00C61173"/>
    <w:rsid w:val="00C651B0"/>
    <w:rsid w:val="00C8686B"/>
    <w:rsid w:val="00C91B11"/>
    <w:rsid w:val="00CA6BF1"/>
    <w:rsid w:val="00CB26E1"/>
    <w:rsid w:val="00CB3919"/>
    <w:rsid w:val="00CB53EA"/>
    <w:rsid w:val="00CD4F43"/>
    <w:rsid w:val="00CF06A2"/>
    <w:rsid w:val="00CF79DE"/>
    <w:rsid w:val="00D039C2"/>
    <w:rsid w:val="00D039DE"/>
    <w:rsid w:val="00D044DE"/>
    <w:rsid w:val="00D1226A"/>
    <w:rsid w:val="00D12655"/>
    <w:rsid w:val="00D178D5"/>
    <w:rsid w:val="00D22B17"/>
    <w:rsid w:val="00D27EAB"/>
    <w:rsid w:val="00D30135"/>
    <w:rsid w:val="00D32D6A"/>
    <w:rsid w:val="00D345CF"/>
    <w:rsid w:val="00D35491"/>
    <w:rsid w:val="00D47428"/>
    <w:rsid w:val="00D62EC6"/>
    <w:rsid w:val="00D73BA9"/>
    <w:rsid w:val="00D769C3"/>
    <w:rsid w:val="00D975E2"/>
    <w:rsid w:val="00DA3DC4"/>
    <w:rsid w:val="00DB203D"/>
    <w:rsid w:val="00DB572D"/>
    <w:rsid w:val="00DB6164"/>
    <w:rsid w:val="00DC2A03"/>
    <w:rsid w:val="00DC2B30"/>
    <w:rsid w:val="00DD4F98"/>
    <w:rsid w:val="00DD6BE4"/>
    <w:rsid w:val="00DE0ADC"/>
    <w:rsid w:val="00DE6619"/>
    <w:rsid w:val="00E04203"/>
    <w:rsid w:val="00E079BF"/>
    <w:rsid w:val="00E117F9"/>
    <w:rsid w:val="00E27DB7"/>
    <w:rsid w:val="00E32B6E"/>
    <w:rsid w:val="00E33183"/>
    <w:rsid w:val="00E447A8"/>
    <w:rsid w:val="00E462F4"/>
    <w:rsid w:val="00E5131F"/>
    <w:rsid w:val="00E55BFC"/>
    <w:rsid w:val="00E60580"/>
    <w:rsid w:val="00E67258"/>
    <w:rsid w:val="00E72C0E"/>
    <w:rsid w:val="00E778B2"/>
    <w:rsid w:val="00E8311B"/>
    <w:rsid w:val="00E95D1D"/>
    <w:rsid w:val="00EB46C8"/>
    <w:rsid w:val="00ED3119"/>
    <w:rsid w:val="00EE2284"/>
    <w:rsid w:val="00EE556D"/>
    <w:rsid w:val="00EE6723"/>
    <w:rsid w:val="00EE6E3F"/>
    <w:rsid w:val="00EF23B7"/>
    <w:rsid w:val="00F03CBE"/>
    <w:rsid w:val="00F0444E"/>
    <w:rsid w:val="00F0767C"/>
    <w:rsid w:val="00F118F4"/>
    <w:rsid w:val="00F242A1"/>
    <w:rsid w:val="00F4239A"/>
    <w:rsid w:val="00F4601D"/>
    <w:rsid w:val="00F5261F"/>
    <w:rsid w:val="00F71233"/>
    <w:rsid w:val="00F90210"/>
    <w:rsid w:val="00F91F74"/>
    <w:rsid w:val="00FA032C"/>
    <w:rsid w:val="00FA3E74"/>
    <w:rsid w:val="00FB1EEF"/>
    <w:rsid w:val="00FB7AD3"/>
    <w:rsid w:val="00FE10D7"/>
    <w:rsid w:val="00FE3062"/>
    <w:rsid w:val="00FF4E4A"/>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7F1CF"/>
  <w15:docId w15:val="{58C337F4-ECC3-405C-8EB6-B1200A2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2E"/>
  </w:style>
  <w:style w:type="paragraph" w:styleId="Heading1">
    <w:name w:val="heading 1"/>
    <w:aliases w:val="H1,Section"/>
    <w:basedOn w:val="Normal"/>
    <w:next w:val="Normal"/>
    <w:link w:val="Heading1Char"/>
    <w:qFormat/>
    <w:rsid w:val="00381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ello,style2,H2,style 2,2,Sub-heading,sl2,Headinnormalg 2,h2,Section 1.1,1.1 Heading 2,SubPara,Chapter,1.Seite,subheading,Subheading,Module Subheading,A,A.B.C.,Header 2,l2,Prophead 2,Lettered Heading 1,Sub Heading,Section 2.1,Chapter Title,he"/>
    <w:basedOn w:val="Normal"/>
    <w:next w:val="Normal"/>
    <w:link w:val="Heading2Char"/>
    <w:unhideWhenUsed/>
    <w:qFormat/>
    <w:rsid w:val="0038137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
    <w:basedOn w:val="Normal"/>
    <w:next w:val="Normal"/>
    <w:link w:val="Heading3Char"/>
    <w:unhideWhenUsed/>
    <w:qFormat/>
    <w:rsid w:val="00674D3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aliases w:val="h4,H4,Heading3.5,4"/>
    <w:basedOn w:val="Normal"/>
    <w:next w:val="Normal"/>
    <w:link w:val="Heading4Char"/>
    <w:unhideWhenUsed/>
    <w:qFormat/>
    <w:rsid w:val="00CB53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53E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D4"/>
    <w:rPr>
      <w:color w:val="0563C1" w:themeColor="hyperlink"/>
      <w:u w:val="single"/>
    </w:rPr>
  </w:style>
  <w:style w:type="character" w:styleId="FollowedHyperlink">
    <w:name w:val="FollowedHyperlink"/>
    <w:basedOn w:val="DefaultParagraphFont"/>
    <w:uiPriority w:val="99"/>
    <w:semiHidden/>
    <w:unhideWhenUsed/>
    <w:rsid w:val="0005632A"/>
    <w:rPr>
      <w:color w:val="954F72" w:themeColor="followedHyperlink"/>
      <w:u w:val="single"/>
    </w:rPr>
  </w:style>
  <w:style w:type="paragraph" w:styleId="ListParagraph">
    <w:name w:val="List Paragraph"/>
    <w:basedOn w:val="Normal"/>
    <w:link w:val="ListParagraphChar"/>
    <w:uiPriority w:val="34"/>
    <w:qFormat/>
    <w:rsid w:val="00BC25D6"/>
    <w:pPr>
      <w:spacing w:after="0" w:line="240" w:lineRule="auto"/>
      <w:ind w:left="720"/>
      <w:contextualSpacing/>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B6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64"/>
    <w:rPr>
      <w:rFonts w:ascii="Tahoma" w:hAnsi="Tahoma" w:cs="Tahoma"/>
      <w:sz w:val="16"/>
      <w:szCs w:val="16"/>
    </w:rPr>
  </w:style>
  <w:style w:type="paragraph" w:styleId="NoSpacing">
    <w:name w:val="No Spacing"/>
    <w:link w:val="NoSpacingChar"/>
    <w:uiPriority w:val="1"/>
    <w:qFormat/>
    <w:rsid w:val="00B67564"/>
    <w:pPr>
      <w:spacing w:after="0" w:line="240" w:lineRule="auto"/>
    </w:pPr>
    <w:rPr>
      <w:rFonts w:eastAsiaTheme="minorEastAsia"/>
    </w:rPr>
  </w:style>
  <w:style w:type="character" w:customStyle="1" w:styleId="NoSpacingChar">
    <w:name w:val="No Spacing Char"/>
    <w:basedOn w:val="DefaultParagraphFont"/>
    <w:link w:val="NoSpacing"/>
    <w:uiPriority w:val="1"/>
    <w:rsid w:val="00B67564"/>
    <w:rPr>
      <w:rFonts w:eastAsiaTheme="minorEastAsia"/>
    </w:rPr>
  </w:style>
  <w:style w:type="paragraph" w:styleId="Header">
    <w:name w:val="header"/>
    <w:basedOn w:val="Normal"/>
    <w:link w:val="HeaderChar"/>
    <w:uiPriority w:val="99"/>
    <w:unhideWhenUsed/>
    <w:rsid w:val="00B6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564"/>
  </w:style>
  <w:style w:type="paragraph" w:styleId="Footer">
    <w:name w:val="footer"/>
    <w:basedOn w:val="Normal"/>
    <w:link w:val="FooterChar"/>
    <w:uiPriority w:val="99"/>
    <w:unhideWhenUsed/>
    <w:rsid w:val="00B6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564"/>
  </w:style>
  <w:style w:type="character" w:customStyle="1" w:styleId="Heading1Char">
    <w:name w:val="Heading 1 Char"/>
    <w:aliases w:val="H1 Char,Section Char"/>
    <w:basedOn w:val="DefaultParagraphFont"/>
    <w:link w:val="Heading1"/>
    <w:uiPriority w:val="9"/>
    <w:rsid w:val="0038137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8137A"/>
    <w:pPr>
      <w:spacing w:line="276" w:lineRule="auto"/>
      <w:outlineLvl w:val="9"/>
    </w:pPr>
  </w:style>
  <w:style w:type="paragraph" w:styleId="TOC2">
    <w:name w:val="toc 2"/>
    <w:basedOn w:val="Normal"/>
    <w:next w:val="Normal"/>
    <w:autoRedefine/>
    <w:uiPriority w:val="39"/>
    <w:unhideWhenUsed/>
    <w:qFormat/>
    <w:rsid w:val="00337855"/>
    <w:pPr>
      <w:spacing w:after="100" w:line="276" w:lineRule="auto"/>
      <w:ind w:left="220"/>
    </w:pPr>
    <w:rPr>
      <w:rFonts w:ascii="Cambria" w:eastAsiaTheme="minorEastAsia" w:hAnsi="Cambria"/>
      <w:sz w:val="20"/>
    </w:rPr>
  </w:style>
  <w:style w:type="paragraph" w:styleId="TOC1">
    <w:name w:val="toc 1"/>
    <w:basedOn w:val="Normal"/>
    <w:next w:val="Normal"/>
    <w:autoRedefine/>
    <w:uiPriority w:val="39"/>
    <w:unhideWhenUsed/>
    <w:qFormat/>
    <w:rsid w:val="00337855"/>
    <w:pPr>
      <w:spacing w:after="100" w:line="276" w:lineRule="auto"/>
    </w:pPr>
    <w:rPr>
      <w:rFonts w:ascii="Cambria" w:eastAsiaTheme="minorEastAsia" w:hAnsi="Cambria"/>
    </w:rPr>
  </w:style>
  <w:style w:type="paragraph" w:styleId="TOC3">
    <w:name w:val="toc 3"/>
    <w:basedOn w:val="Normal"/>
    <w:next w:val="Normal"/>
    <w:autoRedefine/>
    <w:uiPriority w:val="39"/>
    <w:unhideWhenUsed/>
    <w:qFormat/>
    <w:rsid w:val="00337855"/>
    <w:pPr>
      <w:spacing w:after="100" w:line="276" w:lineRule="auto"/>
      <w:ind w:left="440"/>
    </w:pPr>
    <w:rPr>
      <w:rFonts w:ascii="Cambria" w:eastAsiaTheme="minorEastAsia" w:hAnsi="Cambria"/>
      <w:sz w:val="18"/>
    </w:rPr>
  </w:style>
  <w:style w:type="character" w:customStyle="1" w:styleId="Heading2Char">
    <w:name w:val="Heading 2 Char"/>
    <w:aliases w:val="hello Char,style2 Char,H2 Char,style 2 Char,2 Char,Sub-heading Char,sl2 Char,Headinnormalg 2 Char,h2 Char,Section 1.1 Char,1.1 Heading 2 Char,SubPara Char,Chapter Char,1.Seite Char,subheading Char,Subheading Char,Module Subheading Char"/>
    <w:basedOn w:val="DefaultParagraphFont"/>
    <w:link w:val="Heading2"/>
    <w:uiPriority w:val="9"/>
    <w:rsid w:val="0038137A"/>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
    <w:basedOn w:val="DefaultParagraphFont"/>
    <w:link w:val="Heading3"/>
    <w:uiPriority w:val="9"/>
    <w:rsid w:val="00674D3A"/>
    <w:rPr>
      <w:rFonts w:asciiTheme="majorHAnsi" w:eastAsiaTheme="majorEastAsia" w:hAnsiTheme="majorHAnsi" w:cstheme="majorBidi"/>
      <w:b/>
      <w:bCs/>
      <w:color w:val="5B9BD5" w:themeColor="accent1"/>
    </w:rPr>
  </w:style>
  <w:style w:type="paragraph" w:customStyle="1" w:styleId="DocRevisedDate">
    <w:name w:val="Doc_Revised_Date"/>
    <w:basedOn w:val="Normal"/>
    <w:rsid w:val="00CB53EA"/>
    <w:pPr>
      <w:spacing w:before="20" w:after="20" w:line="240" w:lineRule="auto"/>
    </w:pPr>
    <w:rPr>
      <w:rFonts w:ascii="Arial" w:eastAsia="Times New Roman" w:hAnsi="Arial" w:cs="Arial"/>
      <w:i/>
      <w:iCs/>
      <w:color w:val="0000FF"/>
      <w:sz w:val="20"/>
      <w:szCs w:val="20"/>
    </w:rPr>
  </w:style>
  <w:style w:type="paragraph" w:customStyle="1" w:styleId="DocumentVersionNumber">
    <w:name w:val="Document_Version_Number"/>
    <w:basedOn w:val="Normal"/>
    <w:rsid w:val="00CB53EA"/>
    <w:pPr>
      <w:spacing w:before="20" w:after="20" w:line="240" w:lineRule="auto"/>
    </w:pPr>
    <w:rPr>
      <w:rFonts w:ascii="Arial" w:eastAsia="Times New Roman" w:hAnsi="Arial" w:cs="Arial"/>
      <w:i/>
      <w:iCs/>
      <w:color w:val="0000FF"/>
      <w:sz w:val="20"/>
      <w:szCs w:val="20"/>
    </w:rPr>
  </w:style>
  <w:style w:type="paragraph" w:styleId="Caption">
    <w:name w:val="caption"/>
    <w:basedOn w:val="Normal"/>
    <w:next w:val="Normal"/>
    <w:qFormat/>
    <w:rsid w:val="00CB53EA"/>
    <w:pPr>
      <w:spacing w:before="240" w:after="120" w:line="240" w:lineRule="auto"/>
      <w:jc w:val="center"/>
    </w:pPr>
    <w:rPr>
      <w:rFonts w:ascii="Arial" w:eastAsia="Times New Roman" w:hAnsi="Arial" w:cs="Arial"/>
      <w:b/>
      <w:bCs/>
      <w:sz w:val="28"/>
      <w:szCs w:val="20"/>
    </w:rPr>
  </w:style>
  <w:style w:type="character" w:customStyle="1" w:styleId="Heading4Char">
    <w:name w:val="Heading 4 Char"/>
    <w:aliases w:val="h4 Char,H4 Char,Heading3.5 Char,4 Char"/>
    <w:basedOn w:val="DefaultParagraphFont"/>
    <w:link w:val="Heading4"/>
    <w:uiPriority w:val="9"/>
    <w:semiHidden/>
    <w:rsid w:val="00CB53EA"/>
    <w:rPr>
      <w:rFonts w:asciiTheme="majorHAnsi" w:eastAsiaTheme="majorEastAsia" w:hAnsiTheme="majorHAnsi" w:cstheme="majorBidi"/>
      <w:b/>
      <w:bCs/>
      <w:i/>
      <w:iCs/>
      <w:color w:val="5B9BD5" w:themeColor="accent1"/>
    </w:rPr>
  </w:style>
  <w:style w:type="character" w:customStyle="1" w:styleId="ListParagraphChar">
    <w:name w:val="List Paragraph Char"/>
    <w:basedOn w:val="DefaultParagraphFont"/>
    <w:link w:val="ListParagraph"/>
    <w:uiPriority w:val="34"/>
    <w:rsid w:val="00CB53EA"/>
    <w:rPr>
      <w:rFonts w:ascii="Arial" w:eastAsia="Times New Roman" w:hAnsi="Arial" w:cs="Times New Roman"/>
      <w:sz w:val="20"/>
      <w:szCs w:val="20"/>
    </w:rPr>
  </w:style>
  <w:style w:type="paragraph" w:customStyle="1" w:styleId="Sandy-Normal">
    <w:name w:val="Sandy - Normal"/>
    <w:basedOn w:val="Heading5"/>
    <w:link w:val="Sandy-NormalChar"/>
    <w:qFormat/>
    <w:rsid w:val="00CB53EA"/>
    <w:pPr>
      <w:keepLines w:val="0"/>
      <w:tabs>
        <w:tab w:val="num" w:pos="864"/>
      </w:tabs>
      <w:spacing w:before="0" w:after="120" w:line="240" w:lineRule="auto"/>
    </w:pPr>
    <w:rPr>
      <w:rFonts w:ascii="Arial" w:eastAsia="Times New Roman" w:hAnsi="Arial" w:cs="Arial"/>
      <w:color w:val="auto"/>
      <w:kern w:val="28"/>
      <w:sz w:val="18"/>
      <w:szCs w:val="18"/>
    </w:rPr>
  </w:style>
  <w:style w:type="character" w:customStyle="1" w:styleId="Sandy-NormalChar">
    <w:name w:val="Sandy - Normal Char"/>
    <w:basedOn w:val="Heading5Char"/>
    <w:link w:val="Sandy-Normal"/>
    <w:rsid w:val="00CB53EA"/>
    <w:rPr>
      <w:rFonts w:ascii="Arial" w:eastAsia="Times New Roman" w:hAnsi="Arial" w:cs="Arial"/>
      <w:color w:val="1F4D78" w:themeColor="accent1" w:themeShade="7F"/>
      <w:kern w:val="28"/>
      <w:sz w:val="18"/>
      <w:szCs w:val="18"/>
    </w:rPr>
  </w:style>
  <w:style w:type="character" w:customStyle="1" w:styleId="Heading5Char">
    <w:name w:val="Heading 5 Char"/>
    <w:basedOn w:val="DefaultParagraphFont"/>
    <w:link w:val="Heading5"/>
    <w:uiPriority w:val="9"/>
    <w:semiHidden/>
    <w:rsid w:val="00CB53E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20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1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033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D1226A"/>
    <w:rPr>
      <w:sz w:val="16"/>
      <w:szCs w:val="16"/>
    </w:rPr>
  </w:style>
  <w:style w:type="paragraph" w:styleId="CommentText">
    <w:name w:val="annotation text"/>
    <w:basedOn w:val="Normal"/>
    <w:link w:val="CommentTextChar"/>
    <w:uiPriority w:val="99"/>
    <w:semiHidden/>
    <w:unhideWhenUsed/>
    <w:rsid w:val="00D1226A"/>
    <w:pPr>
      <w:spacing w:line="240" w:lineRule="auto"/>
    </w:pPr>
    <w:rPr>
      <w:sz w:val="20"/>
      <w:szCs w:val="20"/>
    </w:rPr>
  </w:style>
  <w:style w:type="character" w:customStyle="1" w:styleId="CommentTextChar">
    <w:name w:val="Comment Text Char"/>
    <w:basedOn w:val="DefaultParagraphFont"/>
    <w:link w:val="CommentText"/>
    <w:uiPriority w:val="99"/>
    <w:semiHidden/>
    <w:rsid w:val="00D1226A"/>
    <w:rPr>
      <w:sz w:val="20"/>
      <w:szCs w:val="20"/>
    </w:rPr>
  </w:style>
  <w:style w:type="paragraph" w:styleId="CommentSubject">
    <w:name w:val="annotation subject"/>
    <w:basedOn w:val="CommentText"/>
    <w:next w:val="CommentText"/>
    <w:link w:val="CommentSubjectChar"/>
    <w:uiPriority w:val="99"/>
    <w:semiHidden/>
    <w:unhideWhenUsed/>
    <w:rsid w:val="00D1226A"/>
    <w:rPr>
      <w:b/>
      <w:bCs/>
    </w:rPr>
  </w:style>
  <w:style w:type="character" w:customStyle="1" w:styleId="CommentSubjectChar">
    <w:name w:val="Comment Subject Char"/>
    <w:basedOn w:val="CommentTextChar"/>
    <w:link w:val="CommentSubject"/>
    <w:uiPriority w:val="99"/>
    <w:semiHidden/>
    <w:rsid w:val="00D1226A"/>
    <w:rPr>
      <w:b/>
      <w:bCs/>
      <w:sz w:val="20"/>
      <w:szCs w:val="20"/>
    </w:rPr>
  </w:style>
  <w:style w:type="paragraph" w:customStyle="1" w:styleId="TableText">
    <w:name w:val="Table Text"/>
    <w:basedOn w:val="Normal"/>
    <w:link w:val="TableTextChar"/>
    <w:rsid w:val="00A35960"/>
    <w:pPr>
      <w:keepNext/>
      <w:spacing w:before="240" w:after="0" w:line="360" w:lineRule="auto"/>
      <w:jc w:val="both"/>
    </w:pPr>
    <w:rPr>
      <w:rFonts w:ascii="Ubuntu" w:hAnsi="Ubuntu"/>
      <w:color w:val="797979"/>
    </w:rPr>
  </w:style>
  <w:style w:type="character" w:customStyle="1" w:styleId="TableTextChar">
    <w:name w:val="Table Text Char"/>
    <w:basedOn w:val="DefaultParagraphFont"/>
    <w:link w:val="TableText"/>
    <w:rsid w:val="00A35960"/>
    <w:rPr>
      <w:rFonts w:ascii="Ubuntu" w:hAnsi="Ubuntu"/>
      <w:color w:val="797979"/>
    </w:rPr>
  </w:style>
  <w:style w:type="character" w:styleId="Strong">
    <w:name w:val="Strong"/>
    <w:basedOn w:val="DefaultParagraphFont"/>
    <w:uiPriority w:val="22"/>
    <w:qFormat/>
    <w:rsid w:val="00016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0505">
      <w:bodyDiv w:val="1"/>
      <w:marLeft w:val="0"/>
      <w:marRight w:val="0"/>
      <w:marTop w:val="0"/>
      <w:marBottom w:val="0"/>
      <w:divBdr>
        <w:top w:val="none" w:sz="0" w:space="0" w:color="auto"/>
        <w:left w:val="none" w:sz="0" w:space="0" w:color="auto"/>
        <w:bottom w:val="none" w:sz="0" w:space="0" w:color="auto"/>
        <w:right w:val="none" w:sz="0" w:space="0" w:color="auto"/>
      </w:divBdr>
    </w:div>
    <w:div w:id="365646994">
      <w:bodyDiv w:val="1"/>
      <w:marLeft w:val="0"/>
      <w:marRight w:val="0"/>
      <w:marTop w:val="0"/>
      <w:marBottom w:val="0"/>
      <w:divBdr>
        <w:top w:val="none" w:sz="0" w:space="0" w:color="auto"/>
        <w:left w:val="none" w:sz="0" w:space="0" w:color="auto"/>
        <w:bottom w:val="none" w:sz="0" w:space="0" w:color="auto"/>
        <w:right w:val="none" w:sz="0" w:space="0" w:color="auto"/>
      </w:divBdr>
    </w:div>
    <w:div w:id="610284708">
      <w:bodyDiv w:val="1"/>
      <w:marLeft w:val="0"/>
      <w:marRight w:val="0"/>
      <w:marTop w:val="0"/>
      <w:marBottom w:val="0"/>
      <w:divBdr>
        <w:top w:val="none" w:sz="0" w:space="0" w:color="auto"/>
        <w:left w:val="none" w:sz="0" w:space="0" w:color="auto"/>
        <w:bottom w:val="none" w:sz="0" w:space="0" w:color="auto"/>
        <w:right w:val="none" w:sz="0" w:space="0" w:color="auto"/>
      </w:divBdr>
    </w:div>
    <w:div w:id="761411691">
      <w:bodyDiv w:val="1"/>
      <w:marLeft w:val="0"/>
      <w:marRight w:val="0"/>
      <w:marTop w:val="0"/>
      <w:marBottom w:val="0"/>
      <w:divBdr>
        <w:top w:val="none" w:sz="0" w:space="0" w:color="auto"/>
        <w:left w:val="none" w:sz="0" w:space="0" w:color="auto"/>
        <w:bottom w:val="none" w:sz="0" w:space="0" w:color="auto"/>
        <w:right w:val="none" w:sz="0" w:space="0" w:color="auto"/>
      </w:divBdr>
      <w:divsChild>
        <w:div w:id="1809206252">
          <w:marLeft w:val="547"/>
          <w:marRight w:val="0"/>
          <w:marTop w:val="0"/>
          <w:marBottom w:val="0"/>
          <w:divBdr>
            <w:top w:val="none" w:sz="0" w:space="0" w:color="auto"/>
            <w:left w:val="none" w:sz="0" w:space="0" w:color="auto"/>
            <w:bottom w:val="none" w:sz="0" w:space="0" w:color="auto"/>
            <w:right w:val="none" w:sz="0" w:space="0" w:color="auto"/>
          </w:divBdr>
        </w:div>
      </w:divsChild>
    </w:div>
    <w:div w:id="1128352072">
      <w:bodyDiv w:val="1"/>
      <w:marLeft w:val="0"/>
      <w:marRight w:val="0"/>
      <w:marTop w:val="0"/>
      <w:marBottom w:val="0"/>
      <w:divBdr>
        <w:top w:val="none" w:sz="0" w:space="0" w:color="auto"/>
        <w:left w:val="none" w:sz="0" w:space="0" w:color="auto"/>
        <w:bottom w:val="none" w:sz="0" w:space="0" w:color="auto"/>
        <w:right w:val="none" w:sz="0" w:space="0" w:color="auto"/>
      </w:divBdr>
    </w:div>
    <w:div w:id="1228418525">
      <w:bodyDiv w:val="1"/>
      <w:marLeft w:val="0"/>
      <w:marRight w:val="0"/>
      <w:marTop w:val="0"/>
      <w:marBottom w:val="0"/>
      <w:divBdr>
        <w:top w:val="none" w:sz="0" w:space="0" w:color="auto"/>
        <w:left w:val="none" w:sz="0" w:space="0" w:color="auto"/>
        <w:bottom w:val="none" w:sz="0" w:space="0" w:color="auto"/>
        <w:right w:val="none" w:sz="0" w:space="0" w:color="auto"/>
      </w:divBdr>
    </w:div>
    <w:div w:id="1335493263">
      <w:bodyDiv w:val="1"/>
      <w:marLeft w:val="0"/>
      <w:marRight w:val="0"/>
      <w:marTop w:val="0"/>
      <w:marBottom w:val="0"/>
      <w:divBdr>
        <w:top w:val="none" w:sz="0" w:space="0" w:color="auto"/>
        <w:left w:val="none" w:sz="0" w:space="0" w:color="auto"/>
        <w:bottom w:val="none" w:sz="0" w:space="0" w:color="auto"/>
        <w:right w:val="none" w:sz="0" w:space="0" w:color="auto"/>
      </w:divBdr>
    </w:div>
    <w:div w:id="1555503679">
      <w:bodyDiv w:val="1"/>
      <w:marLeft w:val="0"/>
      <w:marRight w:val="0"/>
      <w:marTop w:val="0"/>
      <w:marBottom w:val="0"/>
      <w:divBdr>
        <w:top w:val="none" w:sz="0" w:space="0" w:color="auto"/>
        <w:left w:val="none" w:sz="0" w:space="0" w:color="auto"/>
        <w:bottom w:val="none" w:sz="0" w:space="0" w:color="auto"/>
        <w:right w:val="none" w:sz="0" w:space="0" w:color="auto"/>
      </w:divBdr>
    </w:div>
    <w:div w:id="1572957921">
      <w:bodyDiv w:val="1"/>
      <w:marLeft w:val="0"/>
      <w:marRight w:val="0"/>
      <w:marTop w:val="0"/>
      <w:marBottom w:val="0"/>
      <w:divBdr>
        <w:top w:val="none" w:sz="0" w:space="0" w:color="auto"/>
        <w:left w:val="none" w:sz="0" w:space="0" w:color="auto"/>
        <w:bottom w:val="none" w:sz="0" w:space="0" w:color="auto"/>
        <w:right w:val="none" w:sz="0" w:space="0" w:color="auto"/>
      </w:divBdr>
    </w:div>
    <w:div w:id="18451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17F038DF765F4DB06954E0F48B3FD1" ma:contentTypeVersion="1" ma:contentTypeDescription="Create a new document." ma:contentTypeScope="" ma:versionID="b4df63db5d2211f57e349da244c492b1">
  <xsd:schema xmlns:xsd="http://www.w3.org/2001/XMLSchema" xmlns:xs="http://www.w3.org/2001/XMLSchema" xmlns:p="http://schemas.microsoft.com/office/2006/metadata/properties" xmlns:ns2="819a50a2-0174-4f92-993a-ec2a987365bf" targetNamespace="http://schemas.microsoft.com/office/2006/metadata/properties" ma:root="true" ma:fieldsID="1994fac087cf10cd41949ef9bcb9004c" ns2:_="">
    <xsd:import namespace="819a50a2-0174-4f92-993a-ec2a987365b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a50a2-0174-4f92-993a-ec2a987365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FBAB1-F455-4566-8B71-C169BE7E43B7}">
  <ds:schemaRefs>
    <ds:schemaRef ds:uri="http://schemas.openxmlformats.org/officeDocument/2006/bibliography"/>
  </ds:schemaRefs>
</ds:datastoreItem>
</file>

<file path=customXml/itemProps3.xml><?xml version="1.0" encoding="utf-8"?>
<ds:datastoreItem xmlns:ds="http://schemas.openxmlformats.org/officeDocument/2006/customXml" ds:itemID="{7A7FC2CF-7A41-47B6-847B-C17232FCB79B}">
  <ds:schemaRefs>
    <ds:schemaRef ds:uri="http://schemas.microsoft.com/sharepoint/v3/contenttype/forms"/>
  </ds:schemaRefs>
</ds:datastoreItem>
</file>

<file path=customXml/itemProps4.xml><?xml version="1.0" encoding="utf-8"?>
<ds:datastoreItem xmlns:ds="http://schemas.openxmlformats.org/officeDocument/2006/customXml" ds:itemID="{8DBB5A7B-B2CF-4238-A78F-BBC284885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a50a2-0174-4f92-993a-ec2a98736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C0DA3A-B776-471B-AE41-C092C87C9C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Treasury Confirmation Process (TCP)</vt:lpstr>
    </vt:vector>
  </TitlesOfParts>
  <Company>Bank of America</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Treasury Confirmation Process (TCP)</dc:title>
  <dc:creator>TATVARTY DASARI (Ctr), APARNA</dc:creator>
  <cp:lastModifiedBy>TATVARTY DASARI (Ctr), APARNA</cp:lastModifiedBy>
  <cp:revision>21</cp:revision>
  <dcterms:created xsi:type="dcterms:W3CDTF">2022-03-23T18:33:00Z</dcterms:created>
  <dcterms:modified xsi:type="dcterms:W3CDTF">2022-03-28T18:24:00Z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0x0101001817F038DF765F4DB06954E0F48B3FD1</vt:lpwstr>
  </property>
  <property fmtid="{D5CDD505-2E9C-101B-9397-08002B2CF9AE}" pid="4" name="TitusGUID">
    <vt:lpwstr>b20df5db-9583-441c-9c50-67e5ba9f41e7</vt:lpwstr>
  </property>
  <property fmtid="{D5CDD505-2E9C-101B-9397-08002B2CF9AE}" pid="5" name="Classification">
    <vt:lpwstr>Unclassified</vt:lpwstr>
  </property>
</Properties>
</file>