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color w:val="313231" w:themeColor="text1"/>
              <w:sz w:val="22"/>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04252C" w:rsidRPr="005C4A1D" w:rsidRDefault="0004252C" w:rsidP="002233B5">
                                <w:pPr>
                                  <w:jc w:val="center"/>
                                  <w:rPr>
                                    <w:rFonts w:asciiTheme="minorHAnsi" w:hAnsiTheme="minorHAnsi" w:cstheme="minorHAnsi"/>
                                    <w:sz w:val="40"/>
                                    <w:szCs w:val="40"/>
                                  </w:rPr>
                                </w:pPr>
                              </w:p>
                              <w:p w14:paraId="77BA7B78" w14:textId="7804BA27" w:rsidR="0004252C" w:rsidRPr="00002104" w:rsidRDefault="0004252C" w:rsidP="002233B5">
                                <w:pPr>
                                  <w:pStyle w:val="CoverDocumentTitle"/>
                                </w:pPr>
                                <w:r>
                                  <w:rPr>
                                    <w:noProof/>
                                  </w:rPr>
                                  <w:t>F</w:t>
                                </w:r>
                                <w:r w:rsidRPr="00933472">
                                  <w:rPr>
                                    <w:bCs/>
                                    <w:caps w:val="0"/>
                                    <w:noProof/>
                                  </w:rPr>
                                  <w:t>ed</w:t>
                                </w:r>
                                <w:r>
                                  <w:rPr>
                                    <w:noProof/>
                                  </w:rPr>
                                  <w:t>RAMP JAB P-ATO Vulnerability Scan Requirements Guide</w:t>
                                </w:r>
                                <w:r>
                                  <w:rPr>
                                    <w:noProof/>
                                  </w:rPr>
                                  <w:br/>
                                </w:r>
                              </w:p>
                              <w:p w14:paraId="481FA2EE" w14:textId="2FE66D6F" w:rsidR="0004252C" w:rsidRDefault="0004252C" w:rsidP="002233B5">
                                <w:pPr>
                                  <w:pStyle w:val="CoverSubtext"/>
                                </w:pPr>
                                <w:r>
                                  <w:t>Version 2.0</w:t>
                                </w:r>
                              </w:p>
                              <w:p w14:paraId="00BA5384" w14:textId="48DB866F" w:rsidR="0004252C" w:rsidRDefault="0004252C" w:rsidP="002233B5">
                                <w:pPr>
                                  <w:pStyle w:val="CoverSubtext"/>
                                </w:pPr>
                                <w:r>
                                  <w:t>November 20, 2017</w:t>
                                </w:r>
                              </w:p>
                              <w:p w14:paraId="08C7ACC4" w14:textId="6B9E7368" w:rsidR="0004252C" w:rsidRDefault="0004252C"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38BE4DC6" w14:textId="77777777" w:rsidR="002233B5" w:rsidRPr="005C4A1D" w:rsidRDefault="002233B5" w:rsidP="002233B5">
                          <w:pPr>
                            <w:jc w:val="center"/>
                            <w:rPr>
                              <w:rFonts w:asciiTheme="minorHAnsi" w:hAnsiTheme="minorHAnsi" w:cstheme="minorHAnsi"/>
                              <w:sz w:val="40"/>
                              <w:szCs w:val="40"/>
                            </w:rPr>
                          </w:pPr>
                        </w:p>
                        <w:p w14:paraId="77BA7B78" w14:textId="7804BA27" w:rsidR="002233B5" w:rsidRPr="00002104" w:rsidRDefault="002233B5" w:rsidP="002233B5">
                          <w:pPr>
                            <w:pStyle w:val="CoverDocumentTitle"/>
                          </w:pPr>
                          <w:r>
                            <w:rPr>
                              <w:noProof/>
                            </w:rPr>
                            <w:t>F</w:t>
                          </w:r>
                          <w:r w:rsidRPr="00933472">
                            <w:rPr>
                              <w:bCs/>
                              <w:caps w:val="0"/>
                              <w:noProof/>
                            </w:rPr>
                            <w:t>ed</w:t>
                          </w:r>
                          <w:r>
                            <w:rPr>
                              <w:noProof/>
                            </w:rPr>
                            <w:t xml:space="preserve">RAMP </w:t>
                          </w:r>
                          <w:r w:rsidR="00504F35">
                            <w:rPr>
                              <w:noProof/>
                            </w:rPr>
                            <w:t>JAB P-ATO Vulnerability Scan Requirements Guide</w:t>
                          </w:r>
                          <w:r w:rsidR="00722C7C">
                            <w:rPr>
                              <w:noProof/>
                            </w:rPr>
                            <w:br/>
                          </w:r>
                        </w:p>
                        <w:p w14:paraId="481FA2EE" w14:textId="2FE66D6F" w:rsidR="002233B5" w:rsidRDefault="00BC4B03" w:rsidP="002233B5">
                          <w:pPr>
                            <w:pStyle w:val="CoverSubtext"/>
                          </w:pPr>
                          <w:r>
                            <w:t>Version 2.0</w:t>
                          </w:r>
                        </w:p>
                        <w:p w14:paraId="00BA5384" w14:textId="48DB866F" w:rsidR="002233B5" w:rsidRDefault="00504F35" w:rsidP="002233B5">
                          <w:pPr>
                            <w:pStyle w:val="CoverSubtext"/>
                          </w:pPr>
                          <w:r>
                            <w:t>November 20</w:t>
                          </w:r>
                          <w:r w:rsidR="002D2D6A">
                            <w:t>, 2017</w:t>
                          </w:r>
                        </w:p>
                        <w:p w14:paraId="08C7ACC4" w14:textId="6B9E7368" w:rsidR="00A178AF" w:rsidRDefault="00A178AF"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10"/>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48133D">
          <w:pPr>
            <w:pStyle w:val="TOCHeading"/>
          </w:pPr>
          <w:bookmarkStart w:id="1" w:name="_Toc372811739"/>
          <w:r>
            <w:lastRenderedPageBreak/>
            <w:t xml:space="preserve">Document </w:t>
          </w:r>
          <w:r w:rsidR="008151E9">
            <w:t>Revision History</w:t>
          </w:r>
          <w:bookmarkEnd w:id="1"/>
        </w:p>
        <w:tbl>
          <w:tblPr>
            <w:tblStyle w:val="FedRamp"/>
            <w:tblW w:w="9576" w:type="dxa"/>
            <w:tblLook w:val="04A0" w:firstRow="1" w:lastRow="0" w:firstColumn="1" w:lastColumn="0" w:noHBand="0" w:noVBand="1"/>
          </w:tblPr>
          <w:tblGrid>
            <w:gridCol w:w="1200"/>
            <w:gridCol w:w="1184"/>
            <w:gridCol w:w="1234"/>
            <w:gridCol w:w="4232"/>
            <w:gridCol w:w="1726"/>
          </w:tblGrid>
          <w:tr w:rsidR="00725030" w:rsidRPr="008151E9" w14:paraId="7E9800F8" w14:textId="77777777" w:rsidTr="00725030">
            <w:trPr>
              <w:cnfStyle w:val="100000000000" w:firstRow="1" w:lastRow="0" w:firstColumn="0" w:lastColumn="0" w:oddVBand="0" w:evenVBand="0" w:oddHBand="0" w:evenHBand="0" w:firstRowFirstColumn="0" w:firstRowLastColumn="0" w:lastRowFirstColumn="0" w:lastRowLastColumn="0"/>
              <w:trHeight w:val="84"/>
            </w:trPr>
            <w:tc>
              <w:tcPr>
                <w:tcW w:w="1200" w:type="dxa"/>
              </w:tcPr>
              <w:p w14:paraId="3D5F91AA" w14:textId="6BFB6F8E" w:rsidR="00725030" w:rsidRPr="00E945AF" w:rsidRDefault="00725030" w:rsidP="00387F88">
                <w:pPr>
                  <w:pStyle w:val="TableText"/>
                  <w:spacing w:before="0" w:after="0"/>
                  <w:rPr>
                    <w:color w:val="FFFFFF" w:themeColor="background1"/>
                  </w:rPr>
                </w:pPr>
                <w:r w:rsidRPr="00E945AF">
                  <w:rPr>
                    <w:color w:val="FFFFFF" w:themeColor="background1"/>
                  </w:rPr>
                  <w:t>DATE</w:t>
                </w:r>
              </w:p>
            </w:tc>
            <w:tc>
              <w:tcPr>
                <w:tcW w:w="1184" w:type="dxa"/>
              </w:tcPr>
              <w:p w14:paraId="4053C310" w14:textId="101722A0" w:rsidR="00725030" w:rsidRPr="00E945AF" w:rsidRDefault="00725030" w:rsidP="00387F88">
                <w:pPr>
                  <w:pStyle w:val="TableText"/>
                  <w:spacing w:before="192" w:after="192"/>
                  <w:rPr>
                    <w:color w:val="FFFFFF" w:themeColor="background1"/>
                  </w:rPr>
                </w:pPr>
                <w:r w:rsidRPr="00E945AF">
                  <w:rPr>
                    <w:color w:val="FFFFFF" w:themeColor="background1"/>
                  </w:rPr>
                  <w:t>VERSION</w:t>
                </w:r>
              </w:p>
            </w:tc>
            <w:tc>
              <w:tcPr>
                <w:tcW w:w="1234" w:type="dxa"/>
              </w:tcPr>
              <w:p w14:paraId="0D84332B" w14:textId="6B847864" w:rsidR="00725030" w:rsidRPr="00E945AF" w:rsidRDefault="00725030" w:rsidP="00387F88">
                <w:pPr>
                  <w:pStyle w:val="TableText"/>
                  <w:spacing w:before="192" w:after="192"/>
                  <w:rPr>
                    <w:color w:val="FFFFFF" w:themeColor="background1"/>
                  </w:rPr>
                </w:pPr>
                <w:proofErr w:type="gramStart"/>
                <w:r>
                  <w:rPr>
                    <w:color w:val="FFFFFF" w:themeColor="background1"/>
                  </w:rPr>
                  <w:t>PAGE(</w:t>
                </w:r>
                <w:proofErr w:type="gramEnd"/>
                <w:r>
                  <w:rPr>
                    <w:color w:val="FFFFFF" w:themeColor="background1"/>
                  </w:rPr>
                  <w:t>S)</w:t>
                </w:r>
              </w:p>
            </w:tc>
            <w:tc>
              <w:tcPr>
                <w:tcW w:w="4232" w:type="dxa"/>
              </w:tcPr>
              <w:p w14:paraId="1664040C" w14:textId="07B0323E" w:rsidR="00725030" w:rsidRPr="00E945AF" w:rsidRDefault="00725030" w:rsidP="00387F88">
                <w:pPr>
                  <w:pStyle w:val="TableText"/>
                  <w:spacing w:before="192" w:after="192"/>
                  <w:rPr>
                    <w:color w:val="FFFFFF" w:themeColor="background1"/>
                  </w:rPr>
                </w:pPr>
                <w:r w:rsidRPr="00E945AF">
                  <w:rPr>
                    <w:color w:val="FFFFFF" w:themeColor="background1"/>
                  </w:rPr>
                  <w:t>DESCRIPTION</w:t>
                </w:r>
              </w:p>
            </w:tc>
            <w:tc>
              <w:tcPr>
                <w:tcW w:w="1726" w:type="dxa"/>
              </w:tcPr>
              <w:p w14:paraId="15FBF94F" w14:textId="622DAD7A" w:rsidR="00725030" w:rsidRPr="00E945AF" w:rsidRDefault="00725030" w:rsidP="00387F88">
                <w:pPr>
                  <w:pStyle w:val="TableText"/>
                  <w:spacing w:before="192" w:after="192"/>
                  <w:rPr>
                    <w:color w:val="FFFFFF" w:themeColor="background1"/>
                  </w:rPr>
                </w:pPr>
                <w:r>
                  <w:rPr>
                    <w:color w:val="FFFFFF" w:themeColor="background1"/>
                  </w:rPr>
                  <w:t>AUTHOR</w:t>
                </w:r>
              </w:p>
            </w:tc>
          </w:tr>
          <w:tr w:rsidR="00725030" w:rsidRPr="008151E9" w14:paraId="51D7C213" w14:textId="77777777" w:rsidTr="00725030">
            <w:trPr>
              <w:trHeight w:val="347"/>
            </w:trPr>
            <w:tc>
              <w:tcPr>
                <w:tcW w:w="1200" w:type="dxa"/>
              </w:tcPr>
              <w:p w14:paraId="286A2FEB" w14:textId="221F542C" w:rsidR="00725030" w:rsidRPr="007D5F37" w:rsidRDefault="00725030" w:rsidP="00725030">
                <w:pPr>
                  <w:pStyle w:val="TableText"/>
                </w:pPr>
                <w:r w:rsidRPr="007D5F37">
                  <w:t>5/27/2015</w:t>
                </w:r>
              </w:p>
            </w:tc>
            <w:tc>
              <w:tcPr>
                <w:tcW w:w="1184" w:type="dxa"/>
              </w:tcPr>
              <w:p w14:paraId="0909D33D" w14:textId="5736F3D0" w:rsidR="00725030" w:rsidRPr="007D5F37" w:rsidRDefault="00725030" w:rsidP="00725030">
                <w:pPr>
                  <w:pStyle w:val="TableText"/>
                </w:pPr>
                <w:r w:rsidRPr="007D5F37">
                  <w:t>1.0</w:t>
                </w:r>
              </w:p>
            </w:tc>
            <w:tc>
              <w:tcPr>
                <w:tcW w:w="1234" w:type="dxa"/>
              </w:tcPr>
              <w:p w14:paraId="0B1B9696" w14:textId="723452EB" w:rsidR="00725030" w:rsidRPr="007D5F37" w:rsidRDefault="00725030" w:rsidP="00725030">
                <w:pPr>
                  <w:pStyle w:val="TableText"/>
                </w:pPr>
                <w:r w:rsidRPr="007D5F37">
                  <w:t>All</w:t>
                </w:r>
              </w:p>
            </w:tc>
            <w:tc>
              <w:tcPr>
                <w:tcW w:w="4232" w:type="dxa"/>
              </w:tcPr>
              <w:p w14:paraId="0CBD0DBC" w14:textId="1B13914F" w:rsidR="00725030" w:rsidRPr="007D5F37" w:rsidRDefault="00725030" w:rsidP="00725030">
                <w:pPr>
                  <w:pStyle w:val="TableText"/>
                </w:pPr>
                <w:r w:rsidRPr="007D5F37">
                  <w:t>Initial Version</w:t>
                </w:r>
              </w:p>
            </w:tc>
            <w:tc>
              <w:tcPr>
                <w:tcW w:w="1726" w:type="dxa"/>
              </w:tcPr>
              <w:p w14:paraId="4BC4A416" w14:textId="7F13BAC7" w:rsidR="00725030" w:rsidRPr="007D5F37" w:rsidRDefault="00725030" w:rsidP="00725030">
                <w:pPr>
                  <w:pStyle w:val="TableText"/>
                </w:pPr>
                <w:r w:rsidRPr="007D5F37">
                  <w:t>C. Andersen</w:t>
                </w:r>
              </w:p>
            </w:tc>
          </w:tr>
          <w:tr w:rsidR="00725030" w:rsidRPr="008151E9" w14:paraId="3374432F" w14:textId="77777777" w:rsidTr="00725030">
            <w:trPr>
              <w:trHeight w:val="368"/>
            </w:trPr>
            <w:tc>
              <w:tcPr>
                <w:tcW w:w="1200" w:type="dxa"/>
              </w:tcPr>
              <w:p w14:paraId="5D3D23D3" w14:textId="5AB90B99" w:rsidR="00725030" w:rsidRPr="007D5F37" w:rsidRDefault="00725030" w:rsidP="00725030">
                <w:pPr>
                  <w:pStyle w:val="TableText"/>
                </w:pPr>
                <w:r w:rsidRPr="007D5F37">
                  <w:t>6/6/2017</w:t>
                </w:r>
              </w:p>
            </w:tc>
            <w:tc>
              <w:tcPr>
                <w:tcW w:w="1184" w:type="dxa"/>
              </w:tcPr>
              <w:p w14:paraId="78D7A9BA" w14:textId="096865B4" w:rsidR="00725030" w:rsidRPr="007D5F37" w:rsidRDefault="00725030" w:rsidP="00725030">
                <w:pPr>
                  <w:pStyle w:val="TableText"/>
                </w:pPr>
                <w:r w:rsidRPr="007D5F37">
                  <w:t>1.0</w:t>
                </w:r>
              </w:p>
            </w:tc>
            <w:tc>
              <w:tcPr>
                <w:tcW w:w="1234" w:type="dxa"/>
              </w:tcPr>
              <w:p w14:paraId="30EE50AE" w14:textId="05125567" w:rsidR="00725030" w:rsidRPr="007D5F37" w:rsidRDefault="00725030" w:rsidP="00725030">
                <w:pPr>
                  <w:pStyle w:val="TableText"/>
                </w:pPr>
                <w:r w:rsidRPr="007D5F37">
                  <w:t>Cover</w:t>
                </w:r>
              </w:p>
            </w:tc>
            <w:tc>
              <w:tcPr>
                <w:tcW w:w="4232" w:type="dxa"/>
              </w:tcPr>
              <w:p w14:paraId="0D943617" w14:textId="121A6889" w:rsidR="00725030" w:rsidRPr="007D5F37" w:rsidRDefault="00725030" w:rsidP="00725030">
                <w:pPr>
                  <w:pStyle w:val="TableText"/>
                </w:pPr>
                <w:r w:rsidRPr="007D5F37">
                  <w:t>Updated logo</w:t>
                </w:r>
              </w:p>
            </w:tc>
            <w:tc>
              <w:tcPr>
                <w:tcW w:w="1726" w:type="dxa"/>
              </w:tcPr>
              <w:p w14:paraId="09EBBB11" w14:textId="35D8323F" w:rsidR="00725030" w:rsidRPr="007D5F37" w:rsidRDefault="00725030" w:rsidP="00725030">
                <w:pPr>
                  <w:pStyle w:val="TableText"/>
                </w:pPr>
                <w:proofErr w:type="spellStart"/>
                <w:r w:rsidRPr="007D5F37">
                  <w:t>FedRAMP</w:t>
                </w:r>
                <w:proofErr w:type="spellEnd"/>
                <w:r w:rsidRPr="007D5F37">
                  <w:t xml:space="preserve"> PMO</w:t>
                </w:r>
              </w:p>
            </w:tc>
          </w:tr>
          <w:tr w:rsidR="00725030" w:rsidRPr="008151E9" w14:paraId="497A1924" w14:textId="77777777" w:rsidTr="00725030">
            <w:trPr>
              <w:trHeight w:val="347"/>
            </w:trPr>
            <w:tc>
              <w:tcPr>
                <w:tcW w:w="1200" w:type="dxa"/>
                <w:vAlign w:val="center"/>
              </w:tcPr>
              <w:p w14:paraId="0E422AE8" w14:textId="7C5C5B2D" w:rsidR="00725030" w:rsidRPr="007D5F37" w:rsidRDefault="00725030" w:rsidP="00725030">
                <w:pPr>
                  <w:pStyle w:val="TableText"/>
                </w:pPr>
                <w:r w:rsidRPr="007D5F37">
                  <w:t>11/20/2017</w:t>
                </w:r>
              </w:p>
            </w:tc>
            <w:tc>
              <w:tcPr>
                <w:tcW w:w="1184" w:type="dxa"/>
                <w:vAlign w:val="center"/>
              </w:tcPr>
              <w:p w14:paraId="36EED771" w14:textId="4BFDC4E3" w:rsidR="00725030" w:rsidRPr="007D5F37" w:rsidRDefault="00BC4B03" w:rsidP="00725030">
                <w:pPr>
                  <w:pStyle w:val="TableText"/>
                </w:pPr>
                <w:r w:rsidRPr="007D5F37">
                  <w:t>2.0</w:t>
                </w:r>
              </w:p>
            </w:tc>
            <w:tc>
              <w:tcPr>
                <w:tcW w:w="1234" w:type="dxa"/>
                <w:vAlign w:val="center"/>
              </w:tcPr>
              <w:p w14:paraId="494EC742" w14:textId="07E36775" w:rsidR="00725030" w:rsidRPr="007D5F37" w:rsidRDefault="00725030" w:rsidP="00725030">
                <w:pPr>
                  <w:pStyle w:val="TableText"/>
                </w:pPr>
                <w:r w:rsidRPr="007D5F37">
                  <w:t>All</w:t>
                </w:r>
              </w:p>
            </w:tc>
            <w:tc>
              <w:tcPr>
                <w:tcW w:w="4232" w:type="dxa"/>
                <w:vAlign w:val="center"/>
              </w:tcPr>
              <w:p w14:paraId="1B74CF0A" w14:textId="52EEFA2C" w:rsidR="00725030" w:rsidRPr="007D5F37" w:rsidRDefault="00725030" w:rsidP="00725030">
                <w:pPr>
                  <w:pStyle w:val="TableText"/>
                </w:pPr>
                <w:r w:rsidRPr="007D5F37">
                  <w:t>Reformatted into new template</w:t>
                </w:r>
              </w:p>
            </w:tc>
            <w:tc>
              <w:tcPr>
                <w:tcW w:w="1726" w:type="dxa"/>
                <w:vAlign w:val="center"/>
              </w:tcPr>
              <w:p w14:paraId="6B37746B" w14:textId="01833681" w:rsidR="00725030" w:rsidRPr="007D5F37" w:rsidRDefault="00725030" w:rsidP="00725030">
                <w:pPr>
                  <w:pStyle w:val="TableText"/>
                </w:pPr>
                <w:proofErr w:type="spellStart"/>
                <w:r w:rsidRPr="007D5F37">
                  <w:t>FedRAMP</w:t>
                </w:r>
                <w:proofErr w:type="spellEnd"/>
                <w:r w:rsidRPr="007D5F37">
                  <w:t xml:space="preserve"> PMO</w:t>
                </w:r>
              </w:p>
            </w:tc>
          </w:tr>
        </w:tbl>
        <w:p w14:paraId="68950E4A" w14:textId="77777777" w:rsidR="00387F88" w:rsidRDefault="00387F88" w:rsidP="00387F88"/>
        <w:p w14:paraId="60A980B1" w14:textId="23D960C1" w:rsidR="00BC4B03" w:rsidRDefault="00BC4B03" w:rsidP="00BC4B03">
          <w:pPr>
            <w:pStyle w:val="TOCHeading"/>
          </w:pPr>
          <w:bookmarkStart w:id="2" w:name="_Toc372811314"/>
          <w:bookmarkStart w:id="3" w:name="_Toc372811740"/>
          <w:bookmarkStart w:id="4" w:name="_Toc481956250"/>
          <w:bookmarkStart w:id="5" w:name="_Toc372363208"/>
          <w:r>
            <w:t>who should use this document</w:t>
          </w:r>
          <w:bookmarkEnd w:id="2"/>
          <w:bookmarkEnd w:id="3"/>
        </w:p>
        <w:p w14:paraId="6C83CDEF" w14:textId="77777777" w:rsidR="00BC4B03" w:rsidRPr="000A67E4" w:rsidRDefault="00BC4B03" w:rsidP="00BC4B03">
          <w:pPr>
            <w:pStyle w:val="BodyText"/>
            <w:spacing w:before="118"/>
            <w:ind w:right="40"/>
            <w:rPr>
              <w:color w:val="313231" w:themeColor="text1"/>
              <w:sz w:val="24"/>
            </w:rPr>
          </w:pPr>
          <w:proofErr w:type="gramStart"/>
          <w:r w:rsidRPr="000A67E4">
            <w:rPr>
              <w:color w:val="313231" w:themeColor="text1"/>
              <w:sz w:val="24"/>
            </w:rPr>
            <w:t>This document is intended for the use by the following groups</w:t>
          </w:r>
          <w:proofErr w:type="gramEnd"/>
          <w:r w:rsidRPr="000A67E4">
            <w:rPr>
              <w:color w:val="313231" w:themeColor="text1"/>
              <w:sz w:val="24"/>
            </w:rPr>
            <w:t>:</w:t>
          </w:r>
        </w:p>
        <w:p w14:paraId="178049BB" w14:textId="77777777" w:rsidR="00BC4B03" w:rsidRPr="000A67E4" w:rsidRDefault="00BC4B03" w:rsidP="00BC4B03">
          <w:pPr>
            <w:pStyle w:val="ListParagraph"/>
            <w:numPr>
              <w:ilvl w:val="0"/>
              <w:numId w:val="18"/>
            </w:numPr>
            <w:ind w:left="1080"/>
            <w:rPr>
              <w:color w:val="313231" w:themeColor="text1"/>
            </w:rPr>
          </w:pPr>
          <w:r w:rsidRPr="000A67E4">
            <w:rPr>
              <w:color w:val="313231" w:themeColor="text1"/>
            </w:rPr>
            <w:t>Federal Risk and Authorization Management Program (</w:t>
          </w:r>
          <w:proofErr w:type="spellStart"/>
          <w:r w:rsidRPr="000A67E4">
            <w:rPr>
              <w:color w:val="313231" w:themeColor="text1"/>
            </w:rPr>
            <w:t>FedRAMP</w:t>
          </w:r>
          <w:proofErr w:type="spellEnd"/>
          <w:r w:rsidRPr="000A67E4">
            <w:rPr>
              <w:color w:val="313231" w:themeColor="text1"/>
            </w:rPr>
            <w:t>) Cloud Service Providers (CSPs), to ensure they provide vulnerability scans as required.</w:t>
          </w:r>
        </w:p>
        <w:p w14:paraId="2F9940CF" w14:textId="77777777" w:rsidR="00BC4B03" w:rsidRPr="000A67E4" w:rsidRDefault="00BC4B03" w:rsidP="00BC4B03">
          <w:pPr>
            <w:pStyle w:val="ListParagraph"/>
            <w:numPr>
              <w:ilvl w:val="0"/>
              <w:numId w:val="18"/>
            </w:numPr>
            <w:ind w:left="1080"/>
            <w:rPr>
              <w:color w:val="313231" w:themeColor="text1"/>
            </w:rPr>
          </w:pPr>
          <w:proofErr w:type="spellStart"/>
          <w:r w:rsidRPr="000A67E4">
            <w:rPr>
              <w:color w:val="313231" w:themeColor="text1"/>
            </w:rPr>
            <w:t>FedRAMP</w:t>
          </w:r>
          <w:proofErr w:type="spellEnd"/>
          <w:r w:rsidRPr="000A67E4">
            <w:rPr>
              <w:color w:val="313231" w:themeColor="text1"/>
            </w:rPr>
            <w:t xml:space="preserve"> Information System Security Officers (ISSOs), to ensure the requirements are met and maintained.</w:t>
          </w:r>
        </w:p>
        <w:p w14:paraId="25580FAE" w14:textId="0E84F6FF" w:rsidR="00BC4B03" w:rsidRPr="000A67E4" w:rsidRDefault="00BC4B03" w:rsidP="00BC4B03">
          <w:pPr>
            <w:pStyle w:val="ListParagraph"/>
            <w:numPr>
              <w:ilvl w:val="0"/>
              <w:numId w:val="18"/>
            </w:numPr>
            <w:ind w:left="1080"/>
            <w:rPr>
              <w:color w:val="313231" w:themeColor="text1"/>
            </w:rPr>
          </w:pPr>
          <w:r w:rsidRPr="000A67E4">
            <w:rPr>
              <w:color w:val="313231" w:themeColor="text1"/>
            </w:rPr>
            <w:t>Leveraging agencies, to understand the scanning required by CSPs.</w:t>
          </w:r>
        </w:p>
        <w:p w14:paraId="1C78B35B" w14:textId="54A7C9E8" w:rsidR="00D94191" w:rsidRDefault="00D94191" w:rsidP="00D94191">
          <w:pPr>
            <w:pStyle w:val="TOCHeading"/>
          </w:pPr>
          <w:bookmarkStart w:id="6" w:name="_Toc372811315"/>
          <w:bookmarkStart w:id="7" w:name="_Toc372811741"/>
          <w:r>
            <w:t>How to contact us</w:t>
          </w:r>
          <w:bookmarkEnd w:id="4"/>
          <w:bookmarkEnd w:id="5"/>
          <w:bookmarkEnd w:id="6"/>
          <w:bookmarkEnd w:id="7"/>
        </w:p>
        <w:p w14:paraId="5D8573DD" w14:textId="77777777" w:rsidR="00D94191" w:rsidRPr="00D94191" w:rsidRDefault="00D94191" w:rsidP="00D94191">
          <w:pPr>
            <w:rPr>
              <w:rFonts w:asciiTheme="minorHAnsi" w:hAnsiTheme="minorHAnsi"/>
              <w:i/>
            </w:rPr>
          </w:pPr>
          <w:r w:rsidRPr="000A67E4">
            <w:rPr>
              <w:rFonts w:asciiTheme="minorHAnsi" w:hAnsiTheme="minorHAnsi"/>
              <w:color w:val="313231" w:themeColor="text1"/>
            </w:rPr>
            <w:t xml:space="preserve">Questions about </w:t>
          </w:r>
          <w:proofErr w:type="spellStart"/>
          <w:r w:rsidRPr="000A67E4">
            <w:rPr>
              <w:rFonts w:asciiTheme="minorHAnsi" w:hAnsiTheme="minorHAnsi"/>
              <w:color w:val="313231" w:themeColor="text1"/>
            </w:rPr>
            <w:t>FedRAMP</w:t>
          </w:r>
          <w:proofErr w:type="spellEnd"/>
          <w:r w:rsidRPr="000A67E4">
            <w:rPr>
              <w:rFonts w:asciiTheme="minorHAnsi" w:hAnsiTheme="minorHAnsi"/>
              <w:color w:val="313231" w:themeColor="text1"/>
            </w:rPr>
            <w:t xml:space="preserve"> or this document should be directed to</w:t>
          </w:r>
          <w:r w:rsidRPr="00D94191">
            <w:rPr>
              <w:rFonts w:asciiTheme="minorHAnsi" w:hAnsiTheme="minorHAnsi"/>
            </w:rPr>
            <w:t xml:space="preserve"> </w:t>
          </w:r>
          <w:hyperlink r:id="rId11" w:history="1">
            <w:r w:rsidRPr="00BC4B03">
              <w:rPr>
                <w:rStyle w:val="Hyperlink"/>
                <w:rFonts w:asciiTheme="minorHAnsi" w:hAnsiTheme="minorHAnsi"/>
                <w:color w:val="187E9A" w:themeColor="accent3" w:themeShade="BF"/>
              </w:rPr>
              <w:t>info@fedramp.gov</w:t>
            </w:r>
          </w:hyperlink>
          <w:r w:rsidRPr="000A67E4">
            <w:rPr>
              <w:rFonts w:asciiTheme="minorHAnsi" w:hAnsiTheme="minorHAnsi"/>
              <w:color w:val="313231" w:themeColor="text1"/>
            </w:rPr>
            <w:t>.</w:t>
          </w:r>
          <w:r w:rsidRPr="000A67E4">
            <w:rPr>
              <w:rFonts w:asciiTheme="minorHAnsi" w:hAnsiTheme="minorHAnsi"/>
              <w:i/>
              <w:color w:val="313231" w:themeColor="text1"/>
            </w:rPr>
            <w:t xml:space="preserve"> </w:t>
          </w:r>
        </w:p>
        <w:p w14:paraId="63BABBE7" w14:textId="77777777" w:rsidR="00D94191" w:rsidRPr="00D94191" w:rsidRDefault="00D94191" w:rsidP="00D94191">
          <w:pPr>
            <w:rPr>
              <w:rFonts w:asciiTheme="minorHAnsi" w:hAnsiTheme="minorHAnsi"/>
            </w:rPr>
          </w:pPr>
          <w:r w:rsidRPr="000A67E4">
            <w:rPr>
              <w:rFonts w:asciiTheme="minorHAnsi" w:hAnsiTheme="minorHAnsi"/>
              <w:color w:val="313231" w:themeColor="text1"/>
            </w:rPr>
            <w:t xml:space="preserve">For more information about </w:t>
          </w:r>
          <w:proofErr w:type="spellStart"/>
          <w:r w:rsidRPr="000A67E4">
            <w:rPr>
              <w:rFonts w:asciiTheme="minorHAnsi" w:hAnsiTheme="minorHAnsi"/>
              <w:color w:val="313231" w:themeColor="text1"/>
            </w:rPr>
            <w:t>FedRAMP</w:t>
          </w:r>
          <w:proofErr w:type="spellEnd"/>
          <w:r w:rsidRPr="000A67E4">
            <w:rPr>
              <w:rFonts w:asciiTheme="minorHAnsi" w:hAnsiTheme="minorHAnsi"/>
              <w:color w:val="313231" w:themeColor="text1"/>
            </w:rPr>
            <w:t>, visit the website at</w:t>
          </w:r>
          <w:r w:rsidRPr="00D94191">
            <w:rPr>
              <w:rFonts w:asciiTheme="minorHAnsi" w:hAnsiTheme="minorHAnsi"/>
            </w:rPr>
            <w:t xml:space="preserve"> </w:t>
          </w:r>
          <w:hyperlink r:id="rId12" w:history="1">
            <w:r w:rsidRPr="00FF4D51">
              <w:rPr>
                <w:rStyle w:val="Hyperlink"/>
                <w:rFonts w:asciiTheme="minorHAnsi" w:hAnsiTheme="minorHAnsi"/>
                <w:color w:val="187E9A" w:themeColor="accent3" w:themeShade="BF"/>
              </w:rPr>
              <w:t>http://www.fedramp.gov</w:t>
            </w:r>
          </w:hyperlink>
          <w:r w:rsidRPr="000A67E4">
            <w:rPr>
              <w:rFonts w:asciiTheme="minorHAnsi" w:hAnsiTheme="minorHAnsi"/>
              <w:color w:val="313231" w:themeColor="text1"/>
            </w:rPr>
            <w:t>.</w:t>
          </w:r>
        </w:p>
        <w:p w14:paraId="1C9C6AE8" w14:textId="77777777" w:rsidR="004D1C3E" w:rsidRDefault="00D94191" w:rsidP="00D94191">
          <w:pPr>
            <w:spacing w:after="0"/>
            <w:jc w:val="both"/>
          </w:pPr>
          <w:r>
            <w:br/>
          </w:r>
          <w:r>
            <w:br/>
          </w:r>
          <w:r>
            <w:br/>
          </w:r>
          <w:r>
            <w:br/>
          </w:r>
          <w:r>
            <w:br/>
          </w:r>
          <w:r>
            <w:br/>
          </w:r>
        </w:p>
        <w:p w14:paraId="39522179" w14:textId="5CDED53E" w:rsidR="00387F88" w:rsidRDefault="00387F88" w:rsidP="00D94191">
          <w:pPr>
            <w:spacing w:after="0"/>
            <w:jc w:val="both"/>
          </w:pPr>
        </w:p>
        <w:bookmarkStart w:id="8" w:name="_Toc372811316" w:displacedByCustomXml="next"/>
        <w:bookmarkStart w:id="9" w:name="_Toc372363209" w:displacedByCustomXml="next"/>
        <w:bookmarkStart w:id="10" w:name="_Toc372811742"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10"/>
              <w:bookmarkEnd w:id="9"/>
              <w:bookmarkEnd w:id="8"/>
            </w:p>
            <w:p w14:paraId="489EF6F2" w14:textId="77777777" w:rsidR="005B5576" w:rsidRDefault="00532688">
              <w:pPr>
                <w:pStyle w:val="TOC1"/>
                <w:tabs>
                  <w:tab w:val="right" w:leader="dot" w:pos="9350"/>
                </w:tabs>
                <w:rPr>
                  <w:b w:val="0"/>
                  <w:noProof/>
                  <w:lang w:eastAsia="ja-JP"/>
                </w:rPr>
              </w:pPr>
              <w:r w:rsidRPr="00B96CDE">
                <w:rPr>
                  <w:rFonts w:ascii="Calibri" w:hAnsi="Calibri"/>
                  <w:b w:val="0"/>
                  <w:color w:val="444644" w:themeColor="text1" w:themeTint="E6"/>
                </w:rPr>
                <w:fldChar w:fldCharType="begin"/>
              </w:r>
              <w:r w:rsidRPr="00B96CDE">
                <w:rPr>
                  <w:rFonts w:ascii="Calibri" w:hAnsi="Calibri"/>
                  <w:b w:val="0"/>
                  <w:color w:val="444644" w:themeColor="text1" w:themeTint="E6"/>
                </w:rPr>
                <w:instrText xml:space="preserve"> TOC \o "1-2" \t "TOC Heading,1,Heading Appendix,1" </w:instrText>
              </w:r>
              <w:r w:rsidRPr="00B96CDE">
                <w:rPr>
                  <w:rFonts w:ascii="Calibri" w:hAnsi="Calibri"/>
                  <w:b w:val="0"/>
                  <w:color w:val="444644" w:themeColor="text1" w:themeTint="E6"/>
                </w:rPr>
                <w:fldChar w:fldCharType="separate"/>
              </w:r>
              <w:r w:rsidR="005B5576" w:rsidRPr="005B5576">
                <w:rPr>
                  <w:bCs/>
                  <w:caps/>
                  <w:noProof/>
                </w:rPr>
                <w:t>Document Revision History</w:t>
              </w:r>
              <w:r w:rsidR="005B5576">
                <w:rPr>
                  <w:noProof/>
                </w:rPr>
                <w:tab/>
              </w:r>
              <w:r w:rsidR="005B5576">
                <w:rPr>
                  <w:noProof/>
                </w:rPr>
                <w:fldChar w:fldCharType="begin"/>
              </w:r>
              <w:r w:rsidR="005B5576">
                <w:rPr>
                  <w:noProof/>
                </w:rPr>
                <w:instrText xml:space="preserve"> PAGEREF _Toc372811739 \h </w:instrText>
              </w:r>
              <w:r w:rsidR="005B5576">
                <w:rPr>
                  <w:noProof/>
                </w:rPr>
              </w:r>
              <w:r w:rsidR="005B5576">
                <w:rPr>
                  <w:noProof/>
                </w:rPr>
                <w:fldChar w:fldCharType="separate"/>
              </w:r>
              <w:r w:rsidR="005B5576">
                <w:rPr>
                  <w:noProof/>
                </w:rPr>
                <w:t>i</w:t>
              </w:r>
              <w:r w:rsidR="005B5576">
                <w:rPr>
                  <w:noProof/>
                </w:rPr>
                <w:fldChar w:fldCharType="end"/>
              </w:r>
            </w:p>
            <w:p w14:paraId="02FA719E" w14:textId="77777777" w:rsidR="005B5576" w:rsidRDefault="005B5576">
              <w:pPr>
                <w:pStyle w:val="TOC1"/>
                <w:tabs>
                  <w:tab w:val="left" w:pos="438"/>
                  <w:tab w:val="right" w:leader="dot" w:pos="9350"/>
                </w:tabs>
                <w:rPr>
                  <w:b w:val="0"/>
                  <w:noProof/>
                  <w:lang w:eastAsia="ja-JP"/>
                </w:rPr>
              </w:pPr>
              <w:r>
                <w:rPr>
                  <w:noProof/>
                </w:rPr>
                <w:t>1.</w:t>
              </w:r>
              <w:r>
                <w:rPr>
                  <w:b w:val="0"/>
                  <w:noProof/>
                  <w:lang w:eastAsia="ja-JP"/>
                </w:rPr>
                <w:tab/>
              </w:r>
              <w:r>
                <w:rPr>
                  <w:noProof/>
                </w:rPr>
                <w:t>PURPOSE</w:t>
              </w:r>
              <w:r>
                <w:rPr>
                  <w:noProof/>
                </w:rPr>
                <w:tab/>
              </w:r>
              <w:r>
                <w:rPr>
                  <w:noProof/>
                </w:rPr>
                <w:fldChar w:fldCharType="begin"/>
              </w:r>
              <w:r>
                <w:rPr>
                  <w:noProof/>
                </w:rPr>
                <w:instrText xml:space="preserve"> PAGEREF _Toc372811743 \h </w:instrText>
              </w:r>
              <w:r>
                <w:rPr>
                  <w:noProof/>
                </w:rPr>
              </w:r>
              <w:r>
                <w:rPr>
                  <w:noProof/>
                </w:rPr>
                <w:fldChar w:fldCharType="separate"/>
              </w:r>
              <w:r>
                <w:rPr>
                  <w:noProof/>
                </w:rPr>
                <w:t>1</w:t>
              </w:r>
              <w:r>
                <w:rPr>
                  <w:noProof/>
                </w:rPr>
                <w:fldChar w:fldCharType="end"/>
              </w:r>
            </w:p>
            <w:p w14:paraId="5CE5742B" w14:textId="36626B44" w:rsidR="005B5576" w:rsidRDefault="005B5576">
              <w:pPr>
                <w:pStyle w:val="TOC1"/>
                <w:tabs>
                  <w:tab w:val="left" w:pos="438"/>
                  <w:tab w:val="right" w:leader="dot" w:pos="9350"/>
                </w:tabs>
                <w:rPr>
                  <w:b w:val="0"/>
                  <w:noProof/>
                  <w:lang w:eastAsia="ja-JP"/>
                </w:rPr>
              </w:pPr>
              <w:r>
                <w:rPr>
                  <w:noProof/>
                </w:rPr>
                <w:t>2.</w:t>
              </w:r>
              <w:r>
                <w:rPr>
                  <w:b w:val="0"/>
                  <w:noProof/>
                  <w:lang w:eastAsia="ja-JP"/>
                </w:rPr>
                <w:tab/>
              </w:r>
              <w:r w:rsidR="0004252C">
                <w:rPr>
                  <w:noProof/>
                </w:rPr>
                <w:t>CLOUD SERVICE</w:t>
              </w:r>
              <w:r>
                <w:rPr>
                  <w:noProof/>
                </w:rPr>
                <w:t xml:space="preserve"> PROVIDER REQUIREMENTS</w:t>
              </w:r>
              <w:r>
                <w:rPr>
                  <w:noProof/>
                </w:rPr>
                <w:tab/>
              </w:r>
              <w:r>
                <w:rPr>
                  <w:noProof/>
                </w:rPr>
                <w:fldChar w:fldCharType="begin"/>
              </w:r>
              <w:r>
                <w:rPr>
                  <w:noProof/>
                </w:rPr>
                <w:instrText xml:space="preserve"> PAGEREF _Toc372811744 \h </w:instrText>
              </w:r>
              <w:r>
                <w:rPr>
                  <w:noProof/>
                </w:rPr>
              </w:r>
              <w:r>
                <w:rPr>
                  <w:noProof/>
                </w:rPr>
                <w:fldChar w:fldCharType="separate"/>
              </w:r>
              <w:r>
                <w:rPr>
                  <w:noProof/>
                </w:rPr>
                <w:t>1</w:t>
              </w:r>
              <w:r>
                <w:rPr>
                  <w:noProof/>
                </w:rPr>
                <w:fldChar w:fldCharType="end"/>
              </w:r>
            </w:p>
            <w:p w14:paraId="69A6712F" w14:textId="77777777" w:rsidR="005B5576" w:rsidRDefault="005B5576">
              <w:pPr>
                <w:pStyle w:val="TOC1"/>
                <w:tabs>
                  <w:tab w:val="left" w:pos="438"/>
                  <w:tab w:val="right" w:leader="dot" w:pos="9350"/>
                </w:tabs>
                <w:rPr>
                  <w:b w:val="0"/>
                  <w:noProof/>
                  <w:lang w:eastAsia="ja-JP"/>
                </w:rPr>
              </w:pPr>
              <w:r>
                <w:rPr>
                  <w:noProof/>
                </w:rPr>
                <w:t>3.</w:t>
              </w:r>
              <w:r>
                <w:rPr>
                  <w:b w:val="0"/>
                  <w:noProof/>
                  <w:lang w:eastAsia="ja-JP"/>
                </w:rPr>
                <w:tab/>
              </w:r>
              <w:r>
                <w:rPr>
                  <w:noProof/>
                </w:rPr>
                <w:t>FedRAMP ACTIVITIES</w:t>
              </w:r>
              <w:r>
                <w:rPr>
                  <w:noProof/>
                </w:rPr>
                <w:tab/>
              </w:r>
              <w:r>
                <w:rPr>
                  <w:noProof/>
                </w:rPr>
                <w:fldChar w:fldCharType="begin"/>
              </w:r>
              <w:r>
                <w:rPr>
                  <w:noProof/>
                </w:rPr>
                <w:instrText xml:space="preserve"> PAGEREF _Toc372811745 \h </w:instrText>
              </w:r>
              <w:r>
                <w:rPr>
                  <w:noProof/>
                </w:rPr>
              </w:r>
              <w:r>
                <w:rPr>
                  <w:noProof/>
                </w:rPr>
                <w:fldChar w:fldCharType="separate"/>
              </w:r>
              <w:r>
                <w:rPr>
                  <w:noProof/>
                </w:rPr>
                <w:t>3</w:t>
              </w:r>
              <w:r>
                <w:rPr>
                  <w:noProof/>
                </w:rPr>
                <w:fldChar w:fldCharType="end"/>
              </w:r>
            </w:p>
            <w:p w14:paraId="31510792" w14:textId="31569950" w:rsidR="005B5576" w:rsidRDefault="005B5576">
              <w:pPr>
                <w:pStyle w:val="TOC1"/>
                <w:tabs>
                  <w:tab w:val="left" w:pos="438"/>
                  <w:tab w:val="right" w:leader="dot" w:pos="9350"/>
                </w:tabs>
                <w:rPr>
                  <w:b w:val="0"/>
                  <w:noProof/>
                  <w:lang w:eastAsia="ja-JP"/>
                </w:rPr>
              </w:pPr>
              <w:r>
                <w:rPr>
                  <w:noProof/>
                </w:rPr>
                <w:t>4.</w:t>
              </w:r>
              <w:r>
                <w:rPr>
                  <w:b w:val="0"/>
                  <w:noProof/>
                  <w:lang w:eastAsia="ja-JP"/>
                </w:rPr>
                <w:tab/>
              </w:r>
              <w:r>
                <w:rPr>
                  <w:noProof/>
                </w:rPr>
                <w:t>REMEDI</w:t>
              </w:r>
              <w:r w:rsidR="0004252C">
                <w:rPr>
                  <w:noProof/>
                </w:rPr>
                <w:t>A</w:t>
              </w:r>
              <w:r>
                <w:rPr>
                  <w:noProof/>
                </w:rPr>
                <w:t>TION</w:t>
              </w:r>
              <w:r>
                <w:rPr>
                  <w:noProof/>
                </w:rPr>
                <w:tab/>
              </w:r>
              <w:r>
                <w:rPr>
                  <w:noProof/>
                </w:rPr>
                <w:fldChar w:fldCharType="begin"/>
              </w:r>
              <w:r>
                <w:rPr>
                  <w:noProof/>
                </w:rPr>
                <w:instrText xml:space="preserve"> PAGEREF _Toc372811746 \h </w:instrText>
              </w:r>
              <w:r>
                <w:rPr>
                  <w:noProof/>
                </w:rPr>
              </w:r>
              <w:r>
                <w:rPr>
                  <w:noProof/>
                </w:rPr>
                <w:fldChar w:fldCharType="separate"/>
              </w:r>
              <w:r>
                <w:rPr>
                  <w:noProof/>
                </w:rPr>
                <w:t>3</w:t>
              </w:r>
              <w:r>
                <w:rPr>
                  <w:noProof/>
                </w:rPr>
                <w:fldChar w:fldCharType="end"/>
              </w:r>
            </w:p>
            <w:p w14:paraId="0C9C2A4F" w14:textId="77777777" w:rsidR="005B5576" w:rsidRDefault="005B5576">
              <w:pPr>
                <w:pStyle w:val="TOC1"/>
                <w:tabs>
                  <w:tab w:val="left" w:pos="1577"/>
                  <w:tab w:val="right" w:leader="dot" w:pos="9350"/>
                </w:tabs>
                <w:rPr>
                  <w:b w:val="0"/>
                  <w:noProof/>
                  <w:lang w:eastAsia="ja-JP"/>
                </w:rPr>
              </w:pPr>
              <w:r>
                <w:rPr>
                  <w:noProof/>
                </w:rPr>
                <w:t>Appendix A:</w:t>
              </w:r>
              <w:r>
                <w:rPr>
                  <w:b w:val="0"/>
                  <w:noProof/>
                  <w:lang w:eastAsia="ja-JP"/>
                </w:rPr>
                <w:tab/>
              </w:r>
              <w:r>
                <w:rPr>
                  <w:noProof/>
                </w:rPr>
                <w:t>F</w:t>
              </w:r>
              <w:r w:rsidRPr="008A7AE6">
                <w:rPr>
                  <w:bCs/>
                  <w:noProof/>
                </w:rPr>
                <w:t>ed</w:t>
              </w:r>
              <w:r>
                <w:rPr>
                  <w:noProof/>
                </w:rPr>
                <w:t>RAMP ACRONYMS</w:t>
              </w:r>
              <w:r>
                <w:rPr>
                  <w:noProof/>
                </w:rPr>
                <w:tab/>
              </w:r>
              <w:r>
                <w:rPr>
                  <w:noProof/>
                </w:rPr>
                <w:fldChar w:fldCharType="begin"/>
              </w:r>
              <w:r>
                <w:rPr>
                  <w:noProof/>
                </w:rPr>
                <w:instrText xml:space="preserve"> PAGEREF _Toc372811747 \h </w:instrText>
              </w:r>
              <w:r>
                <w:rPr>
                  <w:noProof/>
                </w:rPr>
              </w:r>
              <w:r>
                <w:rPr>
                  <w:noProof/>
                </w:rPr>
                <w:fldChar w:fldCharType="separate"/>
              </w:r>
              <w:r>
                <w:rPr>
                  <w:noProof/>
                </w:rPr>
                <w:t>4</w:t>
              </w:r>
              <w:r>
                <w:rPr>
                  <w:noProof/>
                </w:rPr>
                <w:fldChar w:fldCharType="end"/>
              </w:r>
            </w:p>
            <w:p w14:paraId="2260E6C6" w14:textId="4722339F" w:rsidR="006619DC" w:rsidRDefault="00532688" w:rsidP="00A27975">
              <w:pPr>
                <w:pStyle w:val="TOC2"/>
                <w:tabs>
                  <w:tab w:val="left" w:pos="843"/>
                  <w:tab w:val="right" w:leader="dot" w:pos="9350"/>
                </w:tabs>
                <w:ind w:left="270"/>
              </w:pPr>
              <w:r w:rsidRPr="00B96CDE">
                <w:rPr>
                  <w:rFonts w:ascii="Calibri" w:hAnsi="Calibri"/>
                  <w:b w:val="0"/>
                  <w:color w:val="444644" w:themeColor="text1" w:themeTint="E6"/>
                  <w:sz w:val="24"/>
                  <w:szCs w:val="24"/>
                </w:rPr>
                <w:fldChar w:fldCharType="end"/>
              </w:r>
            </w:p>
          </w:sdtContent>
        </w:sdt>
        <w:p w14:paraId="2553ED8F" w14:textId="5DB570B5" w:rsidR="008151E9" w:rsidRDefault="000A67E4" w:rsidP="008151E9">
          <w:pPr>
            <w:rPr>
              <w:color w:val="646564" w:themeColor="text1" w:themeTint="BF"/>
            </w:rPr>
            <w:sectPr w:rsidR="008151E9" w:rsidSect="00307A60">
              <w:headerReference w:type="default" r:id="rId13"/>
              <w:footerReference w:type="default" r:id="rId14"/>
              <w:pgSz w:w="12240" w:h="15840" w:code="1"/>
              <w:pgMar w:top="1944" w:right="1440" w:bottom="1728" w:left="1440" w:header="504" w:footer="504" w:gutter="0"/>
              <w:pgNumType w:fmt="lowerRoman" w:start="1"/>
              <w:cols w:space="720"/>
              <w:docGrid w:linePitch="360"/>
            </w:sectPr>
          </w:pPr>
        </w:p>
      </w:sdtContent>
    </w:sdt>
    <w:p w14:paraId="4764CB8B" w14:textId="77777777" w:rsidR="001C13F5" w:rsidRPr="00612BE4" w:rsidRDefault="001C13F5" w:rsidP="003F689F">
      <w:pPr>
        <w:pStyle w:val="Heading1"/>
      </w:pPr>
      <w:bookmarkStart w:id="11" w:name="_Toc371933995"/>
      <w:bookmarkStart w:id="12" w:name="_Toc372811743"/>
      <w:bookmarkStart w:id="13" w:name="_Toc495396141"/>
      <w:bookmarkStart w:id="14" w:name="_Toc495396142"/>
      <w:bookmarkEnd w:id="0"/>
      <w:r>
        <w:lastRenderedPageBreak/>
        <w:t>PURPOSE</w:t>
      </w:r>
      <w:bookmarkEnd w:id="11"/>
      <w:bookmarkEnd w:id="12"/>
    </w:p>
    <w:p w14:paraId="21936B4A" w14:textId="78B9D0F6" w:rsidR="00DF785A" w:rsidRPr="000A67E4" w:rsidRDefault="00DF785A" w:rsidP="00DF785A">
      <w:pPr>
        <w:rPr>
          <w:color w:val="313231" w:themeColor="text1"/>
          <w:szCs w:val="24"/>
        </w:rPr>
      </w:pPr>
      <w:bookmarkStart w:id="15" w:name="_Toc371933996"/>
      <w:r w:rsidRPr="000A67E4">
        <w:rPr>
          <w:color w:val="313231" w:themeColor="text1"/>
          <w:szCs w:val="24"/>
        </w:rPr>
        <w:t xml:space="preserve">This guide describes the requirements for all vulnerability scans of </w:t>
      </w:r>
      <w:proofErr w:type="spellStart"/>
      <w:r w:rsidRPr="000A67E4">
        <w:rPr>
          <w:color w:val="313231" w:themeColor="text1"/>
          <w:szCs w:val="24"/>
        </w:rPr>
        <w:t>FedRAMP</w:t>
      </w:r>
      <w:proofErr w:type="spellEnd"/>
      <w:r w:rsidRPr="000A67E4">
        <w:rPr>
          <w:color w:val="313231" w:themeColor="text1"/>
          <w:szCs w:val="24"/>
        </w:rPr>
        <w:t xml:space="preserve"> Cloud Service Provider’s (CSP) systems for Joint Authorization Board (JAB) Provisional Authorizations (P- ATOs).</w:t>
      </w:r>
    </w:p>
    <w:p w14:paraId="6939AC8F" w14:textId="0CB5DE07" w:rsidR="001C13F5" w:rsidRPr="00612BE4" w:rsidRDefault="0004252C" w:rsidP="003F689F">
      <w:pPr>
        <w:pStyle w:val="Heading1"/>
      </w:pPr>
      <w:bookmarkStart w:id="16" w:name="_Toc372811744"/>
      <w:bookmarkEnd w:id="15"/>
      <w:r>
        <w:t>CLOUD SERVICE</w:t>
      </w:r>
      <w:r w:rsidR="00707BB7">
        <w:t xml:space="preserve"> PROVIDER REQUIREMENTS</w:t>
      </w:r>
      <w:bookmarkEnd w:id="16"/>
    </w:p>
    <w:bookmarkEnd w:id="13"/>
    <w:p w14:paraId="70FFBC58" w14:textId="77777777" w:rsidR="00DF785A" w:rsidRPr="000A67E4" w:rsidRDefault="00DF785A" w:rsidP="00DF785A">
      <w:pPr>
        <w:rPr>
          <w:color w:val="313231" w:themeColor="text1"/>
          <w:szCs w:val="24"/>
        </w:rPr>
      </w:pPr>
      <w:r w:rsidRPr="000A67E4">
        <w:rPr>
          <w:color w:val="313231" w:themeColor="text1"/>
          <w:szCs w:val="24"/>
        </w:rPr>
        <w:t xml:space="preserve">CSPs are required to perform vulnerability scanning of their information systems monthly (at a minimum). Each CSP is responsible for the delivery of the results of </w:t>
      </w:r>
      <w:proofErr w:type="gramStart"/>
      <w:r w:rsidRPr="000A67E4">
        <w:rPr>
          <w:color w:val="313231" w:themeColor="text1"/>
          <w:szCs w:val="24"/>
        </w:rPr>
        <w:t>these</w:t>
      </w:r>
      <w:proofErr w:type="gramEnd"/>
      <w:r w:rsidRPr="000A67E4">
        <w:rPr>
          <w:color w:val="313231" w:themeColor="text1"/>
          <w:szCs w:val="24"/>
        </w:rPr>
        <w:t xml:space="preserve"> vulnerability scans to their authorization official in a timely manner. These vulnerability scans are the cornerstone for the continuous monitoring of a CSP’s risk posture, enabling authorization officials to continue to authorize a CSP system for use.</w:t>
      </w:r>
    </w:p>
    <w:p w14:paraId="1DE97581" w14:textId="77777777" w:rsidR="00DF785A" w:rsidRPr="000A67E4" w:rsidRDefault="00DF785A" w:rsidP="00DF785A">
      <w:pPr>
        <w:rPr>
          <w:color w:val="313231" w:themeColor="text1"/>
          <w:szCs w:val="24"/>
        </w:rPr>
      </w:pPr>
      <w:r w:rsidRPr="000A67E4">
        <w:rPr>
          <w:color w:val="313231" w:themeColor="text1"/>
          <w:spacing w:val="-2"/>
          <w:szCs w:val="24"/>
        </w:rPr>
        <w:t>Each CSP must identify and use vulnerability assessment tools within their security control implementations approved by the JAB through the P-ATO</w:t>
      </w:r>
      <w:r w:rsidRPr="000A67E4">
        <w:rPr>
          <w:color w:val="313231" w:themeColor="text1"/>
          <w:szCs w:val="24"/>
        </w:rPr>
        <w:t>. These include:</w:t>
      </w:r>
    </w:p>
    <w:p w14:paraId="204DA151" w14:textId="77777777" w:rsidR="00DF785A" w:rsidRPr="000A67E4" w:rsidRDefault="00DF785A" w:rsidP="00DF785A">
      <w:pPr>
        <w:pStyle w:val="ListParagraph"/>
        <w:numPr>
          <w:ilvl w:val="0"/>
          <w:numId w:val="21"/>
        </w:numPr>
        <w:ind w:left="1080"/>
        <w:rPr>
          <w:color w:val="313231" w:themeColor="text1"/>
          <w:szCs w:val="24"/>
        </w:rPr>
      </w:pPr>
      <w:r w:rsidRPr="000A67E4">
        <w:rPr>
          <w:color w:val="313231" w:themeColor="text1"/>
          <w:szCs w:val="24"/>
        </w:rPr>
        <w:t>Operating system and network vulnerability scanners</w:t>
      </w:r>
    </w:p>
    <w:p w14:paraId="5D3276E4" w14:textId="77777777" w:rsidR="00DF785A" w:rsidRPr="000A67E4" w:rsidRDefault="00DF785A" w:rsidP="00DF785A">
      <w:pPr>
        <w:pStyle w:val="ListParagraph"/>
        <w:numPr>
          <w:ilvl w:val="0"/>
          <w:numId w:val="21"/>
        </w:numPr>
        <w:ind w:left="1080"/>
        <w:rPr>
          <w:color w:val="313231" w:themeColor="text1"/>
          <w:szCs w:val="24"/>
        </w:rPr>
      </w:pPr>
      <w:r w:rsidRPr="000A67E4">
        <w:rPr>
          <w:color w:val="313231" w:themeColor="text1"/>
          <w:szCs w:val="24"/>
        </w:rPr>
        <w:t>Database vulnerability scanners</w:t>
      </w:r>
    </w:p>
    <w:p w14:paraId="7407FA31" w14:textId="4766A544" w:rsidR="00DF785A" w:rsidRPr="000A67E4" w:rsidRDefault="00DF785A" w:rsidP="00DF785A">
      <w:pPr>
        <w:pStyle w:val="ListParagraph"/>
        <w:numPr>
          <w:ilvl w:val="0"/>
          <w:numId w:val="21"/>
        </w:numPr>
        <w:ind w:left="1080"/>
        <w:rPr>
          <w:color w:val="313231" w:themeColor="text1"/>
          <w:szCs w:val="24"/>
        </w:rPr>
      </w:pPr>
      <w:r w:rsidRPr="000A67E4">
        <w:rPr>
          <w:color w:val="313231" w:themeColor="text1"/>
          <w:szCs w:val="24"/>
        </w:rPr>
        <w:t>Web application vulnerability scanners</w:t>
      </w:r>
      <w:r w:rsidRPr="000A67E4">
        <w:rPr>
          <w:color w:val="313231" w:themeColor="text1"/>
          <w:szCs w:val="24"/>
        </w:rPr>
        <w:br/>
      </w:r>
    </w:p>
    <w:p w14:paraId="7116232F" w14:textId="77777777" w:rsidR="00DF785A" w:rsidRPr="000A67E4" w:rsidRDefault="00DF785A" w:rsidP="00DF785A">
      <w:pPr>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security authorization requirements specify that initial vulnerability scans for the P- ATO shall be performed by a Third Party Assessment Organization (3PAO), to provide independent validation of the scan results. CSPs must use the same tools for continuous monitoring as were used by the 3PAO for the P-ATO process. In some circumstances, CSPs may request changes to these tools. However, continued use of the previous tools must continue until all identified vulnerabilities from the original tools have been mitigated. The length of overlap is dependent on the CSP correcting the remaining vulnerabilities.</w:t>
      </w:r>
    </w:p>
    <w:p w14:paraId="7950A5CD" w14:textId="77777777" w:rsidR="00DF785A" w:rsidRPr="000A67E4" w:rsidRDefault="00DF785A" w:rsidP="00DF785A">
      <w:pPr>
        <w:rPr>
          <w:color w:val="313231" w:themeColor="text1"/>
          <w:szCs w:val="24"/>
        </w:rPr>
      </w:pPr>
      <w:r w:rsidRPr="000A67E4">
        <w:rPr>
          <w:color w:val="313231" w:themeColor="text1"/>
          <w:szCs w:val="24"/>
        </w:rPr>
        <w:t xml:space="preserve">To ensure </w:t>
      </w:r>
      <w:proofErr w:type="spellStart"/>
      <w:r w:rsidRPr="000A67E4">
        <w:rPr>
          <w:color w:val="313231" w:themeColor="text1"/>
          <w:szCs w:val="24"/>
        </w:rPr>
        <w:t>FedRAMP</w:t>
      </w:r>
      <w:proofErr w:type="spellEnd"/>
      <w:r w:rsidRPr="000A67E4">
        <w:rPr>
          <w:color w:val="313231" w:themeColor="text1"/>
          <w:szCs w:val="24"/>
        </w:rPr>
        <w:t xml:space="preserve"> has all of the required information to perform the vulnerability analysis, the CSP must submit the following information:</w:t>
      </w:r>
    </w:p>
    <w:p w14:paraId="25F5A0AF" w14:textId="77777777" w:rsidR="00DF785A" w:rsidRPr="000A67E4" w:rsidRDefault="00DF785A" w:rsidP="00DF785A">
      <w:pPr>
        <w:pStyle w:val="ListParagraph"/>
        <w:widowControl w:val="0"/>
        <w:numPr>
          <w:ilvl w:val="1"/>
          <w:numId w:val="22"/>
        </w:numPr>
        <w:tabs>
          <w:tab w:val="left" w:pos="819"/>
          <w:tab w:val="left" w:pos="820"/>
        </w:tabs>
        <w:spacing w:before="156"/>
        <w:ind w:left="1080"/>
        <w:rPr>
          <w:color w:val="313231" w:themeColor="text1"/>
          <w:szCs w:val="24"/>
        </w:rPr>
      </w:pPr>
      <w:r w:rsidRPr="000A67E4">
        <w:rPr>
          <w:color w:val="313231" w:themeColor="text1"/>
          <w:szCs w:val="24"/>
        </w:rPr>
        <w:t>Vulnerability scan data</w:t>
      </w:r>
    </w:p>
    <w:p w14:paraId="5B22331D" w14:textId="77777777" w:rsidR="00DF785A" w:rsidRPr="000A67E4" w:rsidRDefault="00DF785A" w:rsidP="00DF785A">
      <w:pPr>
        <w:pStyle w:val="ListParagraph"/>
        <w:widowControl w:val="0"/>
        <w:numPr>
          <w:ilvl w:val="2"/>
          <w:numId w:val="24"/>
        </w:numPr>
        <w:spacing w:before="25"/>
        <w:rPr>
          <w:color w:val="313231" w:themeColor="text1"/>
          <w:spacing w:val="-2"/>
          <w:szCs w:val="24"/>
        </w:rPr>
      </w:pPr>
      <w:r w:rsidRPr="000A67E4">
        <w:rPr>
          <w:color w:val="313231" w:themeColor="text1"/>
          <w:spacing w:val="-2"/>
          <w:szCs w:val="24"/>
        </w:rPr>
        <w:t>Raw scan files (native scanner files – usually some form of XML, CSV, or structured data format).</w:t>
      </w:r>
    </w:p>
    <w:p w14:paraId="4A0FBBB2" w14:textId="77777777" w:rsidR="00DF785A" w:rsidRPr="000A67E4" w:rsidRDefault="00DF785A" w:rsidP="00DF785A">
      <w:pPr>
        <w:pStyle w:val="ListParagraph"/>
        <w:widowControl w:val="0"/>
        <w:numPr>
          <w:ilvl w:val="2"/>
          <w:numId w:val="24"/>
        </w:numPr>
        <w:spacing w:before="21" w:line="249" w:lineRule="auto"/>
        <w:rPr>
          <w:color w:val="313231" w:themeColor="text1"/>
          <w:szCs w:val="24"/>
        </w:rPr>
      </w:pPr>
      <w:r w:rsidRPr="000A67E4">
        <w:rPr>
          <w:color w:val="313231" w:themeColor="text1"/>
          <w:szCs w:val="24"/>
        </w:rPr>
        <w:t>Exported summary reports (PDF, MS Word, or other readable documents). Summary reports should include Executive Summary, Detailed Summary, and Inventory Report. Actual reporting capabilities may vary by tool.</w:t>
      </w:r>
    </w:p>
    <w:p w14:paraId="5B8F1BC1" w14:textId="1E430346" w:rsidR="00922AAE" w:rsidRPr="000A67E4" w:rsidRDefault="00DF785A" w:rsidP="00922AAE">
      <w:pPr>
        <w:pStyle w:val="ListParagraph"/>
        <w:widowControl w:val="0"/>
        <w:numPr>
          <w:ilvl w:val="1"/>
          <w:numId w:val="25"/>
        </w:numPr>
        <w:tabs>
          <w:tab w:val="left" w:pos="819"/>
          <w:tab w:val="left" w:pos="820"/>
        </w:tabs>
        <w:spacing w:before="156"/>
        <w:ind w:left="1080"/>
        <w:rPr>
          <w:color w:val="313231" w:themeColor="text1"/>
          <w:sz w:val="22"/>
        </w:rPr>
      </w:pPr>
      <w:r w:rsidRPr="000A67E4">
        <w:rPr>
          <w:color w:val="313231" w:themeColor="text1"/>
          <w:szCs w:val="24"/>
        </w:rPr>
        <w:t xml:space="preserve">Current and accurate system inventory. CSPs shall deliver a current system inventory identifying the components of the information system within the authorization boundary. The inventory must be complete and contain all boundary components. </w:t>
      </w:r>
      <w:r w:rsidRPr="000A67E4">
        <w:rPr>
          <w:color w:val="313231" w:themeColor="text1"/>
          <w:szCs w:val="24"/>
        </w:rPr>
        <w:lastRenderedPageBreak/>
        <w:t xml:space="preserve">The system inventory must be delivered in a machine-readable format (XLS, CSV, XML). It is critical that the vulnerability scans and the provided system inventory is machine </w:t>
      </w:r>
      <w:proofErr w:type="spellStart"/>
      <w:r w:rsidRPr="000A67E4">
        <w:rPr>
          <w:color w:val="313231" w:themeColor="text1"/>
          <w:szCs w:val="24"/>
        </w:rPr>
        <w:t>matchable</w:t>
      </w:r>
      <w:proofErr w:type="spellEnd"/>
      <w:r w:rsidRPr="000A67E4">
        <w:rPr>
          <w:color w:val="313231" w:themeColor="text1"/>
          <w:szCs w:val="24"/>
        </w:rPr>
        <w:t xml:space="preserve"> (IP addresses, system names, or other unique identifiers). Vulnerability scans and inventories that cannot be matched will by rejected by the PMO.</w:t>
      </w:r>
      <w:r w:rsidR="00922AAE" w:rsidRPr="000A67E4">
        <w:rPr>
          <w:color w:val="313231" w:themeColor="text1"/>
          <w:sz w:val="22"/>
        </w:rPr>
        <w:br/>
      </w:r>
    </w:p>
    <w:p w14:paraId="212FCBDD" w14:textId="77777777" w:rsidR="00DF785A" w:rsidRPr="000A67E4" w:rsidRDefault="00DF785A" w:rsidP="00DF785A">
      <w:pPr>
        <w:rPr>
          <w:color w:val="313231" w:themeColor="text1"/>
          <w:szCs w:val="24"/>
        </w:rPr>
      </w:pPr>
      <w:r w:rsidRPr="000A67E4">
        <w:rPr>
          <w:color w:val="313231" w:themeColor="text1"/>
          <w:szCs w:val="24"/>
        </w:rPr>
        <w:t xml:space="preserve">CSPs are also responsible for ensuring the highest quality vulnerability scans. Below is a list of requirements to ensure the quality of the scanning is acceptable for the </w:t>
      </w:r>
      <w:proofErr w:type="spellStart"/>
      <w:r w:rsidRPr="000A67E4">
        <w:rPr>
          <w:color w:val="313231" w:themeColor="text1"/>
          <w:szCs w:val="24"/>
        </w:rPr>
        <w:t>FedRAMP</w:t>
      </w:r>
      <w:proofErr w:type="spellEnd"/>
      <w:r w:rsidRPr="000A67E4">
        <w:rPr>
          <w:color w:val="313231" w:themeColor="text1"/>
          <w:szCs w:val="24"/>
        </w:rPr>
        <w:t xml:space="preserve"> program.</w:t>
      </w:r>
    </w:p>
    <w:p w14:paraId="41AC90C3" w14:textId="77777777" w:rsidR="00DF785A" w:rsidRPr="000A67E4" w:rsidRDefault="00DF785A" w:rsidP="00DF785A">
      <w:pPr>
        <w:pStyle w:val="ListParagraph"/>
        <w:widowControl w:val="0"/>
        <w:numPr>
          <w:ilvl w:val="1"/>
          <w:numId w:val="26"/>
        </w:numPr>
        <w:tabs>
          <w:tab w:val="left" w:pos="819"/>
          <w:tab w:val="left" w:pos="820"/>
        </w:tabs>
        <w:spacing w:before="156" w:after="120"/>
        <w:ind w:left="1080"/>
        <w:rPr>
          <w:color w:val="313231" w:themeColor="text1"/>
          <w:spacing w:val="-2"/>
          <w:szCs w:val="24"/>
        </w:rPr>
      </w:pPr>
      <w:r w:rsidRPr="000A67E4">
        <w:rPr>
          <w:b/>
          <w:color w:val="313231" w:themeColor="text1"/>
          <w:spacing w:val="-2"/>
          <w:szCs w:val="24"/>
        </w:rPr>
        <w:t>Authenticated/Credentialed Scans</w:t>
      </w:r>
      <w:r w:rsidRPr="000A67E4">
        <w:rPr>
          <w:color w:val="313231" w:themeColor="text1"/>
          <w:spacing w:val="-2"/>
          <w:szCs w:val="24"/>
        </w:rPr>
        <w:t>: Vulnerability scans must be performed using system credentials that allow full access to the systems.  Scanners must have the ability to perform in-depth vulnerability scanning of all systems (where applicable). Systems scanned without credentials provide limited or no results of the risks. All unauthenticated scans will be rejected unless an exception has been previously granted due to applicability or technical considerations.</w:t>
      </w:r>
    </w:p>
    <w:p w14:paraId="143A5A84" w14:textId="77777777" w:rsidR="00DF785A" w:rsidRPr="000A67E4" w:rsidRDefault="00DF785A" w:rsidP="00DF785A">
      <w:pPr>
        <w:pStyle w:val="ListParagraph"/>
        <w:widowControl w:val="0"/>
        <w:numPr>
          <w:ilvl w:val="1"/>
          <w:numId w:val="27"/>
        </w:numPr>
        <w:tabs>
          <w:tab w:val="left" w:pos="819"/>
          <w:tab w:val="left" w:pos="820"/>
        </w:tabs>
        <w:spacing w:before="0" w:after="120"/>
        <w:ind w:left="1080"/>
        <w:rPr>
          <w:color w:val="313231" w:themeColor="text1"/>
          <w:szCs w:val="24"/>
        </w:rPr>
      </w:pPr>
      <w:r w:rsidRPr="000A67E4">
        <w:rPr>
          <w:b/>
          <w:color w:val="313231" w:themeColor="text1"/>
          <w:szCs w:val="24"/>
        </w:rPr>
        <w:t>Enable all Non-destructive Plug-ins</w:t>
      </w:r>
      <w:r w:rsidRPr="000A67E4">
        <w:rPr>
          <w:color w:val="313231" w:themeColor="text1"/>
          <w:szCs w:val="24"/>
        </w:rPr>
        <w:t>: To ensure all vulnerabilities are discovered, the scanner must be configured to scan for all non-destructive findings. Any vulnerability scans where plug-ins are limited or excluded will be rejected. Exceptions may occur based on specific requests from the government for re-scans or targeted scans. These scans must comply with the directions provided by the government.</w:t>
      </w:r>
    </w:p>
    <w:p w14:paraId="1DAF2CFB" w14:textId="77777777" w:rsidR="00DF785A" w:rsidRPr="000A67E4" w:rsidRDefault="00DF785A" w:rsidP="00DF785A">
      <w:pPr>
        <w:pStyle w:val="ListParagraph"/>
        <w:widowControl w:val="0"/>
        <w:numPr>
          <w:ilvl w:val="1"/>
          <w:numId w:val="27"/>
        </w:numPr>
        <w:tabs>
          <w:tab w:val="left" w:pos="819"/>
          <w:tab w:val="left" w:pos="820"/>
        </w:tabs>
        <w:spacing w:before="0" w:after="120"/>
        <w:ind w:left="1080"/>
        <w:rPr>
          <w:color w:val="313231" w:themeColor="text1"/>
          <w:szCs w:val="24"/>
        </w:rPr>
      </w:pPr>
      <w:r w:rsidRPr="000A67E4">
        <w:rPr>
          <w:b/>
          <w:color w:val="313231" w:themeColor="text1"/>
          <w:szCs w:val="24"/>
        </w:rPr>
        <w:t>Full System Boundary Scanning</w:t>
      </w:r>
      <w:r w:rsidRPr="000A67E4">
        <w:rPr>
          <w:color w:val="313231" w:themeColor="text1"/>
          <w:szCs w:val="24"/>
        </w:rPr>
        <w:t xml:space="preserve">: Each scan must include all components within the system boundary. Reduced number of components or missing categories will result in rejected scans. In some cases, sampling is acceptable; however this sampling must be approved as a part of the initial Security Assessment Plan for P-ATO, and approved as a part of the Continuous Monitoring Plan at the time of P-ATO. Sampling must include a complete and comprehensive representative sample of the information system components. This includes scanning multiple components of the same category in addition to scanning all component categories. (Note: sample scanning is approved based on the ability to prove the component categories are identically configured. These categories must be maintained through configuration management and all components must be similarly configured. Discovery of </w:t>
      </w:r>
      <w:proofErr w:type="spellStart"/>
      <w:r w:rsidRPr="000A67E4">
        <w:rPr>
          <w:color w:val="313231" w:themeColor="text1"/>
          <w:szCs w:val="24"/>
        </w:rPr>
        <w:t>mis</w:t>
      </w:r>
      <w:proofErr w:type="spellEnd"/>
      <w:r w:rsidRPr="000A67E4">
        <w:rPr>
          <w:color w:val="313231" w:themeColor="text1"/>
          <w:szCs w:val="24"/>
        </w:rPr>
        <w:t>-configured items may result in the revocation of sampling and require future scans to be comprehensive, including all system components).</w:t>
      </w:r>
    </w:p>
    <w:p w14:paraId="645D6768" w14:textId="77777777" w:rsidR="00DF785A" w:rsidRPr="000A67E4" w:rsidRDefault="00DF785A" w:rsidP="00DF785A">
      <w:pPr>
        <w:pStyle w:val="ListParagraph"/>
        <w:widowControl w:val="0"/>
        <w:numPr>
          <w:ilvl w:val="1"/>
          <w:numId w:val="27"/>
        </w:numPr>
        <w:tabs>
          <w:tab w:val="left" w:pos="819"/>
          <w:tab w:val="left" w:pos="820"/>
        </w:tabs>
        <w:spacing w:before="0" w:after="120"/>
        <w:ind w:left="1080"/>
        <w:rPr>
          <w:color w:val="313231" w:themeColor="text1"/>
          <w:szCs w:val="24"/>
        </w:rPr>
      </w:pPr>
      <w:r w:rsidRPr="000A67E4">
        <w:rPr>
          <w:b/>
          <w:color w:val="313231" w:themeColor="text1"/>
          <w:szCs w:val="24"/>
        </w:rPr>
        <w:t xml:space="preserve">Scanner Signatures Up to Date: </w:t>
      </w:r>
      <w:r w:rsidRPr="000A67E4">
        <w:rPr>
          <w:color w:val="313231" w:themeColor="text1"/>
          <w:szCs w:val="24"/>
        </w:rPr>
        <w:t>CSPs must ensure that the vulnerability scanner used is up to date and includes the latest versions of the vulnerability signatures. Before scanning, each scanner must be updated to reflect the latest version of the scan engine as well as the signature files.</w:t>
      </w:r>
    </w:p>
    <w:p w14:paraId="6E54F2E5" w14:textId="77777777" w:rsidR="00DF785A" w:rsidRPr="000A67E4" w:rsidRDefault="00DF785A" w:rsidP="00DF785A">
      <w:pPr>
        <w:pStyle w:val="ListParagraph"/>
        <w:widowControl w:val="0"/>
        <w:numPr>
          <w:ilvl w:val="1"/>
          <w:numId w:val="27"/>
        </w:numPr>
        <w:tabs>
          <w:tab w:val="left" w:pos="819"/>
          <w:tab w:val="left" w:pos="820"/>
        </w:tabs>
        <w:spacing w:before="0" w:after="120"/>
        <w:ind w:left="1080"/>
        <w:rPr>
          <w:color w:val="313231" w:themeColor="text1"/>
          <w:szCs w:val="24"/>
        </w:rPr>
      </w:pPr>
      <w:r w:rsidRPr="000A67E4">
        <w:rPr>
          <w:b/>
          <w:color w:val="313231" w:themeColor="text1"/>
          <w:spacing w:val="3"/>
          <w:szCs w:val="24"/>
        </w:rPr>
        <w:t xml:space="preserve">Provide Summary of Scanning: </w:t>
      </w:r>
      <w:r w:rsidRPr="000A67E4">
        <w:rPr>
          <w:color w:val="313231" w:themeColor="text1"/>
          <w:spacing w:val="3"/>
          <w:szCs w:val="24"/>
        </w:rPr>
        <w:t xml:space="preserve">Each scan submission must be accompanied by a summary of the scanning performed. The summary must include a listing of all the scan files submitted, which scanning tools were used, and a short summary of the purpose of the scan (e.g. monthly scans, re-scans, verification scans, etc.). </w:t>
      </w:r>
      <w:r w:rsidRPr="000A67E4">
        <w:rPr>
          <w:color w:val="313231" w:themeColor="text1"/>
          <w:szCs w:val="24"/>
        </w:rPr>
        <w:t xml:space="preserve">In addition, the summary should discuss the configuration settings of the scanner, </w:t>
      </w:r>
      <w:r w:rsidRPr="000A67E4">
        <w:rPr>
          <w:color w:val="313231" w:themeColor="text1"/>
          <w:szCs w:val="24"/>
        </w:rPr>
        <w:lastRenderedPageBreak/>
        <w:t>including whether the signatures were limited for targeted, verification scans or if the scope of the scans excluded certain components or IP addresses. IP address ranges and/or a description of the targets are required.</w:t>
      </w:r>
    </w:p>
    <w:p w14:paraId="4BF72D88" w14:textId="70EAE6D5" w:rsidR="00DF785A" w:rsidRPr="000A67E4" w:rsidRDefault="00DF785A" w:rsidP="00DF785A">
      <w:pPr>
        <w:pStyle w:val="ListParagraph"/>
        <w:widowControl w:val="0"/>
        <w:numPr>
          <w:ilvl w:val="1"/>
          <w:numId w:val="27"/>
        </w:numPr>
        <w:tabs>
          <w:tab w:val="left" w:pos="819"/>
          <w:tab w:val="left" w:pos="820"/>
        </w:tabs>
        <w:spacing w:before="0"/>
        <w:ind w:left="1080"/>
        <w:rPr>
          <w:color w:val="313231" w:themeColor="text1"/>
          <w:sz w:val="22"/>
        </w:rPr>
      </w:pPr>
      <w:r w:rsidRPr="000A67E4">
        <w:rPr>
          <w:b/>
          <w:color w:val="313231" w:themeColor="text1"/>
          <w:szCs w:val="24"/>
        </w:rPr>
        <w:t xml:space="preserve">“POA&amp;M” All Findings: </w:t>
      </w:r>
      <w:r w:rsidRPr="000A67E4">
        <w:rPr>
          <w:color w:val="313231" w:themeColor="text1"/>
          <w:szCs w:val="24"/>
        </w:rPr>
        <w:t>Findings within the scans must be addressed in a Plan of Action and Milestones (POA&amp;M) or other risk acceptance requests and maintained until the vulnerabilities have been remediated and validated. Additional details on the POA&amp;M requirements can be found in the POA&amp;M Template User Guide on FedRAMP.gov website.</w:t>
      </w:r>
    </w:p>
    <w:p w14:paraId="00C8D74F" w14:textId="6AE2A6E6" w:rsidR="00DF785A" w:rsidRPr="00612BE4" w:rsidRDefault="00DF785A" w:rsidP="003F689F">
      <w:pPr>
        <w:pStyle w:val="Heading1"/>
      </w:pPr>
      <w:bookmarkStart w:id="17" w:name="_Toc372811745"/>
      <w:r>
        <w:t>FedRAMP ACTIVITIES</w:t>
      </w:r>
      <w:bookmarkEnd w:id="17"/>
    </w:p>
    <w:p w14:paraId="7EF855B1" w14:textId="77777777" w:rsidR="00DF785A" w:rsidRPr="000A67E4" w:rsidRDefault="00DF785A" w:rsidP="00DF785A">
      <w:pPr>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evaluates all vulnerability scans submitted and provides a summary report to the JAB. In addition, agencies looking to leverage a CSP will also have access to the most recent risk posture information, including the continuous monitoring reports and POA&amp;M.</w:t>
      </w:r>
    </w:p>
    <w:p w14:paraId="17FC5C1E" w14:textId="7EA67588" w:rsidR="00DF785A" w:rsidRPr="000A67E4" w:rsidRDefault="00DF785A" w:rsidP="00DF785A">
      <w:pPr>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CSPs can be complex and </w:t>
      </w:r>
      <w:proofErr w:type="gramStart"/>
      <w:r w:rsidRPr="000A67E4">
        <w:rPr>
          <w:color w:val="313231" w:themeColor="text1"/>
          <w:szCs w:val="24"/>
        </w:rPr>
        <w:t>ever-changing</w:t>
      </w:r>
      <w:proofErr w:type="gramEnd"/>
      <w:r w:rsidRPr="000A67E4">
        <w:rPr>
          <w:color w:val="313231" w:themeColor="text1"/>
          <w:szCs w:val="24"/>
        </w:rPr>
        <w:t xml:space="preserve">. It is critical that </w:t>
      </w:r>
      <w:proofErr w:type="spellStart"/>
      <w:r w:rsidRPr="000A67E4">
        <w:rPr>
          <w:color w:val="313231" w:themeColor="text1"/>
          <w:szCs w:val="24"/>
        </w:rPr>
        <w:t>FedRAMP</w:t>
      </w:r>
      <w:proofErr w:type="spellEnd"/>
      <w:r w:rsidRPr="000A67E4">
        <w:rPr>
          <w:color w:val="313231" w:themeColor="text1"/>
          <w:szCs w:val="24"/>
        </w:rPr>
        <w:t xml:space="preserve"> maintain a current risk posture of the system through the scanning and continuous monitoring documentation. To accomplish this, </w:t>
      </w:r>
      <w:proofErr w:type="spellStart"/>
      <w:r w:rsidRPr="000A67E4">
        <w:rPr>
          <w:color w:val="313231" w:themeColor="text1"/>
          <w:szCs w:val="24"/>
        </w:rPr>
        <w:t>FedRAMP</w:t>
      </w:r>
      <w:proofErr w:type="spellEnd"/>
      <w:r w:rsidRPr="000A67E4">
        <w:rPr>
          <w:color w:val="313231" w:themeColor="text1"/>
          <w:szCs w:val="24"/>
        </w:rPr>
        <w:t xml:space="preserve"> utilizes automated tools for the evaluation, analysis, and reporting of the risk posture. The system ISSO will review the reports and make additional modifications or additions to ensure an accurate risk posture is presented in the summary reports.</w:t>
      </w:r>
    </w:p>
    <w:p w14:paraId="43DEB22F" w14:textId="52F7E1DC" w:rsidR="007C113B" w:rsidRPr="00612BE4" w:rsidRDefault="007C113B" w:rsidP="003F689F">
      <w:pPr>
        <w:pStyle w:val="Heading1"/>
      </w:pPr>
      <w:bookmarkStart w:id="18" w:name="_Toc372811746"/>
      <w:r>
        <w:t>REMEDI</w:t>
      </w:r>
      <w:r w:rsidR="0004252C">
        <w:t>A</w:t>
      </w:r>
      <w:r>
        <w:t>TION</w:t>
      </w:r>
      <w:bookmarkEnd w:id="18"/>
    </w:p>
    <w:p w14:paraId="022C5E58" w14:textId="77777777" w:rsidR="007C113B" w:rsidRPr="000A67E4" w:rsidRDefault="007C113B" w:rsidP="007C113B">
      <w:pPr>
        <w:rPr>
          <w:color w:val="313231" w:themeColor="text1"/>
          <w:szCs w:val="24"/>
        </w:rPr>
      </w:pPr>
      <w:r w:rsidRPr="000A67E4">
        <w:rPr>
          <w:color w:val="313231" w:themeColor="text1"/>
          <w:szCs w:val="24"/>
        </w:rPr>
        <w:t>Systems that fail to meet the quality or timeliness of the vulnerability scan submission requirements will be subject to actions. These actions may include one or more of the following:</w:t>
      </w:r>
    </w:p>
    <w:p w14:paraId="7B2BF7D5" w14:textId="77777777" w:rsidR="007C113B" w:rsidRPr="000A67E4" w:rsidRDefault="007C113B" w:rsidP="007C113B">
      <w:pPr>
        <w:pStyle w:val="ListParagraph"/>
        <w:numPr>
          <w:ilvl w:val="0"/>
          <w:numId w:val="28"/>
        </w:numPr>
        <w:ind w:left="1080"/>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may require an immediate re-scan of the system. </w:t>
      </w:r>
      <w:proofErr w:type="spellStart"/>
      <w:r w:rsidRPr="000A67E4">
        <w:rPr>
          <w:color w:val="313231" w:themeColor="text1"/>
          <w:szCs w:val="24"/>
        </w:rPr>
        <w:t>FedRAMP</w:t>
      </w:r>
      <w:proofErr w:type="spellEnd"/>
      <w:r w:rsidRPr="000A67E4">
        <w:rPr>
          <w:color w:val="313231" w:themeColor="text1"/>
          <w:szCs w:val="24"/>
        </w:rPr>
        <w:t xml:space="preserve"> will clearly document the required adjustments necessary for the re-scan.</w:t>
      </w:r>
    </w:p>
    <w:p w14:paraId="60CFAA7A" w14:textId="77777777" w:rsidR="007C113B" w:rsidRPr="000A67E4" w:rsidRDefault="007C113B" w:rsidP="007C113B">
      <w:pPr>
        <w:pStyle w:val="ListParagraph"/>
        <w:numPr>
          <w:ilvl w:val="0"/>
          <w:numId w:val="28"/>
        </w:numPr>
        <w:ind w:left="1080"/>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may require a 3PAO to perform future scans for a period of time if the CSP is unable to meet the </w:t>
      </w:r>
      <w:proofErr w:type="spellStart"/>
      <w:r w:rsidRPr="000A67E4">
        <w:rPr>
          <w:color w:val="313231" w:themeColor="text1"/>
          <w:szCs w:val="24"/>
        </w:rPr>
        <w:t>FedRAMP</w:t>
      </w:r>
      <w:proofErr w:type="spellEnd"/>
      <w:r w:rsidRPr="000A67E4">
        <w:rPr>
          <w:color w:val="313231" w:themeColor="text1"/>
          <w:szCs w:val="24"/>
        </w:rPr>
        <w:t xml:space="preserve"> requirements.</w:t>
      </w:r>
    </w:p>
    <w:p w14:paraId="19CC0415" w14:textId="77777777" w:rsidR="007C113B" w:rsidRPr="000A67E4" w:rsidRDefault="007C113B" w:rsidP="007C113B">
      <w:pPr>
        <w:pStyle w:val="ListParagraph"/>
        <w:numPr>
          <w:ilvl w:val="0"/>
          <w:numId w:val="28"/>
        </w:numPr>
        <w:ind w:left="1080"/>
        <w:rPr>
          <w:color w:val="313231" w:themeColor="text1"/>
          <w:szCs w:val="24"/>
        </w:rPr>
      </w:pPr>
      <w:r w:rsidRPr="000A67E4">
        <w:rPr>
          <w:color w:val="313231" w:themeColor="text1"/>
          <w:szCs w:val="24"/>
        </w:rPr>
        <w:t xml:space="preserve">Continuous issues may result in </w:t>
      </w:r>
      <w:proofErr w:type="spellStart"/>
      <w:r w:rsidRPr="000A67E4">
        <w:rPr>
          <w:color w:val="313231" w:themeColor="text1"/>
          <w:szCs w:val="24"/>
        </w:rPr>
        <w:t>FedRAMP</w:t>
      </w:r>
      <w:proofErr w:type="spellEnd"/>
      <w:r w:rsidRPr="000A67E4">
        <w:rPr>
          <w:color w:val="313231" w:themeColor="text1"/>
          <w:szCs w:val="24"/>
        </w:rPr>
        <w:t xml:space="preserve"> requiring a Corrective Action Plan from a CSP as part of maintaining a P-ATO and communicating with known agencies the deficiencies with meeting scanning requirements.</w:t>
      </w:r>
    </w:p>
    <w:p w14:paraId="42C55379" w14:textId="70A84D15" w:rsidR="007C113B" w:rsidRPr="000A67E4" w:rsidRDefault="007C113B" w:rsidP="007C113B">
      <w:pPr>
        <w:pStyle w:val="ListParagraph"/>
        <w:numPr>
          <w:ilvl w:val="0"/>
          <w:numId w:val="28"/>
        </w:numPr>
        <w:ind w:left="1080"/>
        <w:rPr>
          <w:color w:val="313231" w:themeColor="text1"/>
          <w:szCs w:val="24"/>
        </w:rPr>
      </w:pPr>
      <w:r w:rsidRPr="000A67E4">
        <w:rPr>
          <w:color w:val="313231" w:themeColor="text1"/>
          <w:szCs w:val="24"/>
        </w:rPr>
        <w:t xml:space="preserve">The </w:t>
      </w:r>
      <w:proofErr w:type="spellStart"/>
      <w:r w:rsidRPr="000A67E4">
        <w:rPr>
          <w:color w:val="313231" w:themeColor="text1"/>
          <w:szCs w:val="24"/>
        </w:rPr>
        <w:t>FedRAMP</w:t>
      </w:r>
      <w:proofErr w:type="spellEnd"/>
      <w:r w:rsidRPr="000A67E4">
        <w:rPr>
          <w:color w:val="313231" w:themeColor="text1"/>
          <w:szCs w:val="24"/>
        </w:rPr>
        <w:t xml:space="preserve"> JAB can also revoke a P-ATO for failure to meet these requirements and remove the vendor from the </w:t>
      </w:r>
      <w:proofErr w:type="spellStart"/>
      <w:r w:rsidRPr="000A67E4">
        <w:rPr>
          <w:color w:val="313231" w:themeColor="text1"/>
          <w:szCs w:val="24"/>
        </w:rPr>
        <w:t>FedRAMP</w:t>
      </w:r>
      <w:proofErr w:type="spellEnd"/>
      <w:r w:rsidRPr="000A67E4">
        <w:rPr>
          <w:color w:val="313231" w:themeColor="text1"/>
          <w:szCs w:val="24"/>
        </w:rPr>
        <w:t xml:space="preserve"> website.</w:t>
      </w:r>
      <w:r w:rsidRPr="000A67E4">
        <w:rPr>
          <w:color w:val="313231" w:themeColor="text1"/>
          <w:szCs w:val="24"/>
        </w:rPr>
        <w:br/>
      </w:r>
    </w:p>
    <w:p w14:paraId="5DA8F130" w14:textId="5E7A17AA" w:rsidR="00387F88" w:rsidRPr="000A67E4" w:rsidRDefault="007C113B" w:rsidP="0036462A">
      <w:pPr>
        <w:rPr>
          <w:color w:val="313231" w:themeColor="text1"/>
          <w:szCs w:val="24"/>
        </w:rPr>
      </w:pPr>
      <w:proofErr w:type="spellStart"/>
      <w:r w:rsidRPr="000A67E4">
        <w:rPr>
          <w:color w:val="313231" w:themeColor="text1"/>
          <w:szCs w:val="24"/>
        </w:rPr>
        <w:t>FedRAMP</w:t>
      </w:r>
      <w:proofErr w:type="spellEnd"/>
      <w:r w:rsidRPr="000A67E4">
        <w:rPr>
          <w:color w:val="313231" w:themeColor="text1"/>
          <w:szCs w:val="24"/>
        </w:rPr>
        <w:t xml:space="preserve"> reserves the right to take any of the actions listed above based on the severity of the deficiency.</w:t>
      </w:r>
      <w:bookmarkEnd w:id="14"/>
    </w:p>
    <w:p w14:paraId="353997FA" w14:textId="24CE3FCF" w:rsidR="00C47C31" w:rsidRDefault="0074469F" w:rsidP="009513F0">
      <w:pPr>
        <w:pStyle w:val="HeadingAppendix"/>
        <w:numPr>
          <w:ilvl w:val="0"/>
          <w:numId w:val="12"/>
        </w:numPr>
      </w:pPr>
      <w:bookmarkStart w:id="19" w:name="_Toc372811747"/>
      <w:proofErr w:type="spellStart"/>
      <w:r>
        <w:lastRenderedPageBreak/>
        <w:t>F</w:t>
      </w:r>
      <w:r w:rsidRPr="0074469F">
        <w:rPr>
          <w:bCs/>
          <w:caps w:val="0"/>
        </w:rPr>
        <w:t>ed</w:t>
      </w:r>
      <w:r>
        <w:t>RAMP</w:t>
      </w:r>
      <w:proofErr w:type="spellEnd"/>
      <w:r w:rsidR="00A178AF">
        <w:t xml:space="preserve"> ACRONYMS</w:t>
      </w:r>
      <w:bookmarkEnd w:id="19"/>
    </w:p>
    <w:p w14:paraId="5212C125" w14:textId="4FC5F503" w:rsidR="0074469F" w:rsidRPr="0004252C" w:rsidRDefault="0074469F" w:rsidP="0074469F">
      <w:pPr>
        <w:spacing w:line="245" w:lineRule="auto"/>
        <w:jc w:val="both"/>
        <w:rPr>
          <w:sz w:val="22"/>
        </w:rPr>
      </w:pPr>
      <w:r w:rsidRPr="000A67E4">
        <w:rPr>
          <w:color w:val="313231" w:themeColor="text1"/>
          <w:sz w:val="22"/>
        </w:rPr>
        <w:t xml:space="preserve">The master list of </w:t>
      </w:r>
      <w:proofErr w:type="spellStart"/>
      <w:r w:rsidRPr="000A67E4">
        <w:rPr>
          <w:color w:val="313231" w:themeColor="text1"/>
          <w:sz w:val="22"/>
        </w:rPr>
        <w:t>FedRAMP</w:t>
      </w:r>
      <w:proofErr w:type="spellEnd"/>
      <w:r w:rsidRPr="000A67E4">
        <w:rPr>
          <w:color w:val="313231" w:themeColor="text1"/>
          <w:sz w:val="22"/>
        </w:rPr>
        <w:t xml:space="preserve"> acronym and glossary definitions for all </w:t>
      </w:r>
      <w:proofErr w:type="spellStart"/>
      <w:r w:rsidRPr="000A67E4">
        <w:rPr>
          <w:color w:val="313231" w:themeColor="text1"/>
          <w:sz w:val="22"/>
        </w:rPr>
        <w:t>FedRAMP</w:t>
      </w:r>
      <w:proofErr w:type="spellEnd"/>
      <w:r w:rsidRPr="000A67E4">
        <w:rPr>
          <w:color w:val="313231" w:themeColor="text1"/>
          <w:sz w:val="22"/>
        </w:rPr>
        <w:t xml:space="preserve"> templates is available on the </w:t>
      </w:r>
      <w:proofErr w:type="spellStart"/>
      <w:r w:rsidRPr="000A67E4">
        <w:rPr>
          <w:color w:val="313231" w:themeColor="text1"/>
          <w:sz w:val="22"/>
        </w:rPr>
        <w:t>FedRAMP</w:t>
      </w:r>
      <w:proofErr w:type="spellEnd"/>
      <w:r w:rsidRPr="000A67E4">
        <w:rPr>
          <w:color w:val="313231" w:themeColor="text1"/>
          <w:sz w:val="22"/>
        </w:rPr>
        <w:t xml:space="preserve"> website</w:t>
      </w:r>
      <w:r w:rsidRPr="00B45CD7">
        <w:rPr>
          <w:color w:val="313231" w:themeColor="text1"/>
          <w:sz w:val="22"/>
        </w:rPr>
        <w:t xml:space="preserve"> </w:t>
      </w:r>
      <w:hyperlink r:id="rId15" w:history="1">
        <w:r w:rsidRPr="00B45CD7">
          <w:rPr>
            <w:rStyle w:val="Hyperlink"/>
            <w:color w:val="187E9A" w:themeColor="accent3" w:themeShade="BF"/>
            <w:sz w:val="22"/>
          </w:rPr>
          <w:t>Documents</w:t>
        </w:r>
      </w:hyperlink>
      <w:r w:rsidRPr="00B45CD7">
        <w:rPr>
          <w:color w:val="187E9A" w:themeColor="accent3" w:themeShade="BF"/>
          <w:sz w:val="22"/>
        </w:rPr>
        <w:t xml:space="preserve"> </w:t>
      </w:r>
      <w:r w:rsidRPr="000A67E4">
        <w:rPr>
          <w:color w:val="313231" w:themeColor="text1"/>
          <w:sz w:val="22"/>
        </w:rPr>
        <w:t>page under Program Overview Documents.</w:t>
      </w:r>
    </w:p>
    <w:p w14:paraId="34888474" w14:textId="77777777" w:rsidR="0074469F" w:rsidRPr="00B45CD7" w:rsidRDefault="0074469F" w:rsidP="0074469F">
      <w:pPr>
        <w:spacing w:line="245" w:lineRule="auto"/>
        <w:jc w:val="both"/>
        <w:rPr>
          <w:color w:val="187E9A" w:themeColor="accent3" w:themeShade="BF"/>
          <w:sz w:val="22"/>
        </w:rPr>
      </w:pPr>
      <w:r w:rsidRPr="000A67E4">
        <w:rPr>
          <w:color w:val="313231" w:themeColor="text1"/>
          <w:sz w:val="22"/>
        </w:rPr>
        <w:t>(</w:t>
      </w:r>
      <w:hyperlink r:id="rId16" w:history="1">
        <w:r w:rsidRPr="00B45CD7">
          <w:rPr>
            <w:rStyle w:val="Hyperlink"/>
            <w:color w:val="187E9A" w:themeColor="accent3" w:themeShade="BF"/>
            <w:sz w:val="22"/>
          </w:rPr>
          <w:t>https://www.fedramp.gov/resources/documents-2016/</w:t>
        </w:r>
      </w:hyperlink>
      <w:r w:rsidRPr="000A67E4">
        <w:rPr>
          <w:color w:val="313231" w:themeColor="text1"/>
          <w:sz w:val="22"/>
        </w:rPr>
        <w:t>)</w:t>
      </w:r>
    </w:p>
    <w:p w14:paraId="744E3213" w14:textId="77777777" w:rsidR="0074469F" w:rsidRPr="00B45CD7" w:rsidRDefault="0074469F" w:rsidP="0074469F">
      <w:pPr>
        <w:spacing w:line="245" w:lineRule="auto"/>
        <w:jc w:val="both"/>
        <w:rPr>
          <w:color w:val="313231" w:themeColor="text1"/>
          <w:sz w:val="22"/>
        </w:rPr>
      </w:pPr>
      <w:r w:rsidRPr="000A67E4">
        <w:rPr>
          <w:color w:val="313231" w:themeColor="text1"/>
          <w:sz w:val="22"/>
        </w:rPr>
        <w:t>Please send suggestions about corrections, additions, or deletions to</w:t>
      </w:r>
      <w:r w:rsidRPr="00B45CD7">
        <w:rPr>
          <w:color w:val="313231" w:themeColor="text1"/>
          <w:sz w:val="22"/>
        </w:rPr>
        <w:t xml:space="preserve"> </w:t>
      </w:r>
      <w:hyperlink r:id="rId17" w:history="1">
        <w:r w:rsidRPr="00B45CD7">
          <w:rPr>
            <w:rStyle w:val="Hyperlink"/>
            <w:color w:val="187E9A" w:themeColor="accent3" w:themeShade="BF"/>
            <w:sz w:val="22"/>
          </w:rPr>
          <w:t>info@fedramp.gov</w:t>
        </w:r>
      </w:hyperlink>
      <w:bookmarkStart w:id="20" w:name="_GoBack"/>
      <w:r w:rsidRPr="000A67E4">
        <w:rPr>
          <w:color w:val="313231" w:themeColor="text1"/>
          <w:sz w:val="22"/>
        </w:rPr>
        <w:t>.</w:t>
      </w:r>
      <w:bookmarkEnd w:id="20"/>
    </w:p>
    <w:p w14:paraId="5A178EFE" w14:textId="77777777" w:rsidR="009513F0" w:rsidRPr="008A2263" w:rsidRDefault="008A2263" w:rsidP="00A178AF">
      <w:pPr>
        <w:spacing w:line="245" w:lineRule="auto"/>
        <w:jc w:val="both"/>
        <w:rPr>
          <w:color w:val="313231" w:themeColor="text1"/>
        </w:rPr>
      </w:pPr>
      <w:r>
        <w:br/>
      </w:r>
    </w:p>
    <w:p w14:paraId="09E3F453" w14:textId="1CD608AD" w:rsidR="008A2263" w:rsidRPr="008A2263" w:rsidRDefault="008A2263" w:rsidP="00A178AF">
      <w:pPr>
        <w:spacing w:line="245" w:lineRule="auto"/>
        <w:jc w:val="both"/>
        <w:rPr>
          <w:color w:val="313231" w:themeColor="text1"/>
        </w:rPr>
      </w:pPr>
    </w:p>
    <w:p w14:paraId="7D882DFB" w14:textId="0038F607" w:rsidR="00C47C31" w:rsidRPr="00C47C31" w:rsidRDefault="00C47C31" w:rsidP="00C47C31">
      <w:pPr>
        <w:rPr>
          <w:b/>
          <w:caps/>
        </w:rPr>
      </w:pPr>
    </w:p>
    <w:sectPr w:rsidR="00C47C31" w:rsidRPr="00C47C31" w:rsidSect="00415049">
      <w:pgSz w:w="12240" w:h="15840" w:code="1"/>
      <w:pgMar w:top="1800" w:right="1440" w:bottom="1350"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183E7" w14:textId="77777777" w:rsidR="0004252C" w:rsidRDefault="0004252C" w:rsidP="009C6F4B">
      <w:r>
        <w:separator/>
      </w:r>
    </w:p>
    <w:p w14:paraId="08DE331A" w14:textId="77777777" w:rsidR="0004252C" w:rsidRDefault="0004252C" w:rsidP="009C6F4B"/>
    <w:p w14:paraId="4F5B1B6D" w14:textId="77777777" w:rsidR="0004252C" w:rsidRDefault="0004252C" w:rsidP="009C6F4B"/>
    <w:p w14:paraId="7537FA2A" w14:textId="77777777" w:rsidR="0004252C" w:rsidRDefault="0004252C" w:rsidP="009C6F4B"/>
    <w:p w14:paraId="7F8507BA" w14:textId="77777777" w:rsidR="0004252C" w:rsidRDefault="0004252C" w:rsidP="009C6F4B"/>
    <w:p w14:paraId="2D866F1F" w14:textId="77777777" w:rsidR="0004252C" w:rsidRDefault="0004252C" w:rsidP="009C6F4B"/>
  </w:endnote>
  <w:endnote w:type="continuationSeparator" w:id="0">
    <w:p w14:paraId="54E36DDD" w14:textId="77777777" w:rsidR="0004252C" w:rsidRDefault="0004252C" w:rsidP="009C6F4B">
      <w:r>
        <w:continuationSeparator/>
      </w:r>
    </w:p>
    <w:p w14:paraId="33FA971F" w14:textId="77777777" w:rsidR="0004252C" w:rsidRDefault="0004252C" w:rsidP="009C6F4B"/>
    <w:p w14:paraId="2F843FF4" w14:textId="77777777" w:rsidR="0004252C" w:rsidRDefault="0004252C" w:rsidP="009C6F4B"/>
    <w:p w14:paraId="7F963640" w14:textId="77777777" w:rsidR="0004252C" w:rsidRDefault="0004252C" w:rsidP="009C6F4B"/>
    <w:p w14:paraId="40AC2172" w14:textId="77777777" w:rsidR="0004252C" w:rsidRDefault="0004252C" w:rsidP="009C6F4B"/>
    <w:p w14:paraId="268BF758" w14:textId="77777777" w:rsidR="0004252C" w:rsidRDefault="0004252C"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04252C" w:rsidRPr="005B2273" w:rsidRDefault="0004252C"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0A67E4">
      <w:rPr>
        <w:rStyle w:val="PageNumber"/>
        <w:rFonts w:asciiTheme="minorHAnsi" w:hAnsiTheme="minorHAnsi"/>
        <w:noProof/>
        <w:position w:val="4"/>
        <w:sz w:val="18"/>
        <w:szCs w:val="18"/>
      </w:rPr>
      <w:t>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A653D" w14:textId="46231A91" w:rsidR="0004252C" w:rsidRDefault="0004252C" w:rsidP="009C6F4B">
      <w:r>
        <w:separator/>
      </w:r>
    </w:p>
  </w:footnote>
  <w:footnote w:type="continuationSeparator" w:id="0">
    <w:p w14:paraId="0782DDE7" w14:textId="4BBF1619" w:rsidR="0004252C" w:rsidRDefault="0004252C" w:rsidP="009C6F4B">
      <w:r>
        <w:continuationSeparator/>
      </w:r>
    </w:p>
  </w:footnote>
  <w:footnote w:type="continuationNotice" w:id="1">
    <w:p w14:paraId="605227C5" w14:textId="77777777" w:rsidR="0004252C" w:rsidRDefault="0004252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04252C" w:rsidRPr="001D52DA" w:rsidRDefault="0004252C"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04252C" w:rsidRPr="00307A60" w:rsidRDefault="0004252C"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031DC"/>
    <w:multiLevelType w:val="hybridMultilevel"/>
    <w:tmpl w:val="E368BF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14BD6"/>
    <w:multiLevelType w:val="hybridMultilevel"/>
    <w:tmpl w:val="0E5E9994"/>
    <w:lvl w:ilvl="0" w:tplc="960232FE">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04090005">
      <w:start w:val="1"/>
      <w:numFmt w:val="bullet"/>
      <w:lvlText w:val=""/>
      <w:lvlJc w:val="left"/>
      <w:pPr>
        <w:ind w:left="1440" w:hanging="360"/>
      </w:pPr>
      <w:rPr>
        <w:rFonts w:ascii="Wingdings" w:hAnsi="Wingdings" w:hint="default"/>
        <w:w w:val="100"/>
        <w:sz w:val="24"/>
        <w:szCs w:val="24"/>
      </w:rPr>
    </w:lvl>
    <w:lvl w:ilvl="2" w:tplc="94E0E62C">
      <w:start w:val="1"/>
      <w:numFmt w:val="bullet"/>
      <w:lvlText w:val="o"/>
      <w:lvlJc w:val="left"/>
      <w:pPr>
        <w:ind w:left="1540" w:hanging="360"/>
      </w:pPr>
      <w:rPr>
        <w:rFonts w:ascii="Courier New" w:eastAsia="Courier New" w:hAnsi="Courier New" w:cs="Courier New"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6">
    <w:nsid w:val="29F67EA1"/>
    <w:multiLevelType w:val="hybridMultilevel"/>
    <w:tmpl w:val="5A8881C4"/>
    <w:lvl w:ilvl="0" w:tplc="F1E8D374">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C5307204">
      <w:start w:val="1"/>
      <w:numFmt w:val="bullet"/>
      <w:lvlText w:val=""/>
      <w:lvlJc w:val="left"/>
      <w:pPr>
        <w:ind w:left="820" w:hanging="360"/>
      </w:pPr>
      <w:rPr>
        <w:rFonts w:ascii="Symbol" w:eastAsia="Symbol" w:hAnsi="Symbol" w:cs="Symbol" w:hint="default"/>
        <w:w w:val="100"/>
        <w:sz w:val="24"/>
        <w:szCs w:val="24"/>
      </w:rPr>
    </w:lvl>
    <w:lvl w:ilvl="2" w:tplc="04090005">
      <w:start w:val="1"/>
      <w:numFmt w:val="bullet"/>
      <w:lvlText w:val=""/>
      <w:lvlJc w:val="left"/>
      <w:pPr>
        <w:ind w:left="1440" w:hanging="360"/>
      </w:pPr>
      <w:rPr>
        <w:rFonts w:ascii="Wingdings" w:hAnsi="Wingdings"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7">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8">
    <w:nsid w:val="2BB90845"/>
    <w:multiLevelType w:val="hybridMultilevel"/>
    <w:tmpl w:val="F65E1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1D29A4"/>
    <w:multiLevelType w:val="multilevel"/>
    <w:tmpl w:val="20A83F80"/>
    <w:numStyleLink w:val="111111"/>
  </w:abstractNum>
  <w:abstractNum w:abstractNumId="1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nsid w:val="438F1A18"/>
    <w:multiLevelType w:val="hybridMultilevel"/>
    <w:tmpl w:val="96D03934"/>
    <w:lvl w:ilvl="0" w:tplc="DD046D24">
      <w:start w:val="1"/>
      <w:numFmt w:val="decimal"/>
      <w:lvlText w:val="%1."/>
      <w:lvlJc w:val="left"/>
      <w:pPr>
        <w:ind w:left="380" w:hanging="240"/>
      </w:pPr>
      <w:rPr>
        <w:rFonts w:ascii="Times New Roman" w:eastAsia="Times New Roman" w:hAnsi="Times New Roman" w:cs="Times New Roman" w:hint="default"/>
        <w:w w:val="100"/>
        <w:sz w:val="24"/>
        <w:szCs w:val="24"/>
      </w:rPr>
    </w:lvl>
    <w:lvl w:ilvl="1" w:tplc="80001A4E">
      <w:start w:val="1"/>
      <w:numFmt w:val="bullet"/>
      <w:lvlText w:val=""/>
      <w:lvlJc w:val="left"/>
      <w:pPr>
        <w:ind w:left="820" w:hanging="360"/>
      </w:pPr>
      <w:rPr>
        <w:rFonts w:ascii="Symbol" w:eastAsia="Symbol" w:hAnsi="Symbol" w:cs="Symbol" w:hint="default"/>
        <w:w w:val="100"/>
        <w:sz w:val="24"/>
        <w:szCs w:val="24"/>
      </w:rPr>
    </w:lvl>
    <w:lvl w:ilvl="2" w:tplc="97A8AD58">
      <w:start w:val="1"/>
      <w:numFmt w:val="bullet"/>
      <w:lvlText w:val="•"/>
      <w:lvlJc w:val="left"/>
      <w:pPr>
        <w:ind w:left="1793" w:hanging="360"/>
      </w:pPr>
      <w:rPr>
        <w:rFonts w:hint="default"/>
      </w:rPr>
    </w:lvl>
    <w:lvl w:ilvl="3" w:tplc="A72A9424">
      <w:start w:val="1"/>
      <w:numFmt w:val="bullet"/>
      <w:lvlText w:val="•"/>
      <w:lvlJc w:val="left"/>
      <w:pPr>
        <w:ind w:left="2766" w:hanging="360"/>
      </w:pPr>
      <w:rPr>
        <w:rFonts w:hint="default"/>
      </w:rPr>
    </w:lvl>
    <w:lvl w:ilvl="4" w:tplc="A1A84946">
      <w:start w:val="1"/>
      <w:numFmt w:val="bullet"/>
      <w:lvlText w:val="•"/>
      <w:lvlJc w:val="left"/>
      <w:pPr>
        <w:ind w:left="3740" w:hanging="360"/>
      </w:pPr>
      <w:rPr>
        <w:rFonts w:hint="default"/>
      </w:rPr>
    </w:lvl>
    <w:lvl w:ilvl="5" w:tplc="98B024B6">
      <w:start w:val="1"/>
      <w:numFmt w:val="bullet"/>
      <w:lvlText w:val="•"/>
      <w:lvlJc w:val="left"/>
      <w:pPr>
        <w:ind w:left="4713" w:hanging="360"/>
      </w:pPr>
      <w:rPr>
        <w:rFonts w:hint="default"/>
      </w:rPr>
    </w:lvl>
    <w:lvl w:ilvl="6" w:tplc="AC0AB1D6">
      <w:start w:val="1"/>
      <w:numFmt w:val="bullet"/>
      <w:lvlText w:val="•"/>
      <w:lvlJc w:val="left"/>
      <w:pPr>
        <w:ind w:left="5686" w:hanging="360"/>
      </w:pPr>
      <w:rPr>
        <w:rFonts w:hint="default"/>
      </w:rPr>
    </w:lvl>
    <w:lvl w:ilvl="7" w:tplc="04FC995E">
      <w:start w:val="1"/>
      <w:numFmt w:val="bullet"/>
      <w:lvlText w:val="•"/>
      <w:lvlJc w:val="left"/>
      <w:pPr>
        <w:ind w:left="6660" w:hanging="360"/>
      </w:pPr>
      <w:rPr>
        <w:rFonts w:hint="default"/>
      </w:rPr>
    </w:lvl>
    <w:lvl w:ilvl="8" w:tplc="4FEA39AC">
      <w:start w:val="1"/>
      <w:numFmt w:val="bullet"/>
      <w:lvlText w:val="•"/>
      <w:lvlJc w:val="left"/>
      <w:pPr>
        <w:ind w:left="7633" w:hanging="360"/>
      </w:pPr>
      <w:rPr>
        <w:rFonts w:hint="default"/>
      </w:rPr>
    </w:lvl>
  </w:abstractNum>
  <w:abstractNum w:abstractNumId="12">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A0608D"/>
    <w:multiLevelType w:val="hybridMultilevel"/>
    <w:tmpl w:val="DE4E17A6"/>
    <w:lvl w:ilvl="0" w:tplc="960232FE">
      <w:start w:val="1"/>
      <w:numFmt w:val="decimal"/>
      <w:pStyle w:val="Heading1"/>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C5307204">
      <w:start w:val="1"/>
      <w:numFmt w:val="bullet"/>
      <w:lvlText w:val=""/>
      <w:lvlJc w:val="left"/>
      <w:pPr>
        <w:ind w:left="820" w:hanging="360"/>
      </w:pPr>
      <w:rPr>
        <w:rFonts w:ascii="Symbol" w:eastAsia="Symbol" w:hAnsi="Symbol" w:cs="Symbol" w:hint="default"/>
        <w:w w:val="100"/>
        <w:sz w:val="24"/>
        <w:szCs w:val="24"/>
      </w:rPr>
    </w:lvl>
    <w:lvl w:ilvl="2" w:tplc="94E0E62C">
      <w:start w:val="1"/>
      <w:numFmt w:val="bullet"/>
      <w:lvlText w:val="o"/>
      <w:lvlJc w:val="left"/>
      <w:pPr>
        <w:ind w:left="1540" w:hanging="360"/>
      </w:pPr>
      <w:rPr>
        <w:rFonts w:ascii="Courier New" w:eastAsia="Courier New" w:hAnsi="Courier New" w:cs="Courier New"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15">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84777"/>
    <w:multiLevelType w:val="hybridMultilevel"/>
    <w:tmpl w:val="E11EEE08"/>
    <w:lvl w:ilvl="0" w:tplc="F1E8D374">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C5307204">
      <w:start w:val="1"/>
      <w:numFmt w:val="bullet"/>
      <w:lvlText w:val=""/>
      <w:lvlJc w:val="left"/>
      <w:pPr>
        <w:ind w:left="820" w:hanging="360"/>
      </w:pPr>
      <w:rPr>
        <w:rFonts w:ascii="Symbol" w:eastAsia="Symbol" w:hAnsi="Symbol" w:cs="Symbol" w:hint="default"/>
        <w:w w:val="100"/>
        <w:sz w:val="24"/>
        <w:szCs w:val="24"/>
      </w:rPr>
    </w:lvl>
    <w:lvl w:ilvl="2" w:tplc="AED8412E">
      <w:start w:val="1"/>
      <w:numFmt w:val="bullet"/>
      <w:lvlText w:val=""/>
      <w:lvlJc w:val="left"/>
      <w:pPr>
        <w:ind w:left="1440" w:hanging="360"/>
      </w:pPr>
      <w:rPr>
        <w:rFonts w:ascii="Symbol" w:hAnsi="Symbol"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17">
    <w:nsid w:val="542A10B0"/>
    <w:multiLevelType w:val="multilevel"/>
    <w:tmpl w:val="B1E2D862"/>
    <w:numStyleLink w:val="Bullet"/>
  </w:abstractNum>
  <w:abstractNum w:abstractNumId="18">
    <w:nsid w:val="564A2C0D"/>
    <w:multiLevelType w:val="hybridMultilevel"/>
    <w:tmpl w:val="77C659A8"/>
    <w:lvl w:ilvl="0" w:tplc="960232FE">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04090005">
      <w:start w:val="1"/>
      <w:numFmt w:val="bullet"/>
      <w:lvlText w:val=""/>
      <w:lvlJc w:val="left"/>
      <w:pPr>
        <w:ind w:left="1440" w:hanging="360"/>
      </w:pPr>
      <w:rPr>
        <w:rFonts w:ascii="Wingdings" w:hAnsi="Wingdings" w:hint="default"/>
        <w:w w:val="100"/>
        <w:sz w:val="24"/>
        <w:szCs w:val="24"/>
      </w:rPr>
    </w:lvl>
    <w:lvl w:ilvl="2" w:tplc="94E0E62C">
      <w:start w:val="1"/>
      <w:numFmt w:val="bullet"/>
      <w:lvlText w:val="o"/>
      <w:lvlJc w:val="left"/>
      <w:pPr>
        <w:ind w:left="1540" w:hanging="360"/>
      </w:pPr>
      <w:rPr>
        <w:rFonts w:ascii="Courier New" w:eastAsia="Courier New" w:hAnsi="Courier New" w:cs="Courier New"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19">
    <w:nsid w:val="597110E9"/>
    <w:multiLevelType w:val="hybridMultilevel"/>
    <w:tmpl w:val="F62CBD04"/>
    <w:lvl w:ilvl="0" w:tplc="F1E8D374">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C5307204">
      <w:start w:val="1"/>
      <w:numFmt w:val="bullet"/>
      <w:lvlText w:val=""/>
      <w:lvlJc w:val="left"/>
      <w:pPr>
        <w:ind w:left="820" w:hanging="360"/>
      </w:pPr>
      <w:rPr>
        <w:rFonts w:ascii="Symbol" w:eastAsia="Symbol" w:hAnsi="Symbol" w:cs="Symbol" w:hint="default"/>
        <w:w w:val="100"/>
        <w:sz w:val="24"/>
        <w:szCs w:val="24"/>
      </w:rPr>
    </w:lvl>
    <w:lvl w:ilvl="2" w:tplc="AED8412E">
      <w:start w:val="1"/>
      <w:numFmt w:val="bullet"/>
      <w:lvlText w:val=""/>
      <w:lvlJc w:val="left"/>
      <w:pPr>
        <w:ind w:left="1540" w:hanging="360"/>
      </w:pPr>
      <w:rPr>
        <w:rFonts w:ascii="Symbol" w:hAnsi="Symbol"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2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4991A49"/>
    <w:multiLevelType w:val="hybridMultilevel"/>
    <w:tmpl w:val="461AE3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515421"/>
    <w:multiLevelType w:val="hybridMultilevel"/>
    <w:tmpl w:val="8250DC70"/>
    <w:lvl w:ilvl="0" w:tplc="960232FE">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04090005">
      <w:start w:val="1"/>
      <w:numFmt w:val="bullet"/>
      <w:lvlText w:val=""/>
      <w:lvlJc w:val="left"/>
      <w:pPr>
        <w:ind w:left="1440" w:hanging="360"/>
      </w:pPr>
      <w:rPr>
        <w:rFonts w:ascii="Wingdings" w:hAnsi="Wingdings" w:hint="default"/>
        <w:w w:val="100"/>
        <w:sz w:val="24"/>
        <w:szCs w:val="24"/>
      </w:rPr>
    </w:lvl>
    <w:lvl w:ilvl="2" w:tplc="94E0E62C">
      <w:start w:val="1"/>
      <w:numFmt w:val="bullet"/>
      <w:lvlText w:val="o"/>
      <w:lvlJc w:val="left"/>
      <w:pPr>
        <w:ind w:left="1540" w:hanging="360"/>
      </w:pPr>
      <w:rPr>
        <w:rFonts w:ascii="Courier New" w:eastAsia="Courier New" w:hAnsi="Courier New" w:cs="Courier New"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abstractNum w:abstractNumId="24">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FDC6D7F"/>
    <w:multiLevelType w:val="hybridMultilevel"/>
    <w:tmpl w:val="EFC6320E"/>
    <w:lvl w:ilvl="0" w:tplc="960232FE">
      <w:start w:val="1"/>
      <w:numFmt w:val="decimal"/>
      <w:lvlText w:val="%1."/>
      <w:lvlJc w:val="left"/>
      <w:pPr>
        <w:ind w:left="508" w:hanging="409"/>
      </w:pPr>
      <w:rPr>
        <w:rFonts w:ascii="Times New Roman" w:eastAsia="Times New Roman" w:hAnsi="Times New Roman" w:cs="Times New Roman" w:hint="default"/>
        <w:b/>
        <w:bCs/>
        <w:color w:val="002060"/>
        <w:spacing w:val="0"/>
        <w:w w:val="102"/>
        <w:sz w:val="31"/>
        <w:szCs w:val="31"/>
      </w:rPr>
    </w:lvl>
    <w:lvl w:ilvl="1" w:tplc="04090005">
      <w:start w:val="1"/>
      <w:numFmt w:val="bullet"/>
      <w:lvlText w:val=""/>
      <w:lvlJc w:val="left"/>
      <w:pPr>
        <w:ind w:left="1440" w:hanging="360"/>
      </w:pPr>
      <w:rPr>
        <w:rFonts w:ascii="Wingdings" w:hAnsi="Wingdings" w:hint="default"/>
        <w:w w:val="100"/>
        <w:sz w:val="24"/>
        <w:szCs w:val="24"/>
      </w:rPr>
    </w:lvl>
    <w:lvl w:ilvl="2" w:tplc="94E0E62C">
      <w:start w:val="1"/>
      <w:numFmt w:val="bullet"/>
      <w:lvlText w:val="o"/>
      <w:lvlJc w:val="left"/>
      <w:pPr>
        <w:ind w:left="1540" w:hanging="360"/>
      </w:pPr>
      <w:rPr>
        <w:rFonts w:ascii="Courier New" w:eastAsia="Courier New" w:hAnsi="Courier New" w:cs="Courier New" w:hint="default"/>
        <w:w w:val="100"/>
        <w:sz w:val="24"/>
        <w:szCs w:val="24"/>
      </w:rPr>
    </w:lvl>
    <w:lvl w:ilvl="3" w:tplc="DBAE4E4A">
      <w:start w:val="1"/>
      <w:numFmt w:val="bullet"/>
      <w:lvlText w:val="•"/>
      <w:lvlJc w:val="left"/>
      <w:pPr>
        <w:ind w:left="2545" w:hanging="360"/>
      </w:pPr>
      <w:rPr>
        <w:rFonts w:hint="default"/>
      </w:rPr>
    </w:lvl>
    <w:lvl w:ilvl="4" w:tplc="EFFAD64A">
      <w:start w:val="1"/>
      <w:numFmt w:val="bullet"/>
      <w:lvlText w:val="•"/>
      <w:lvlJc w:val="left"/>
      <w:pPr>
        <w:ind w:left="3550" w:hanging="360"/>
      </w:pPr>
      <w:rPr>
        <w:rFonts w:hint="default"/>
      </w:rPr>
    </w:lvl>
    <w:lvl w:ilvl="5" w:tplc="56A2ED76">
      <w:start w:val="1"/>
      <w:numFmt w:val="bullet"/>
      <w:lvlText w:val="•"/>
      <w:lvlJc w:val="left"/>
      <w:pPr>
        <w:ind w:left="4555" w:hanging="360"/>
      </w:pPr>
      <w:rPr>
        <w:rFonts w:hint="default"/>
      </w:rPr>
    </w:lvl>
    <w:lvl w:ilvl="6" w:tplc="5748EB56">
      <w:start w:val="1"/>
      <w:numFmt w:val="bullet"/>
      <w:lvlText w:val="•"/>
      <w:lvlJc w:val="left"/>
      <w:pPr>
        <w:ind w:left="5560" w:hanging="360"/>
      </w:pPr>
      <w:rPr>
        <w:rFonts w:hint="default"/>
      </w:rPr>
    </w:lvl>
    <w:lvl w:ilvl="7" w:tplc="06ECE49E">
      <w:start w:val="1"/>
      <w:numFmt w:val="bullet"/>
      <w:lvlText w:val="•"/>
      <w:lvlJc w:val="left"/>
      <w:pPr>
        <w:ind w:left="6565" w:hanging="360"/>
      </w:pPr>
      <w:rPr>
        <w:rFonts w:hint="default"/>
      </w:rPr>
    </w:lvl>
    <w:lvl w:ilvl="8" w:tplc="2DC093E0">
      <w:start w:val="1"/>
      <w:numFmt w:val="bullet"/>
      <w:lvlText w:val="•"/>
      <w:lvlJc w:val="left"/>
      <w:pPr>
        <w:ind w:left="7570" w:hanging="360"/>
      </w:pPr>
      <w:rPr>
        <w:rFonts w:hint="default"/>
      </w:rPr>
    </w:lvl>
  </w:abstractNum>
  <w:num w:numId="1">
    <w:abstractNumId w:val="10"/>
  </w:num>
  <w:num w:numId="2">
    <w:abstractNumId w:val="12"/>
  </w:num>
  <w:num w:numId="3">
    <w:abstractNumId w:val="17"/>
  </w:num>
  <w:num w:numId="4">
    <w:abstractNumId w:val="0"/>
  </w:num>
  <w:num w:numId="5">
    <w:abstractNumId w:val="9"/>
  </w:num>
  <w:num w:numId="6">
    <w:abstractNumId w:val="25"/>
  </w:num>
  <w:num w:numId="7">
    <w:abstractNumId w:val="24"/>
  </w:num>
  <w:num w:numId="8">
    <w:abstractNumId w:val="4"/>
  </w:num>
  <w:num w:numId="9">
    <w:abstractNumId w:val="7"/>
  </w:num>
  <w:num w:numId="10">
    <w:abstractNumId w:val="15"/>
  </w:num>
  <w:num w:numId="11">
    <w:abstractNumId w:val="2"/>
  </w:num>
  <w:num w:numId="12">
    <w:abstractNumId w:val="0"/>
    <w:lvlOverride w:ilvl="0">
      <w:startOverride w:val="1"/>
    </w:lvlOverride>
  </w:num>
  <w:num w:numId="13">
    <w:abstractNumId w:val="20"/>
  </w:num>
  <w:num w:numId="14">
    <w:abstractNumId w:val="22"/>
  </w:num>
  <w:num w:numId="15">
    <w:abstractNumId w:val="13"/>
  </w:num>
  <w:num w:numId="16">
    <w:abstractNumId w:val="1"/>
  </w:num>
  <w:num w:numId="17">
    <w:abstractNumId w:val="11"/>
  </w:num>
  <w:num w:numId="18">
    <w:abstractNumId w:val="8"/>
  </w:num>
  <w:num w:numId="19">
    <w:abstractNumId w:val="14"/>
  </w:num>
  <w:num w:numId="20">
    <w:abstractNumId w:val="19"/>
  </w:num>
  <w:num w:numId="21">
    <w:abstractNumId w:val="21"/>
  </w:num>
  <w:num w:numId="22">
    <w:abstractNumId w:val="26"/>
  </w:num>
  <w:num w:numId="23">
    <w:abstractNumId w:val="6"/>
  </w:num>
  <w:num w:numId="24">
    <w:abstractNumId w:val="16"/>
  </w:num>
  <w:num w:numId="25">
    <w:abstractNumId w:val="5"/>
  </w:num>
  <w:num w:numId="26">
    <w:abstractNumId w:val="18"/>
  </w:num>
  <w:num w:numId="27">
    <w:abstractNumId w:val="23"/>
  </w:num>
  <w:num w:numId="2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47D9"/>
    <w:rsid w:val="0000545D"/>
    <w:rsid w:val="00006197"/>
    <w:rsid w:val="00006E92"/>
    <w:rsid w:val="00007550"/>
    <w:rsid w:val="00013A0E"/>
    <w:rsid w:val="0002221F"/>
    <w:rsid w:val="0002273D"/>
    <w:rsid w:val="0002737C"/>
    <w:rsid w:val="00035CAE"/>
    <w:rsid w:val="00036853"/>
    <w:rsid w:val="000422F5"/>
    <w:rsid w:val="0004252C"/>
    <w:rsid w:val="0004500C"/>
    <w:rsid w:val="00053006"/>
    <w:rsid w:val="0006463B"/>
    <w:rsid w:val="00065D95"/>
    <w:rsid w:val="0006606C"/>
    <w:rsid w:val="00076BBF"/>
    <w:rsid w:val="0007721C"/>
    <w:rsid w:val="000800CD"/>
    <w:rsid w:val="00083CC4"/>
    <w:rsid w:val="00087AB8"/>
    <w:rsid w:val="00096737"/>
    <w:rsid w:val="00096F8B"/>
    <w:rsid w:val="000A2A11"/>
    <w:rsid w:val="000A67E4"/>
    <w:rsid w:val="000B2DD5"/>
    <w:rsid w:val="000C0FED"/>
    <w:rsid w:val="000C37A7"/>
    <w:rsid w:val="000C4C50"/>
    <w:rsid w:val="000D2579"/>
    <w:rsid w:val="000D6403"/>
    <w:rsid w:val="000D655E"/>
    <w:rsid w:val="000E335F"/>
    <w:rsid w:val="000F15F0"/>
    <w:rsid w:val="00121919"/>
    <w:rsid w:val="00124751"/>
    <w:rsid w:val="001373A7"/>
    <w:rsid w:val="00143396"/>
    <w:rsid w:val="001525B0"/>
    <w:rsid w:val="001531F5"/>
    <w:rsid w:val="001743C6"/>
    <w:rsid w:val="0017471D"/>
    <w:rsid w:val="00181B73"/>
    <w:rsid w:val="0019088A"/>
    <w:rsid w:val="00197739"/>
    <w:rsid w:val="001A1A7E"/>
    <w:rsid w:val="001A419C"/>
    <w:rsid w:val="001C13F5"/>
    <w:rsid w:val="001C69D5"/>
    <w:rsid w:val="001D52DA"/>
    <w:rsid w:val="001D76F1"/>
    <w:rsid w:val="001E6694"/>
    <w:rsid w:val="001F3AE2"/>
    <w:rsid w:val="00206AB2"/>
    <w:rsid w:val="002131A3"/>
    <w:rsid w:val="002140A7"/>
    <w:rsid w:val="002233B5"/>
    <w:rsid w:val="00234957"/>
    <w:rsid w:val="002458D6"/>
    <w:rsid w:val="00246BD8"/>
    <w:rsid w:val="0025303B"/>
    <w:rsid w:val="00254C7E"/>
    <w:rsid w:val="0026515D"/>
    <w:rsid w:val="002758EE"/>
    <w:rsid w:val="00291399"/>
    <w:rsid w:val="002948E0"/>
    <w:rsid w:val="002A06A1"/>
    <w:rsid w:val="002A6F24"/>
    <w:rsid w:val="002B2547"/>
    <w:rsid w:val="002B5E87"/>
    <w:rsid w:val="002B60E2"/>
    <w:rsid w:val="002B6E44"/>
    <w:rsid w:val="002C0A1A"/>
    <w:rsid w:val="002C0B71"/>
    <w:rsid w:val="002C123D"/>
    <w:rsid w:val="002D0446"/>
    <w:rsid w:val="002D0DDA"/>
    <w:rsid w:val="002D2D6A"/>
    <w:rsid w:val="002E0719"/>
    <w:rsid w:val="002F2B2A"/>
    <w:rsid w:val="00305D09"/>
    <w:rsid w:val="00307A60"/>
    <w:rsid w:val="003100B8"/>
    <w:rsid w:val="003112D8"/>
    <w:rsid w:val="003129E4"/>
    <w:rsid w:val="00312BCD"/>
    <w:rsid w:val="00316EE5"/>
    <w:rsid w:val="003212D4"/>
    <w:rsid w:val="00322927"/>
    <w:rsid w:val="00323BCB"/>
    <w:rsid w:val="0033565B"/>
    <w:rsid w:val="003538A3"/>
    <w:rsid w:val="00353FA3"/>
    <w:rsid w:val="0036462A"/>
    <w:rsid w:val="00365BDC"/>
    <w:rsid w:val="0037451E"/>
    <w:rsid w:val="0037452E"/>
    <w:rsid w:val="0037532A"/>
    <w:rsid w:val="00375CD2"/>
    <w:rsid w:val="00376192"/>
    <w:rsid w:val="00385610"/>
    <w:rsid w:val="003863E2"/>
    <w:rsid w:val="00386DB2"/>
    <w:rsid w:val="00387F88"/>
    <w:rsid w:val="00392982"/>
    <w:rsid w:val="003B1E65"/>
    <w:rsid w:val="003B5683"/>
    <w:rsid w:val="003C112A"/>
    <w:rsid w:val="003C5942"/>
    <w:rsid w:val="003D479C"/>
    <w:rsid w:val="003E2FCC"/>
    <w:rsid w:val="003E3E14"/>
    <w:rsid w:val="003F502B"/>
    <w:rsid w:val="003F511D"/>
    <w:rsid w:val="003F689F"/>
    <w:rsid w:val="004007B2"/>
    <w:rsid w:val="00414BE1"/>
    <w:rsid w:val="00414E19"/>
    <w:rsid w:val="00414F3C"/>
    <w:rsid w:val="00415049"/>
    <w:rsid w:val="004312CF"/>
    <w:rsid w:val="0043328B"/>
    <w:rsid w:val="00433C6B"/>
    <w:rsid w:val="00437725"/>
    <w:rsid w:val="004462D5"/>
    <w:rsid w:val="004511B3"/>
    <w:rsid w:val="004518E9"/>
    <w:rsid w:val="00461E78"/>
    <w:rsid w:val="0046288B"/>
    <w:rsid w:val="00462A5C"/>
    <w:rsid w:val="00464536"/>
    <w:rsid w:val="004713C2"/>
    <w:rsid w:val="0048133D"/>
    <w:rsid w:val="00495D60"/>
    <w:rsid w:val="004B281C"/>
    <w:rsid w:val="004C08B1"/>
    <w:rsid w:val="004C46DA"/>
    <w:rsid w:val="004C5BB7"/>
    <w:rsid w:val="004C6C0A"/>
    <w:rsid w:val="004D1C3E"/>
    <w:rsid w:val="004D3A74"/>
    <w:rsid w:val="004D639C"/>
    <w:rsid w:val="004E603A"/>
    <w:rsid w:val="004F562D"/>
    <w:rsid w:val="004F77EE"/>
    <w:rsid w:val="00502B45"/>
    <w:rsid w:val="00504F35"/>
    <w:rsid w:val="0051122C"/>
    <w:rsid w:val="00511CE3"/>
    <w:rsid w:val="005125BD"/>
    <w:rsid w:val="00524412"/>
    <w:rsid w:val="0052631E"/>
    <w:rsid w:val="00531FA5"/>
    <w:rsid w:val="00532688"/>
    <w:rsid w:val="005479B5"/>
    <w:rsid w:val="00547E0D"/>
    <w:rsid w:val="00551336"/>
    <w:rsid w:val="00552778"/>
    <w:rsid w:val="005557E5"/>
    <w:rsid w:val="005607B8"/>
    <w:rsid w:val="00565E7D"/>
    <w:rsid w:val="00567F33"/>
    <w:rsid w:val="0057093A"/>
    <w:rsid w:val="00571050"/>
    <w:rsid w:val="00586295"/>
    <w:rsid w:val="00592673"/>
    <w:rsid w:val="00595301"/>
    <w:rsid w:val="005A16C7"/>
    <w:rsid w:val="005A4438"/>
    <w:rsid w:val="005A6ECF"/>
    <w:rsid w:val="005B2273"/>
    <w:rsid w:val="005B5576"/>
    <w:rsid w:val="005B5BCE"/>
    <w:rsid w:val="005C04C0"/>
    <w:rsid w:val="005C34C8"/>
    <w:rsid w:val="005D142A"/>
    <w:rsid w:val="005E6B19"/>
    <w:rsid w:val="00612507"/>
    <w:rsid w:val="00612BE4"/>
    <w:rsid w:val="006171C9"/>
    <w:rsid w:val="006264CF"/>
    <w:rsid w:val="00635383"/>
    <w:rsid w:val="00647D6F"/>
    <w:rsid w:val="00652A54"/>
    <w:rsid w:val="00660497"/>
    <w:rsid w:val="0066152C"/>
    <w:rsid w:val="006619DC"/>
    <w:rsid w:val="006675CA"/>
    <w:rsid w:val="00670142"/>
    <w:rsid w:val="0067245D"/>
    <w:rsid w:val="006726E7"/>
    <w:rsid w:val="006738E9"/>
    <w:rsid w:val="00674B40"/>
    <w:rsid w:val="00676737"/>
    <w:rsid w:val="00682CDF"/>
    <w:rsid w:val="00686F5A"/>
    <w:rsid w:val="00687C49"/>
    <w:rsid w:val="00694C80"/>
    <w:rsid w:val="00695EB6"/>
    <w:rsid w:val="006A1090"/>
    <w:rsid w:val="006A661D"/>
    <w:rsid w:val="006E69DD"/>
    <w:rsid w:val="006E7283"/>
    <w:rsid w:val="006F07C6"/>
    <w:rsid w:val="006F2E93"/>
    <w:rsid w:val="00702154"/>
    <w:rsid w:val="00704E03"/>
    <w:rsid w:val="00707BB7"/>
    <w:rsid w:val="00715271"/>
    <w:rsid w:val="00722C7C"/>
    <w:rsid w:val="00725030"/>
    <w:rsid w:val="007255FE"/>
    <w:rsid w:val="00731D83"/>
    <w:rsid w:val="00735FED"/>
    <w:rsid w:val="00736B60"/>
    <w:rsid w:val="00742950"/>
    <w:rsid w:val="0074469F"/>
    <w:rsid w:val="00755951"/>
    <w:rsid w:val="00765944"/>
    <w:rsid w:val="007747ED"/>
    <w:rsid w:val="007837F5"/>
    <w:rsid w:val="00786587"/>
    <w:rsid w:val="00791FFC"/>
    <w:rsid w:val="00795E9D"/>
    <w:rsid w:val="007A40C9"/>
    <w:rsid w:val="007A4F2B"/>
    <w:rsid w:val="007A56A4"/>
    <w:rsid w:val="007A6D62"/>
    <w:rsid w:val="007B2AF4"/>
    <w:rsid w:val="007B61D0"/>
    <w:rsid w:val="007B6DE6"/>
    <w:rsid w:val="007C113B"/>
    <w:rsid w:val="007C722C"/>
    <w:rsid w:val="007D218C"/>
    <w:rsid w:val="007D5F37"/>
    <w:rsid w:val="007E5D12"/>
    <w:rsid w:val="007E6D6C"/>
    <w:rsid w:val="007E752B"/>
    <w:rsid w:val="007F445E"/>
    <w:rsid w:val="007F68D4"/>
    <w:rsid w:val="008054BF"/>
    <w:rsid w:val="008100E9"/>
    <w:rsid w:val="00813102"/>
    <w:rsid w:val="008151E9"/>
    <w:rsid w:val="0081771F"/>
    <w:rsid w:val="00822B21"/>
    <w:rsid w:val="00826623"/>
    <w:rsid w:val="00832B43"/>
    <w:rsid w:val="00833A1A"/>
    <w:rsid w:val="00835513"/>
    <w:rsid w:val="00835915"/>
    <w:rsid w:val="0084274F"/>
    <w:rsid w:val="008623DF"/>
    <w:rsid w:val="00867444"/>
    <w:rsid w:val="0087431E"/>
    <w:rsid w:val="00877339"/>
    <w:rsid w:val="008876DE"/>
    <w:rsid w:val="008A19EF"/>
    <w:rsid w:val="008A2263"/>
    <w:rsid w:val="008A6225"/>
    <w:rsid w:val="008C5026"/>
    <w:rsid w:val="008D2009"/>
    <w:rsid w:val="008D477F"/>
    <w:rsid w:val="008D64E8"/>
    <w:rsid w:val="00922568"/>
    <w:rsid w:val="00922AAE"/>
    <w:rsid w:val="00925546"/>
    <w:rsid w:val="00933472"/>
    <w:rsid w:val="00937CC2"/>
    <w:rsid w:val="00937D9B"/>
    <w:rsid w:val="00940CA8"/>
    <w:rsid w:val="009422E9"/>
    <w:rsid w:val="009513F0"/>
    <w:rsid w:val="0096623D"/>
    <w:rsid w:val="009677D8"/>
    <w:rsid w:val="00986BFA"/>
    <w:rsid w:val="00987C93"/>
    <w:rsid w:val="009945CA"/>
    <w:rsid w:val="009A0B9E"/>
    <w:rsid w:val="009B1567"/>
    <w:rsid w:val="009B5592"/>
    <w:rsid w:val="009B7844"/>
    <w:rsid w:val="009C3261"/>
    <w:rsid w:val="009C389A"/>
    <w:rsid w:val="009C433B"/>
    <w:rsid w:val="009C6F4B"/>
    <w:rsid w:val="009D086A"/>
    <w:rsid w:val="009D1545"/>
    <w:rsid w:val="009D3A16"/>
    <w:rsid w:val="009D3AF1"/>
    <w:rsid w:val="009E06D7"/>
    <w:rsid w:val="009F084B"/>
    <w:rsid w:val="009F19BE"/>
    <w:rsid w:val="00A0623C"/>
    <w:rsid w:val="00A14A13"/>
    <w:rsid w:val="00A178AF"/>
    <w:rsid w:val="00A239AF"/>
    <w:rsid w:val="00A24E9C"/>
    <w:rsid w:val="00A27975"/>
    <w:rsid w:val="00A30F5F"/>
    <w:rsid w:val="00A34F47"/>
    <w:rsid w:val="00A42A0B"/>
    <w:rsid w:val="00A43466"/>
    <w:rsid w:val="00A46999"/>
    <w:rsid w:val="00A661D0"/>
    <w:rsid w:val="00A66CD5"/>
    <w:rsid w:val="00A67D6C"/>
    <w:rsid w:val="00A80602"/>
    <w:rsid w:val="00A80A3B"/>
    <w:rsid w:val="00AA2A32"/>
    <w:rsid w:val="00AB1A51"/>
    <w:rsid w:val="00AD0F53"/>
    <w:rsid w:val="00AD1C27"/>
    <w:rsid w:val="00AD7E97"/>
    <w:rsid w:val="00AE0E6D"/>
    <w:rsid w:val="00AE14C5"/>
    <w:rsid w:val="00AE25A8"/>
    <w:rsid w:val="00AE5364"/>
    <w:rsid w:val="00AE68D0"/>
    <w:rsid w:val="00AF40EC"/>
    <w:rsid w:val="00AF4D3B"/>
    <w:rsid w:val="00AF78FF"/>
    <w:rsid w:val="00B01FE5"/>
    <w:rsid w:val="00B023F6"/>
    <w:rsid w:val="00B11E4D"/>
    <w:rsid w:val="00B15F3C"/>
    <w:rsid w:val="00B20505"/>
    <w:rsid w:val="00B21088"/>
    <w:rsid w:val="00B273CB"/>
    <w:rsid w:val="00B33E94"/>
    <w:rsid w:val="00B41D09"/>
    <w:rsid w:val="00B4393A"/>
    <w:rsid w:val="00B44961"/>
    <w:rsid w:val="00B45CD7"/>
    <w:rsid w:val="00B46EC7"/>
    <w:rsid w:val="00B528C2"/>
    <w:rsid w:val="00B57C92"/>
    <w:rsid w:val="00B66847"/>
    <w:rsid w:val="00B71D2A"/>
    <w:rsid w:val="00B73351"/>
    <w:rsid w:val="00B77359"/>
    <w:rsid w:val="00B81FD7"/>
    <w:rsid w:val="00B96CDE"/>
    <w:rsid w:val="00BA0C72"/>
    <w:rsid w:val="00BA3BB5"/>
    <w:rsid w:val="00BA6805"/>
    <w:rsid w:val="00BB328D"/>
    <w:rsid w:val="00BB5A20"/>
    <w:rsid w:val="00BC4B03"/>
    <w:rsid w:val="00BD19C2"/>
    <w:rsid w:val="00BD46B3"/>
    <w:rsid w:val="00BD733B"/>
    <w:rsid w:val="00BE358E"/>
    <w:rsid w:val="00BE7D4F"/>
    <w:rsid w:val="00BF2916"/>
    <w:rsid w:val="00C02A7D"/>
    <w:rsid w:val="00C06FBC"/>
    <w:rsid w:val="00C07296"/>
    <w:rsid w:val="00C1127B"/>
    <w:rsid w:val="00C12BBB"/>
    <w:rsid w:val="00C3156C"/>
    <w:rsid w:val="00C32B49"/>
    <w:rsid w:val="00C3368B"/>
    <w:rsid w:val="00C372C7"/>
    <w:rsid w:val="00C47C31"/>
    <w:rsid w:val="00C550B0"/>
    <w:rsid w:val="00C57217"/>
    <w:rsid w:val="00C64A99"/>
    <w:rsid w:val="00C6744E"/>
    <w:rsid w:val="00C76033"/>
    <w:rsid w:val="00C848CB"/>
    <w:rsid w:val="00CC56D7"/>
    <w:rsid w:val="00CD1605"/>
    <w:rsid w:val="00CD3045"/>
    <w:rsid w:val="00CE26E6"/>
    <w:rsid w:val="00CE2F5C"/>
    <w:rsid w:val="00CE55E5"/>
    <w:rsid w:val="00CE5F1F"/>
    <w:rsid w:val="00CF19C6"/>
    <w:rsid w:val="00CF5D30"/>
    <w:rsid w:val="00D006DF"/>
    <w:rsid w:val="00D05517"/>
    <w:rsid w:val="00D11B0A"/>
    <w:rsid w:val="00D11FCA"/>
    <w:rsid w:val="00D17D5F"/>
    <w:rsid w:val="00D2097E"/>
    <w:rsid w:val="00D220BB"/>
    <w:rsid w:val="00D23C22"/>
    <w:rsid w:val="00D260CD"/>
    <w:rsid w:val="00D329DF"/>
    <w:rsid w:val="00D37ABB"/>
    <w:rsid w:val="00D42349"/>
    <w:rsid w:val="00D427CF"/>
    <w:rsid w:val="00D475F1"/>
    <w:rsid w:val="00D5698D"/>
    <w:rsid w:val="00D65AED"/>
    <w:rsid w:val="00D706F5"/>
    <w:rsid w:val="00D8374D"/>
    <w:rsid w:val="00D85B80"/>
    <w:rsid w:val="00D933B4"/>
    <w:rsid w:val="00D94191"/>
    <w:rsid w:val="00D96A09"/>
    <w:rsid w:val="00DA1B4E"/>
    <w:rsid w:val="00DA481F"/>
    <w:rsid w:val="00DA5460"/>
    <w:rsid w:val="00DA57ED"/>
    <w:rsid w:val="00DA6830"/>
    <w:rsid w:val="00DA768D"/>
    <w:rsid w:val="00DB6D63"/>
    <w:rsid w:val="00DE0A52"/>
    <w:rsid w:val="00DF4730"/>
    <w:rsid w:val="00DF785A"/>
    <w:rsid w:val="00E02D1E"/>
    <w:rsid w:val="00E074DD"/>
    <w:rsid w:val="00E10120"/>
    <w:rsid w:val="00E107A8"/>
    <w:rsid w:val="00E24EEC"/>
    <w:rsid w:val="00E2717D"/>
    <w:rsid w:val="00E32413"/>
    <w:rsid w:val="00E41F0E"/>
    <w:rsid w:val="00E42A15"/>
    <w:rsid w:val="00E45977"/>
    <w:rsid w:val="00E518C4"/>
    <w:rsid w:val="00E61DF8"/>
    <w:rsid w:val="00E645A3"/>
    <w:rsid w:val="00E6799A"/>
    <w:rsid w:val="00E724E9"/>
    <w:rsid w:val="00E73E80"/>
    <w:rsid w:val="00E85185"/>
    <w:rsid w:val="00E87E9D"/>
    <w:rsid w:val="00E945AF"/>
    <w:rsid w:val="00E9559F"/>
    <w:rsid w:val="00EB1283"/>
    <w:rsid w:val="00EB25CF"/>
    <w:rsid w:val="00EC1B81"/>
    <w:rsid w:val="00EC4BB8"/>
    <w:rsid w:val="00EE3D08"/>
    <w:rsid w:val="00F01DA2"/>
    <w:rsid w:val="00F0391D"/>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61059"/>
    <w:rsid w:val="00F70845"/>
    <w:rsid w:val="00F70B59"/>
    <w:rsid w:val="00F71F05"/>
    <w:rsid w:val="00F72004"/>
    <w:rsid w:val="00F85EE9"/>
    <w:rsid w:val="00F92BF4"/>
    <w:rsid w:val="00F94005"/>
    <w:rsid w:val="00FA1B22"/>
    <w:rsid w:val="00FC10D8"/>
    <w:rsid w:val="00FC113F"/>
    <w:rsid w:val="00FC38AB"/>
    <w:rsid w:val="00FC7080"/>
    <w:rsid w:val="00FC7F17"/>
    <w:rsid w:val="00FD2918"/>
    <w:rsid w:val="00FD6485"/>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45AF"/>
    <w:pPr>
      <w:spacing w:after="160" w:line="259" w:lineRule="auto"/>
    </w:pPr>
    <w:rPr>
      <w:rFonts w:ascii="Calibri" w:hAnsi="Calibri"/>
      <w:szCs w:val="22"/>
      <w:lang w:eastAsia="zh-TW"/>
    </w:rPr>
  </w:style>
  <w:style w:type="paragraph" w:styleId="Heading1">
    <w:name w:val="heading 1"/>
    <w:next w:val="BodyText"/>
    <w:link w:val="Heading1Char"/>
    <w:uiPriority w:val="1"/>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1"/>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45AF"/>
    <w:pPr>
      <w:spacing w:after="160" w:line="259" w:lineRule="auto"/>
    </w:pPr>
    <w:rPr>
      <w:rFonts w:ascii="Calibri" w:hAnsi="Calibri"/>
      <w:szCs w:val="22"/>
      <w:lang w:eastAsia="zh-TW"/>
    </w:rPr>
  </w:style>
  <w:style w:type="paragraph" w:styleId="Heading1">
    <w:name w:val="heading 1"/>
    <w:next w:val="BodyText"/>
    <w:link w:val="Heading1Char"/>
    <w:uiPriority w:val="1"/>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1"/>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www.fedramp.gov/resources/documents-2016/" TargetMode="External"/><Relationship Id="rId16" Type="http://schemas.openxmlformats.org/officeDocument/2006/relationships/hyperlink" Target="https://www.fedramp.gov/resources/documents-2016/" TargetMode="External"/><Relationship Id="rId17" Type="http://schemas.openxmlformats.org/officeDocument/2006/relationships/hyperlink" Target="mailto:info@fedramp.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72EB4-70DC-1849-A246-3BE4D9FE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DRAFT_FedRAMP POA&amp;M Template Completion Guide_v1.4-REFORMATTED.dotx</Template>
  <TotalTime>42</TotalTime>
  <Pages>7</Pages>
  <Words>1402</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9382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22</cp:revision>
  <cp:lastPrinted>2017-09-08T20:26:00Z</cp:lastPrinted>
  <dcterms:created xsi:type="dcterms:W3CDTF">2017-11-17T20:59:00Z</dcterms:created>
  <dcterms:modified xsi:type="dcterms:W3CDTF">2017-11-22T14:24:00Z</dcterms:modified>
  <cp:category/>
</cp:coreProperties>
</file>