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20" w:before="480" w:lineRule="auto"/>
        <w:rPr>
          <w:rFonts w:ascii="Open Sans" w:cs="Open Sans" w:eastAsia="Open Sans" w:hAnsi="Open Sans"/>
        </w:rPr>
      </w:pPr>
      <w:bookmarkStart w:colFirst="0" w:colLast="0" w:name="_iqg54vwbv756" w:id="0"/>
      <w:bookmarkEnd w:id="0"/>
      <w:r w:rsidDel="00000000" w:rsidR="00000000" w:rsidRPr="00000000">
        <w:rPr>
          <w:rFonts w:ascii="Open Sans" w:cs="Open Sans" w:eastAsia="Open Sans" w:hAnsi="Open Sans"/>
          <w:rtl w:val="0"/>
        </w:rPr>
        <w:t xml:space="preserve">RFC-0010 FedRAMP Scope Interpretation Technical Assistance</w:t>
      </w:r>
    </w:p>
    <w:p w:rsidR="00000000" w:rsidDel="00000000" w:rsidP="00000000" w:rsidRDefault="00000000" w:rsidRPr="00000000" w14:paraId="00000002">
      <w:pPr>
        <w:pStyle w:val="Heading2"/>
        <w:rPr>
          <w:rFonts w:ascii="Open Sans" w:cs="Open Sans" w:eastAsia="Open Sans" w:hAnsi="Open Sans"/>
        </w:rPr>
      </w:pPr>
      <w:bookmarkStart w:colFirst="0" w:colLast="0" w:name="_sg8hrw5dw7q2" w:id="1"/>
      <w:bookmarkEnd w:id="1"/>
      <w:r w:rsidDel="00000000" w:rsidR="00000000" w:rsidRPr="00000000">
        <w:rPr>
          <w:rFonts w:ascii="Open Sans" w:cs="Open Sans" w:eastAsia="Open Sans" w:hAnsi="Open Sans"/>
          <w:rtl w:val="0"/>
        </w:rPr>
        <w:t xml:space="preserve">Thursday, May 15th, 2025</w:t>
      </w:r>
    </w:p>
    <w:p w:rsidR="00000000" w:rsidDel="00000000" w:rsidP="00000000" w:rsidRDefault="00000000" w:rsidRPr="00000000" w14:paraId="00000003">
      <w:pPr>
        <w:rPr>
          <w:rFonts w:ascii="Open Sans" w:cs="Open Sans" w:eastAsia="Open Sans" w:hAnsi="Open Sans"/>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0" w:lineRule="auto"/>
        <w:rPr>
          <w:rFonts w:ascii="Open Sans" w:cs="Open Sans" w:eastAsia="Open Sans" w:hAnsi="Open Sans"/>
          <w:b w:val="1"/>
        </w:rPr>
      </w:pPr>
      <w:bookmarkStart w:colFirst="0" w:colLast="0" w:name="_rra4iu6qzu4p" w:id="2"/>
      <w:bookmarkEnd w:id="2"/>
      <w:r w:rsidDel="00000000" w:rsidR="00000000" w:rsidRPr="00000000">
        <w:rPr>
          <w:rFonts w:ascii="Open Sans" w:cs="Open Sans" w:eastAsia="Open Sans" w:hAnsi="Open Sans"/>
          <w:b w:val="1"/>
          <w:rtl w:val="0"/>
        </w:rPr>
        <w:t xml:space="preserve">Background</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OMB Memorandum </w:t>
      </w:r>
      <w:hyperlink r:id="rId6">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updated FedRAMP's scope, defining categories of services excluded from its requirements. To ensure consistent application of these exclusions across agencies, the memorandum requires the publication of clarifying guidance, stating in section 3 “</w:t>
      </w:r>
      <w:r w:rsidDel="00000000" w:rsidR="00000000" w:rsidRPr="00000000">
        <w:rPr>
          <w:rFonts w:ascii="Open Sans" w:cs="Open Sans" w:eastAsia="Open Sans" w:hAnsi="Open Sans"/>
          <w:i w:val="1"/>
          <w:sz w:val="24"/>
          <w:szCs w:val="24"/>
          <w:rtl w:val="0"/>
        </w:rPr>
        <w:t xml:space="preserve">FedRAMP, in consultation with OMB, will publish guidelines for interpreting the categories above, with supporting examples that clearly illustrate what types of services are in and out of scope.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information is provided for public awareness. Reference to any commercial product does not constitute endorsement by GSA. For more information, please see </w:t>
      </w:r>
      <w:hyperlink r:id="rId7">
        <w:r w:rsidDel="00000000" w:rsidR="00000000" w:rsidRPr="00000000">
          <w:rPr>
            <w:rFonts w:ascii="Open Sans" w:cs="Open Sans" w:eastAsia="Open Sans" w:hAnsi="Open Sans"/>
            <w:color w:val="1155cc"/>
            <w:sz w:val="24"/>
            <w:szCs w:val="24"/>
            <w:u w:val="single"/>
            <w:rtl w:val="0"/>
          </w:rPr>
          <w:t xml:space="preserve">FedRAMP Disclaimers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spacing w:before="0" w:lineRule="auto"/>
        <w:rPr>
          <w:rFonts w:ascii="Open Sans" w:cs="Open Sans" w:eastAsia="Open Sans" w:hAnsi="Open Sans"/>
          <w:b w:val="1"/>
        </w:rPr>
      </w:pPr>
      <w:bookmarkStart w:colFirst="0" w:colLast="0" w:name="_3bi22af4qmwz" w:id="3"/>
      <w:bookmarkEnd w:id="3"/>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A">
      <w:pPr>
        <w:rPr>
          <w:rFonts w:ascii="Open Sans" w:cs="Open Sans" w:eastAsia="Open Sans" w:hAnsi="Open Sans"/>
          <w:sz w:val="24"/>
          <w:szCs w:val="24"/>
        </w:rPr>
      </w:pPr>
      <w:hyperlink r:id="rId8">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establishes that agencies must apply FedRAMP when acquiring cloud services to create, collect, process, store, or maintain Federal information on behalf of a Federal agency, unless the service meets specific exclusion criteria outlined in the policy. This requirement enables standardized security assessment reuse and consistent monitoring across the federal government, promoting efficiency and enhancing security posture.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FedRAMP does not apply to all internet-based services used by agencies. M-24-15 Section 3 clearly defines specific categories of cloud services that are out of scope. Furthermore, agencies may use the same service offering differently based on mission needs, and each agency must determine FedRAMP applicability based on their specific implementation, use case, and risk profile.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clarifies the initial step of determining if FedRAMP requirements apply to a cloud service, based on the agency's specific use and the out-of-scope categories defined in M-24-15. While M-24-15 includes various processes and flexibilities for services requiring authorization, this guidance focuses solely on interpreting the scope exclusions.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Best practices and technical assistance MUST NOT be used as a checklist. All examples are for discussion purposes ONLY. This technical assistance is designed for reasonable people to have reasonable discussions about FedRAMP applicability based on their specific use of a cloud service.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document will be continuously updated to reflect evolving interpretive needs based on M-24-15's scope requirements. This includes updates to reflect any additional excluded categories identified by the FedRAMP Board with Federal CIO concurrence, or exceptions made by the FedRAMP Director with OMB approval.</w:t>
      </w:r>
    </w:p>
    <w:p w:rsidR="00000000" w:rsidDel="00000000" w:rsidP="00000000" w:rsidRDefault="00000000" w:rsidRPr="00000000" w14:paraId="00000013">
      <w:pPr>
        <w:pStyle w:val="Heading1"/>
        <w:keepNext w:val="0"/>
        <w:keepLines w:val="0"/>
        <w:spacing w:before="0" w:lineRule="auto"/>
        <w:rPr>
          <w:rFonts w:ascii="Open Sans" w:cs="Open Sans" w:eastAsia="Open Sans" w:hAnsi="Open Sans"/>
          <w:b w:val="1"/>
        </w:rPr>
      </w:pPr>
      <w:bookmarkStart w:colFirst="0" w:colLast="0" w:name="_f4safxsthhe6" w:id="4"/>
      <w:bookmarkEnd w:id="4"/>
      <w:r w:rsidDel="00000000" w:rsidR="00000000" w:rsidRPr="00000000">
        <w:rPr>
          <w:rtl w:val="0"/>
        </w:rPr>
      </w:r>
    </w:p>
    <w:p w:rsidR="00000000" w:rsidDel="00000000" w:rsidP="00000000" w:rsidRDefault="00000000" w:rsidRPr="00000000" w14:paraId="00000014">
      <w:pPr>
        <w:pStyle w:val="Heading1"/>
        <w:keepNext w:val="0"/>
        <w:keepLines w:val="0"/>
        <w:spacing w:before="0" w:lineRule="auto"/>
        <w:rPr>
          <w:rFonts w:ascii="Open Sans" w:cs="Open Sans" w:eastAsia="Open Sans" w:hAnsi="Open Sans"/>
          <w:b w:val="1"/>
        </w:rPr>
      </w:pPr>
      <w:bookmarkStart w:colFirst="0" w:colLast="0" w:name="_thdsolk6i21g" w:id="5"/>
      <w:bookmarkEnd w:id="5"/>
      <w:r w:rsidDel="00000000" w:rsidR="00000000" w:rsidRPr="00000000">
        <w:rPr>
          <w:rFonts w:ascii="Open Sans" w:cs="Open Sans" w:eastAsia="Open Sans" w:hAnsi="Open Sans"/>
          <w:b w:val="1"/>
          <w:rtl w:val="0"/>
        </w:rPr>
        <w:t xml:space="preserve">Determining FedRAMP Scope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guidance provides practical examples to help agencies navigate FedRAMP applicability decisions to ensure consistent implementation of M-24-15 across the federal government. The examples below illustrate how to interpret each of the out-of-scope categories defined in Section 3 of the OMB Memorandum. This guidance is not intended to be a complete listing of all possible examples or exclusions. Agencies must perform their own analysis and may find that some use cases may fall into multiple exemption categories outlined below</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pStyle w:val="Heading3"/>
        <w:spacing w:line="240" w:lineRule="auto"/>
        <w:rPr>
          <w:rFonts w:ascii="Open Sans" w:cs="Open Sans" w:eastAsia="Open Sans" w:hAnsi="Open Sans"/>
        </w:rPr>
      </w:pPr>
      <w:bookmarkStart w:colFirst="0" w:colLast="0" w:name="_bblwllwkmkg" w:id="6"/>
      <w:bookmarkEnd w:id="6"/>
      <w:r w:rsidDel="00000000" w:rsidR="00000000" w:rsidRPr="00000000">
        <w:rPr>
          <w:rFonts w:ascii="Open Sans" w:cs="Open Sans" w:eastAsia="Open Sans" w:hAnsi="Open Sans"/>
          <w:rtl w:val="0"/>
        </w:rPr>
        <w:t xml:space="preserve">Information systems that are only used for a single agency’s operations, hosted on cloud infrastructure or platform, and are not offered as a shared service or do not operate with a shared responsibility model;</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br w:type="textWrapping"/>
      </w:r>
    </w:p>
    <w:p w:rsidR="00000000" w:rsidDel="00000000" w:rsidP="00000000" w:rsidRDefault="00000000" w:rsidRPr="00000000" w14:paraId="0000001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1B">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Single agency operational and configuration responsibility</w:t>
      </w:r>
    </w:p>
    <w:p w:rsidR="00000000" w:rsidDel="00000000" w:rsidP="00000000" w:rsidRDefault="00000000" w:rsidRPr="00000000" w14:paraId="0000001C">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assessment to reuse</w:t>
      </w:r>
    </w:p>
    <w:p w:rsidR="00000000" w:rsidDel="00000000" w:rsidP="00000000" w:rsidRDefault="00000000" w:rsidRPr="00000000" w14:paraId="0000001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br w:type="textWrapping"/>
        <w:t xml:space="preserve">Examples:</w:t>
      </w:r>
      <w:r w:rsidDel="00000000" w:rsidR="00000000" w:rsidRPr="00000000">
        <w:rPr>
          <w:rtl w:val="0"/>
        </w:rPr>
      </w:r>
    </w:p>
    <w:p w:rsidR="00000000" w:rsidDel="00000000" w:rsidP="00000000" w:rsidRDefault="00000000" w:rsidRPr="00000000" w14:paraId="0000001E">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custom applications deployed to FedRAMP authorized IaaS </w:t>
      </w:r>
    </w:p>
    <w:p w:rsidR="00000000" w:rsidDel="00000000" w:rsidP="00000000" w:rsidRDefault="00000000" w:rsidRPr="00000000" w14:paraId="0000001F">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deployed instances of an app from a FedRAMP authorized PaaS vendors App Storefront</w:t>
      </w:r>
    </w:p>
    <w:p w:rsidR="00000000" w:rsidDel="00000000" w:rsidP="00000000" w:rsidRDefault="00000000" w:rsidRPr="00000000" w14:paraId="00000020">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mission systems operated by a single agency with no shared operation or configuration responsibility</w:t>
      </w:r>
    </w:p>
    <w:p w:rsidR="00000000" w:rsidDel="00000000" w:rsidP="00000000" w:rsidRDefault="00000000" w:rsidRPr="00000000" w14:paraId="00000021">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Data.gov: </w:t>
      </w:r>
      <w:r w:rsidDel="00000000" w:rsidR="00000000" w:rsidRPr="00000000">
        <w:rPr>
          <w:rFonts w:ascii="Open Sans" w:cs="Open Sans" w:eastAsia="Open Sans" w:hAnsi="Open Sans"/>
          <w:sz w:val="24"/>
          <w:szCs w:val="24"/>
          <w:rtl w:val="0"/>
        </w:rPr>
        <w:t xml:space="preserve">GSA operates data.gov, a cloud hosted platform which allows agencies to share open datasets. While multiple agencies can contribute datasets, GSA maintains full responsibility for the systems configuration, operations, and authority to operate. </w:t>
      </w:r>
    </w:p>
    <w:p w:rsidR="00000000" w:rsidDel="00000000" w:rsidP="00000000" w:rsidRDefault="00000000" w:rsidRPr="00000000" w14:paraId="00000023">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Single operator; no shared platform responsibility.</w:t>
      </w:r>
    </w:p>
    <w:p w:rsidR="00000000" w:rsidDel="00000000" w:rsidP="00000000" w:rsidRDefault="00000000" w:rsidRPr="00000000" w14:paraId="00000025">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USDA AgCloud Managed Platform Services (AMPS): </w:t>
      </w:r>
      <w:r w:rsidDel="00000000" w:rsidR="00000000" w:rsidRPr="00000000">
        <w:rPr>
          <w:rFonts w:ascii="Open Sans" w:cs="Open Sans" w:eastAsia="Open Sans" w:hAnsi="Open Sans"/>
          <w:sz w:val="24"/>
          <w:szCs w:val="24"/>
          <w:rtl w:val="0"/>
        </w:rPr>
        <w:t xml:space="preserve">AMPS is a fully-managed DISC platform designed to give customers a supported and secure way to cloud computing. AMPS includes security services, patching services, administration services, and inheritable Authority to Operate (ATO) security controls for these managed services. Simply stated, AMPS provides the infrastructure on which customers may deploy their applications.AMPS provides a standardized, secure cloud platform that allows agencies to quickly deploy applications without managing the underlying IT infrastructure. By offering a shared, pre-configured environment with consistent security standards, AMPS assumes responsibility for the underlying platform, while customer agencies manage their applications.</w:t>
      </w:r>
    </w:p>
    <w:p w:rsidR="00000000" w:rsidDel="00000000" w:rsidP="00000000" w:rsidRDefault="00000000" w:rsidRPr="00000000" w14:paraId="00000027">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Reusable platform; shared responsibility model.</w:t>
      </w:r>
    </w:p>
    <w:p w:rsidR="00000000" w:rsidDel="00000000" w:rsidP="00000000" w:rsidRDefault="00000000" w:rsidRPr="00000000" w14:paraId="00000029">
      <w:pPr>
        <w:pStyle w:val="Heading3"/>
        <w:spacing w:line="240" w:lineRule="auto"/>
        <w:rPr>
          <w:rFonts w:ascii="Open Sans" w:cs="Open Sans" w:eastAsia="Open Sans" w:hAnsi="Open Sans"/>
        </w:rPr>
      </w:pPr>
      <w:bookmarkStart w:colFirst="0" w:colLast="0" w:name="_34d8bvbmtbdh" w:id="7"/>
      <w:bookmarkEnd w:id="7"/>
      <w:r w:rsidDel="00000000" w:rsidR="00000000" w:rsidRPr="00000000">
        <w:rPr>
          <w:rFonts w:ascii="Open Sans" w:cs="Open Sans" w:eastAsia="Open Sans" w:hAnsi="Open Sans"/>
          <w:rtl w:val="0"/>
        </w:rPr>
        <w:t xml:space="preserve">Social media and communications platforms used in accordance with agency social media policies</w:t>
      </w:r>
    </w:p>
    <w:p w:rsidR="00000000" w:rsidDel="00000000" w:rsidP="00000000" w:rsidRDefault="00000000" w:rsidRPr="00000000" w14:paraId="0000002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p w:rsidR="00000000" w:rsidDel="00000000" w:rsidP="00000000" w:rsidRDefault="00000000" w:rsidRPr="00000000" w14:paraId="0000002C">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Used in accordance with agency social media policies including compliance with Federal Records Act</w:t>
      </w:r>
    </w:p>
    <w:p w:rsidR="00000000" w:rsidDel="00000000" w:rsidP="00000000" w:rsidRDefault="00000000" w:rsidRPr="00000000" w14:paraId="0000002F">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purpose is external communication</w:t>
      </w:r>
    </w:p>
    <w:p w:rsidR="00000000" w:rsidDel="00000000" w:rsidP="00000000" w:rsidRDefault="00000000" w:rsidRPr="00000000" w14:paraId="00000030">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used as an authoritative source for federal information</w:t>
      </w:r>
    </w:p>
    <w:p w:rsidR="00000000" w:rsidDel="00000000" w:rsidP="00000000" w:rsidRDefault="00000000" w:rsidRPr="00000000" w14:paraId="00000031">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federal information in the communication platform is intended for public use</w:t>
      </w:r>
    </w:p>
    <w:p w:rsidR="00000000" w:rsidDel="00000000" w:rsidP="00000000" w:rsidRDefault="00000000" w:rsidRPr="00000000" w14:paraId="0000003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34">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social media accounts (e.g., X, Facebook/Meta) including platform AI features (like content suggestions, public analytics, and sentiment analysis) that do not respond on behalf of the agency</w:t>
      </w:r>
    </w:p>
    <w:p w:rsidR="00000000" w:rsidDel="00000000" w:rsidP="00000000" w:rsidRDefault="00000000" w:rsidRPr="00000000" w14:paraId="00000035">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Scientific collaboration platforms (protocols.io)</w:t>
      </w:r>
    </w:p>
    <w:p w:rsidR="00000000" w:rsidDel="00000000" w:rsidP="00000000" w:rsidRDefault="00000000" w:rsidRPr="00000000" w14:paraId="00000036">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Scientific Collaboration: </w:t>
      </w:r>
      <w:r w:rsidDel="00000000" w:rsidR="00000000" w:rsidRPr="00000000">
        <w:rPr>
          <w:rFonts w:ascii="Open Sans" w:cs="Open Sans" w:eastAsia="Open Sans" w:hAnsi="Open Sans"/>
          <w:sz w:val="24"/>
          <w:szCs w:val="24"/>
          <w:rtl w:val="0"/>
        </w:rPr>
        <w:t xml:space="preserve">Agency researchers use protocols.io to communicate with the scientific community and share information. If protocols.io went away, the agency wouldn’t lose any federal information so the platform isn’t within the scope of FedRAMP. </w:t>
      </w:r>
    </w:p>
    <w:p w:rsidR="00000000" w:rsidDel="00000000" w:rsidP="00000000" w:rsidRDefault="00000000" w:rsidRPr="00000000" w14:paraId="00000038">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 communication using public information; not an authoritative source.</w:t>
      </w:r>
    </w:p>
    <w:p w:rsidR="00000000" w:rsidDel="00000000" w:rsidP="00000000" w:rsidRDefault="00000000" w:rsidRPr="00000000" w14:paraId="0000003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Government Collaboration: </w:t>
      </w:r>
      <w:r w:rsidDel="00000000" w:rsidR="00000000" w:rsidRPr="00000000">
        <w:rPr>
          <w:rFonts w:ascii="Open Sans" w:cs="Open Sans" w:eastAsia="Open Sans" w:hAnsi="Open Sans"/>
          <w:sz w:val="24"/>
          <w:szCs w:val="24"/>
          <w:rtl w:val="0"/>
        </w:rPr>
        <w:t xml:space="preserve">Agency teams use collaboration platforms (e.g., Slack, Teams) for internal and cross-agency work, processing and storing sensitive, non-public federal information . Handling this information on behalf of agencies necessitates FedRAMP authorization. </w:t>
      </w:r>
    </w:p>
    <w:p w:rsidR="00000000" w:rsidDel="00000000" w:rsidP="00000000" w:rsidRDefault="00000000" w:rsidRPr="00000000" w14:paraId="0000003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w:t>
      </w:r>
    </w:p>
    <w:p w:rsidR="00000000" w:rsidDel="00000000" w:rsidP="00000000" w:rsidRDefault="00000000" w:rsidRPr="00000000" w14:paraId="0000003E">
      <w:pPr>
        <w:pStyle w:val="Heading3"/>
        <w:spacing w:line="240" w:lineRule="auto"/>
        <w:rPr>
          <w:rFonts w:ascii="Open Sans" w:cs="Open Sans" w:eastAsia="Open Sans" w:hAnsi="Open Sans"/>
        </w:rPr>
      </w:pPr>
      <w:bookmarkStart w:colFirst="0" w:colLast="0" w:name="_a4vd27j51xl3" w:id="8"/>
      <w:bookmarkEnd w:id="8"/>
      <w:r w:rsidDel="00000000" w:rsidR="00000000" w:rsidRPr="00000000">
        <w:rPr>
          <w:rFonts w:ascii="Open Sans" w:cs="Open Sans" w:eastAsia="Open Sans" w:hAnsi="Open Sans"/>
          <w:rtl w:val="0"/>
        </w:rPr>
        <w:t xml:space="preserve">Search Engines</w:t>
      </w:r>
    </w:p>
    <w:p w:rsidR="00000000" w:rsidDel="00000000" w:rsidP="00000000" w:rsidRDefault="00000000" w:rsidRPr="00000000" w14:paraId="0000003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w:t>
      </w:r>
      <w:r w:rsidDel="00000000" w:rsidR="00000000" w:rsidRPr="00000000">
        <w:rPr>
          <w:rFonts w:ascii="Open Sans" w:cs="Open Sans" w:eastAsia="Open Sans" w:hAnsi="Open Sans"/>
          <w:sz w:val="24"/>
          <w:szCs w:val="24"/>
          <w:rtl w:val="0"/>
        </w:rPr>
        <w:t xml:space="preserve"> The search engine is used primarily for public information discovery and does not store, index, or maintain internal federal information on behalf of the government.</w:t>
      </w:r>
    </w:p>
    <w:p w:rsidR="00000000" w:rsidDel="00000000" w:rsidP="00000000" w:rsidRDefault="00000000" w:rsidRPr="00000000" w14:paraId="00000040">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42">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function is public information discovery</w:t>
      </w:r>
    </w:p>
    <w:p w:rsidR="00000000" w:rsidDel="00000000" w:rsidP="00000000" w:rsidRDefault="00000000" w:rsidRPr="00000000" w14:paraId="00000043">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 not collect or maintain federal information for agencies</w:t>
      </w:r>
    </w:p>
    <w:p w:rsidR="00000000" w:rsidDel="00000000" w:rsidP="00000000" w:rsidRDefault="00000000" w:rsidRPr="00000000" w14:paraId="00000044">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instructed not to input sensitive federal information</w:t>
      </w:r>
    </w:p>
    <w:p w:rsidR="00000000" w:rsidDel="00000000" w:rsidP="00000000" w:rsidRDefault="00000000" w:rsidRPr="00000000" w14:paraId="00000045">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47">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search engines (e.g., Google, Bing, Lycos) using only public or non-sensitive federal information</w:t>
      </w:r>
    </w:p>
    <w:p w:rsidR="00000000" w:rsidDel="00000000" w:rsidP="00000000" w:rsidRDefault="00000000" w:rsidRPr="00000000" w14:paraId="00000048">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AI Chatbots (e.g., ChatGPT, Claude, Grok) using only public or non-sensitive federal information</w:t>
      </w:r>
    </w:p>
    <w:p w:rsidR="00000000" w:rsidDel="00000000" w:rsidP="00000000" w:rsidRDefault="00000000" w:rsidRPr="00000000" w14:paraId="00000049">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AI search chatbot: </w:t>
      </w:r>
      <w:r w:rsidDel="00000000" w:rsidR="00000000" w:rsidRPr="00000000">
        <w:rPr>
          <w:rFonts w:ascii="Open Sans" w:cs="Open Sans" w:eastAsia="Open Sans" w:hAnsi="Open Sans"/>
          <w:sz w:val="24"/>
          <w:szCs w:val="24"/>
          <w:rtl w:val="0"/>
        </w:rPr>
        <w:t xml:space="preserve">An agency uses a public AI Chatbot search to troubleshoot technical issues with a video conferencing system. Search queries of public or non-sensitive federal information may be logged by the vendor, but not FOR the agency. Because no internal data is accessed or trained on, FedRAMP doesn’t apply. </w:t>
      </w:r>
    </w:p>
    <w:p w:rsidR="00000000" w:rsidDel="00000000" w:rsidP="00000000" w:rsidRDefault="00000000" w:rsidRPr="00000000" w14:paraId="0000004B">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Searches public information; does not collect or maintain internal federal information for the agency.</w:t>
      </w:r>
    </w:p>
    <w:p w:rsidR="00000000" w:rsidDel="00000000" w:rsidP="00000000" w:rsidRDefault="00000000" w:rsidRPr="00000000" w14:paraId="0000004D">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Internal Data Search:</w:t>
      </w:r>
      <w:r w:rsidDel="00000000" w:rsidR="00000000" w:rsidRPr="00000000">
        <w:rPr>
          <w:rFonts w:ascii="Open Sans" w:cs="Open Sans" w:eastAsia="Open Sans" w:hAnsi="Open Sans"/>
          <w:sz w:val="24"/>
          <w:szCs w:val="24"/>
          <w:rtl w:val="0"/>
        </w:rPr>
        <w:t xml:space="preserve"> An agency uses a shared cloud service to index and search internal repositories containing non-public federal information (e.g., documents, emails, databases). Because the service collects, processes, and maintains internal federal information on behalf of the agency, FedRAMP authorization is required. </w:t>
      </w:r>
    </w:p>
    <w:p w:rsidR="00000000" w:rsidDel="00000000" w:rsidP="00000000" w:rsidRDefault="00000000" w:rsidRPr="00000000" w14:paraId="0000004F">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0">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processes, and maintains internal agency data for the agency.</w:t>
      </w:r>
    </w:p>
    <w:p w:rsidR="00000000" w:rsidDel="00000000" w:rsidP="00000000" w:rsidRDefault="00000000" w:rsidRPr="00000000" w14:paraId="00000051">
      <w:pPr>
        <w:pStyle w:val="Heading3"/>
        <w:spacing w:line="240" w:lineRule="auto"/>
        <w:rPr>
          <w:rFonts w:ascii="Open Sans" w:cs="Open Sans" w:eastAsia="Open Sans" w:hAnsi="Open Sans"/>
        </w:rPr>
      </w:pPr>
      <w:bookmarkStart w:colFirst="0" w:colLast="0" w:name="_dqbbfegf0ae4" w:id="9"/>
      <w:bookmarkEnd w:id="9"/>
      <w:r w:rsidDel="00000000" w:rsidR="00000000" w:rsidRPr="00000000">
        <w:rPr>
          <w:rFonts w:ascii="Open Sans" w:cs="Open Sans" w:eastAsia="Open Sans" w:hAnsi="Open Sans"/>
          <w:rtl w:val="0"/>
        </w:rPr>
        <w:t xml:space="preserve">Widely available services that provide commercially available information to agencies, but do not collect Federal information</w:t>
      </w:r>
    </w:p>
    <w:p w:rsidR="00000000" w:rsidDel="00000000" w:rsidP="00000000" w:rsidRDefault="00000000" w:rsidRPr="00000000" w14:paraId="0000005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p w:rsidR="00000000" w:rsidDel="00000000" w:rsidP="00000000" w:rsidRDefault="00000000" w:rsidRPr="00000000" w14:paraId="00000054">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56">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Provides commercial services to agencies and the general public </w:t>
      </w:r>
    </w:p>
    <w:p w:rsidR="00000000" w:rsidDel="00000000" w:rsidP="00000000" w:rsidRDefault="00000000" w:rsidRPr="00000000" w14:paraId="00000057">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 temporarily process federal information (such as an address) to provide a response, and may maintain records of past requests, but does not collect or maintain federal information for the government </w:t>
      </w:r>
    </w:p>
    <w:p w:rsidR="00000000" w:rsidDel="00000000" w:rsidP="00000000" w:rsidRDefault="00000000" w:rsidRPr="00000000" w14:paraId="00000058">
      <w:pPr>
        <w:numPr>
          <w:ilvl w:val="1"/>
          <w:numId w:val="5"/>
        </w:numPr>
        <w:spacing w:line="24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does not require the service to retain or provide access to this information after the transaction or service delivery is complete</w:t>
      </w:r>
    </w:p>
    <w:p w:rsidR="00000000" w:rsidDel="00000000" w:rsidP="00000000" w:rsidRDefault="00000000" w:rsidRPr="00000000" w14:paraId="00000059">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of unexpected exposure of federal information is accepted because the positive impact on the agency’s mission is greater than the impact of the government’s use of the system being exposed</w:t>
      </w:r>
    </w:p>
    <w:p w:rsidR="00000000" w:rsidDel="00000000" w:rsidP="00000000" w:rsidRDefault="00000000" w:rsidRPr="00000000" w14:paraId="0000005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5C">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Map services</w:t>
      </w:r>
    </w:p>
    <w:p w:rsidR="00000000" w:rsidDel="00000000" w:rsidP="00000000" w:rsidRDefault="00000000" w:rsidRPr="00000000" w14:paraId="0000005D">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Certificate Authorities (e.g., Let's Encrypt, DigiCert) and DNS Resolvers</w:t>
      </w:r>
    </w:p>
    <w:p w:rsidR="00000000" w:rsidDel="00000000" w:rsidP="00000000" w:rsidRDefault="00000000" w:rsidRPr="00000000" w14:paraId="0000005E">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 and Address verification services</w:t>
      </w:r>
    </w:p>
    <w:p w:rsidR="00000000" w:rsidDel="00000000" w:rsidP="00000000" w:rsidRDefault="00000000" w:rsidRPr="00000000" w14:paraId="0000005F">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Non-IT service providers such as airline ticketing or ride sharing systems</w:t>
      </w:r>
    </w:p>
    <w:p w:rsidR="00000000" w:rsidDel="00000000" w:rsidP="00000000" w:rsidRDefault="00000000" w:rsidRPr="00000000" w14:paraId="0000006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Janitorial Services Scheduling:</w:t>
      </w:r>
      <w:r w:rsidDel="00000000" w:rsidR="00000000" w:rsidRPr="00000000">
        <w:rPr>
          <w:rFonts w:ascii="Open Sans" w:cs="Open Sans" w:eastAsia="Open Sans" w:hAnsi="Open Sans"/>
          <w:sz w:val="24"/>
          <w:szCs w:val="24"/>
          <w:rtl w:val="0"/>
        </w:rPr>
        <w:t xml:space="preserve"> An agency sends building information and access information to a cloud scheduling portal used by their janitorial service company. The company uses the information to ensure that buildings are serviced and that janitors can access the building. </w:t>
      </w:r>
    </w:p>
    <w:p w:rsidR="00000000" w:rsidDel="00000000" w:rsidP="00000000" w:rsidRDefault="00000000" w:rsidRPr="00000000" w14:paraId="0000006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72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Acquired non-IT service; cloud tool use is incidental; does not maintain federal information for the agency.</w:t>
      </w:r>
    </w:p>
    <w:p w:rsidR="00000000" w:rsidDel="00000000" w:rsidP="00000000" w:rsidRDefault="00000000" w:rsidRPr="00000000" w14:paraId="0000006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Verification Services: </w:t>
      </w:r>
      <w:r w:rsidDel="00000000" w:rsidR="00000000" w:rsidRPr="00000000">
        <w:rPr>
          <w:rFonts w:ascii="Open Sans" w:cs="Open Sans" w:eastAsia="Open Sans" w:hAnsi="Open Sans"/>
          <w:sz w:val="24"/>
          <w:szCs w:val="24"/>
          <w:rtl w:val="0"/>
        </w:rPr>
        <w:t xml:space="preserve">An agency uses an address-validation service API which returns a true/false “match” and then discards the data. The service doesn’t retain the federal information and there is little risk as the service is authoritative for the information provided (addresses), making it a service that falls outside the FedRAMP scope. </w:t>
      </w:r>
    </w:p>
    <w:p w:rsidR="00000000" w:rsidDel="00000000" w:rsidP="00000000" w:rsidRDefault="00000000" w:rsidRPr="00000000" w14:paraId="00000066">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7">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Provides commercial data; temporarily processes federal information; does not maintain federal information for the agency.</w:t>
      </w:r>
    </w:p>
    <w:p w:rsidR="00000000" w:rsidDel="00000000" w:rsidP="00000000" w:rsidRDefault="00000000" w:rsidRPr="00000000" w14:paraId="00000068">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Verification Services (Identity): </w:t>
      </w:r>
      <w:r w:rsidDel="00000000" w:rsidR="00000000" w:rsidRPr="00000000">
        <w:rPr>
          <w:rFonts w:ascii="Open Sans" w:cs="Open Sans" w:eastAsia="Open Sans" w:hAnsi="Open Sans"/>
          <w:sz w:val="24"/>
          <w:szCs w:val="24"/>
          <w:rtl w:val="0"/>
        </w:rPr>
        <w:t xml:space="preserve">An agency uses a cloud Identity Verification service requiring users to submit PII. The service collects, processes, and stores this sensitive federal information (PII) on behalf of the agency to perform identity proofing and for later review. Maintaining federal PII for an agency function necessitates FedRAMP authorization. </w:t>
      </w:r>
    </w:p>
    <w:p w:rsidR="00000000" w:rsidDel="00000000" w:rsidP="00000000" w:rsidRDefault="00000000" w:rsidRPr="00000000" w14:paraId="0000006A">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B">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and stores sensitive federal PII on behalf of the agency.</w:t>
      </w:r>
    </w:p>
    <w:p w:rsidR="00000000" w:rsidDel="00000000" w:rsidP="00000000" w:rsidRDefault="00000000" w:rsidRPr="00000000" w14:paraId="0000006C">
      <w:pPr>
        <w:pStyle w:val="Heading3"/>
        <w:spacing w:line="240" w:lineRule="auto"/>
        <w:rPr>
          <w:rFonts w:ascii="Open Sans" w:cs="Open Sans" w:eastAsia="Open Sans" w:hAnsi="Open Sans"/>
        </w:rPr>
      </w:pPr>
      <w:bookmarkStart w:colFirst="0" w:colLast="0" w:name="_c4ybtrfv8bl7" w:id="10"/>
      <w:bookmarkEnd w:id="10"/>
      <w:r w:rsidDel="00000000" w:rsidR="00000000" w:rsidRPr="00000000">
        <w:rPr>
          <w:rFonts w:ascii="Open Sans" w:cs="Open Sans" w:eastAsia="Open Sans" w:hAnsi="Open Sans"/>
          <w:rtl w:val="0"/>
        </w:rPr>
        <w:t xml:space="preserve">Ancillary services whose compromise would pose a negligible risk to Federal information or information systems, such as systems that make external measurements or only ingest information from other publicly available services</w:t>
      </w:r>
    </w:p>
    <w:p w:rsidR="00000000" w:rsidDel="00000000" w:rsidP="00000000" w:rsidRDefault="00000000" w:rsidRPr="00000000" w14:paraId="0000006D">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agency determines, through a specific risk analysis, that the compromise or failure of the ancillary service would pose a negligible risk to federal information or information systems based on the agency's specific use. </w:t>
      </w:r>
      <w:r w:rsidDel="00000000" w:rsidR="00000000" w:rsidRPr="00000000">
        <w:rPr>
          <w:rFonts w:ascii="Open Sans" w:cs="Open Sans" w:eastAsia="Open Sans" w:hAnsi="Open Sans"/>
          <w:sz w:val="24"/>
          <w:szCs w:val="24"/>
          <w:rtl w:val="0"/>
        </w:rPr>
        <w:t xml:space="preserve">This determination may vary by agency and use case.</w:t>
      </w:r>
      <w:r w:rsidDel="00000000" w:rsidR="00000000" w:rsidRPr="00000000">
        <w:rPr>
          <w:rtl w:val="0"/>
        </w:rPr>
      </w:r>
    </w:p>
    <w:p w:rsidR="00000000" w:rsidDel="00000000" w:rsidP="00000000" w:rsidRDefault="00000000" w:rsidRPr="00000000" w14:paraId="0000006F">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71">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Makes external measurements or ingests only public information</w:t>
      </w:r>
    </w:p>
    <w:p w:rsidR="00000000" w:rsidDel="00000000" w:rsidP="00000000" w:rsidRDefault="00000000" w:rsidRPr="00000000" w14:paraId="00000072">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Doesn’t control or have privileged access to agency systems</w:t>
      </w:r>
    </w:p>
    <w:p w:rsidR="00000000" w:rsidDel="00000000" w:rsidP="00000000" w:rsidRDefault="00000000" w:rsidRPr="00000000" w14:paraId="00000073">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 </w:t>
      </w:r>
    </w:p>
    <w:p w:rsidR="00000000" w:rsidDel="00000000" w:rsidP="00000000" w:rsidRDefault="00000000" w:rsidRPr="00000000" w14:paraId="0000007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76">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upstream traffic filtering/DDoS (no decryption, negligible availability requirements)</w:t>
      </w:r>
    </w:p>
    <w:p w:rsidR="00000000" w:rsidDel="00000000" w:rsidP="00000000" w:rsidRDefault="00000000" w:rsidRPr="00000000" w14:paraId="00000077">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CAPTCHA services on public facing non-sensitive sites and forms </w:t>
      </w:r>
    </w:p>
    <w:p w:rsidR="00000000" w:rsidDel="00000000" w:rsidP="00000000" w:rsidRDefault="00000000" w:rsidRPr="00000000" w14:paraId="00000078">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analytics and uptime monitoring (Pingdom, StatusPage)</w:t>
      </w:r>
    </w:p>
    <w:p w:rsidR="00000000" w:rsidDel="00000000" w:rsidP="00000000" w:rsidRDefault="00000000" w:rsidRPr="00000000" w14:paraId="00000079">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Unauthenticated vulnerability and code scanning tools for public facing components or code</w:t>
      </w:r>
    </w:p>
    <w:p w:rsidR="00000000" w:rsidDel="00000000" w:rsidP="00000000" w:rsidRDefault="00000000" w:rsidRPr="00000000" w14:paraId="0000007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Public Monitoring Tool: </w:t>
      </w:r>
      <w:r w:rsidDel="00000000" w:rsidR="00000000" w:rsidRPr="00000000">
        <w:rPr>
          <w:rFonts w:ascii="Open Sans" w:cs="Open Sans" w:eastAsia="Open Sans" w:hAnsi="Open Sans"/>
          <w:sz w:val="24"/>
          <w:szCs w:val="24"/>
          <w:rtl w:val="0"/>
        </w:rPr>
        <w:t xml:space="preserve">An agency uses an external service to monitor its non-critical public website/API availability via pings, logging uptime, and sending alerts. </w:t>
      </w:r>
    </w:p>
    <w:p w:rsidR="00000000" w:rsidDel="00000000" w:rsidP="00000000" w:rsidRDefault="00000000" w:rsidRPr="00000000" w14:paraId="0000007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Externally measures public endpoints; does not ingest or store sensitive federal data.</w:t>
      </w:r>
    </w:p>
    <w:p w:rsidR="00000000" w:rsidDel="00000000" w:rsidP="00000000" w:rsidRDefault="00000000" w:rsidRPr="00000000" w14:paraId="0000007E">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Integrated Monitoring System: </w:t>
      </w:r>
      <w:r w:rsidDel="00000000" w:rsidR="00000000" w:rsidRPr="00000000">
        <w:rPr>
          <w:rFonts w:ascii="Open Sans" w:cs="Open Sans" w:eastAsia="Open Sans" w:hAnsi="Open Sans"/>
          <w:sz w:val="24"/>
          <w:szCs w:val="24"/>
          <w:rtl w:val="0"/>
        </w:rPr>
        <w:t xml:space="preserve">An agency integrates an Application Performance Monitoring (APM) service into its internal applications. This service collects sensitive federal data like distributed traces and detailed logs from internal sources, often via installed agents or privileged API access to other internal systems. </w:t>
      </w:r>
    </w:p>
    <w:p w:rsidR="00000000" w:rsidDel="00000000" w:rsidP="00000000" w:rsidRDefault="00000000" w:rsidRPr="00000000" w14:paraId="00000080">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1">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 possesses privileged access to internal systems.</w:t>
      </w:r>
    </w:p>
    <w:p w:rsidR="00000000" w:rsidDel="00000000" w:rsidP="00000000" w:rsidRDefault="00000000" w:rsidRPr="00000000" w14:paraId="0000008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before="0" w:lineRule="auto"/>
        <w:rPr>
          <w:rFonts w:ascii="Open Sans" w:cs="Open Sans" w:eastAsia="Open Sans" w:hAnsi="Open Sans"/>
          <w:b w:val="1"/>
        </w:rPr>
      </w:pPr>
      <w:bookmarkStart w:colFirst="0" w:colLast="0" w:name="_95gwleb5ge2" w:id="11"/>
      <w:bookmarkEnd w:id="11"/>
      <w:r w:rsidDel="00000000" w:rsidR="00000000" w:rsidRPr="00000000">
        <w:rPr>
          <w:rFonts w:ascii="Open Sans" w:cs="Open Sans" w:eastAsia="Open Sans" w:hAnsi="Open Sans"/>
          <w:b w:val="1"/>
          <w:rtl w:val="0"/>
        </w:rPr>
        <w:t xml:space="preserve">Summary Table</w:t>
      </w:r>
    </w:p>
    <w:tbl>
      <w:tblPr>
        <w:tblStyle w:val="Table1"/>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060"/>
        <w:gridCol w:w="3495"/>
        <w:tblGridChange w:id="0">
          <w:tblGrid>
            <w:gridCol w:w="3855"/>
            <w:gridCol w:w="3060"/>
            <w:gridCol w:w="34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Exclusion Category (from M-24-15, Sec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When FedRAMP Doesn't Apply (Core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Key Tests /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1. Single Agency Systems:</w:t>
            </w:r>
            <w:r w:rsidDel="00000000" w:rsidR="00000000" w:rsidRPr="00000000">
              <w:rPr>
                <w:rFonts w:ascii="Open Sans" w:cs="Open Sans" w:eastAsia="Open Sans" w:hAnsi="Open Sans"/>
                <w:sz w:val="24"/>
                <w:szCs w:val="24"/>
                <w:rtl w:val="0"/>
              </w:rPr>
              <w:t xml:space="preserve"> Info systems for only one agency's operations, hosted on cloud, not offered as a shared service or using a shared responsibility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Single agency has full operational &amp; configuration responsibility</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 assessment intended for reuse by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2. Social Media &amp; Communications Services:</w:t>
            </w:r>
            <w:r w:rsidDel="00000000" w:rsidR="00000000" w:rsidRPr="00000000">
              <w:rPr>
                <w:rFonts w:ascii="Open Sans" w:cs="Open Sans" w:eastAsia="Open Sans" w:hAnsi="Open Sans"/>
                <w:sz w:val="24"/>
                <w:szCs w:val="24"/>
                <w:rtl w:val="0"/>
              </w:rPr>
              <w:t xml:space="preserve"> Used according to agency social media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Used per agency policy (incl. Records Act)</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purpose: external communication</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Not</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authoritative source for federal info</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All federal info within is intended for public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3. 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search engine is used primarily for public information discovery and does not store, index, or maintain internal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function: public info discovery</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 not collect/maintain federal info for agencies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Users instructed not to input sensitive federal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4. Widely Available Commercial Information Services:</w:t>
            </w:r>
            <w:r w:rsidDel="00000000" w:rsidR="00000000" w:rsidRPr="00000000">
              <w:rPr>
                <w:rFonts w:ascii="Open Sans" w:cs="Open Sans" w:eastAsia="Open Sans" w:hAnsi="Open Sans"/>
                <w:sz w:val="24"/>
                <w:szCs w:val="24"/>
                <w:rtl w:val="0"/>
              </w:rPr>
              <w:t xml:space="preserve"> Provide commercially available info to agencies; do not collect federal info (on behalf of the gov't)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Provides commercial services </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May temporarily process fed info (e.g., address) but doesn't collect/maintain for the gov't</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Agency never needs its info back from the service</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Risk of exposure accepted (mission impact &gt; exposure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5. Ancillary Services (Negligible Risk):</w:t>
            </w:r>
            <w:r w:rsidDel="00000000" w:rsidR="00000000" w:rsidRPr="00000000">
              <w:rPr>
                <w:rFonts w:ascii="Open Sans" w:cs="Open Sans" w:eastAsia="Open Sans" w:hAnsi="Open Sans"/>
                <w:sz w:val="24"/>
                <w:szCs w:val="24"/>
                <w:rtl w:val="0"/>
              </w:rPr>
              <w:t xml:space="preserve"> Compromise poses negligible risk to federal info/systems (e.g., external measurement, public info 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determines through risk analysis that the failure or compromise of the ancillary service poses negligible risk to federal info and systems. Risk assessment is agency-specific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Makes external measurements or ingests only public info</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Doesn't control or have privileged access to agency systems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w:t>
            </w:r>
          </w:p>
        </w:tc>
      </w:tr>
    </w:tbl>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widowControl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rFonts w:ascii="Open Sans" w:cs="Open Sans" w:eastAsia="Open Sans" w:hAnsi="Open Sans"/>
      </w:rPr>
    </w:pP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Fonts w:ascii="Open Sans" w:cs="Open Sans" w:eastAsia="Open Sans" w:hAnsi="Open Sans"/>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0" style="font-family:&amp;quot;Open San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edramp.gov/assets/resources/documents/FedRAMP_Policy_Memo.pdf" TargetMode="External"/><Relationship Id="rId7" Type="http://schemas.openxmlformats.org/officeDocument/2006/relationships/hyperlink" Target="https://www.fedramp.gov/disclaimers/" TargetMode="External"/><Relationship Id="rId8" Type="http://schemas.openxmlformats.org/officeDocument/2006/relationships/hyperlink" Target="https://www.fedramp.gov/assets/resources/documents/FedRAMP_Policy_Mem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