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дисциплиной RED;</w:t>
      </w:r>
    </w:p>
    <w:p>
      <w:pPr>
        <w:numPr>
          <w:ilvl w:val="0"/>
          <w:numId w:val="1001"/>
        </w:numPr>
        <w:pStyle w:val="Compact"/>
      </w:pPr>
      <w:r>
        <w:t xml:space="preserve">Изменить в модели на узле s1 тип протокола TCP с Reno на NewReno, затем на</w:t>
      </w:r>
      <w:r>
        <w:t xml:space="preserve"> </w:t>
      </w:r>
      <w:r>
        <w:t xml:space="preserve">Vegas. Сравнить и пояснить результаты;</w:t>
      </w:r>
    </w:p>
    <w:p>
      <w:pPr>
        <w:numPr>
          <w:ilvl w:val="0"/>
          <w:numId w:val="1001"/>
        </w:numPr>
        <w:pStyle w:val="Compact"/>
      </w:pPr>
      <w:r>
        <w:t xml:space="preserve">Внести изменения при отображении окон с графиками (изменить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End w:id="21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6 узлов;</w:t>
      </w:r>
    </w:p>
    <w:p>
      <w:pPr>
        <w:numPr>
          <w:ilvl w:val="0"/>
          <w:numId w:val="1002"/>
        </w:numPr>
        <w:pStyle w:val="Compact"/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numPr>
          <w:ilvl w:val="0"/>
          <w:numId w:val="1002"/>
        </w:numPr>
        <w:pStyle w:val="Compact"/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numPr>
          <w:ilvl w:val="0"/>
          <w:numId w:val="1002"/>
        </w:numPr>
        <w:pStyle w:val="Compact"/>
      </w:pPr>
      <w:r>
        <w:t xml:space="preserve">TCP-источники на узлах s1 и s2 подключаются к TCP-приёмнику на узле s3;</w:t>
      </w:r>
    </w:p>
    <w:p>
      <w:pPr>
        <w:numPr>
          <w:ilvl w:val="0"/>
          <w:numId w:val="1002"/>
        </w:numPr>
        <w:pStyle w:val="Compact"/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  <w:r>
        <w:t xml:space="preserve"> </w:t>
      </w:r>
      <w:bookmarkStart w:id="25" w:name="fig:001"/>
      <w:r>
        <w:drawing>
          <wp:inline>
            <wp:extent cx="3733800" cy="3122417"/>
            <wp:effectExtent b="0" l="0" r="0" t="0"/>
            <wp:docPr descr="TCP/Reno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2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кода получаем график изменения TCP-окна, а также график изменения длины очереди и средней длины очереди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1775755"/>
            <wp:effectExtent b="0" l="0" r="0" t="0"/>
            <wp:docPr descr="Графики изменения TCP-окна, динамики длины очереди и средней длины очеред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изменения TCP-окна, динамики длины очереди и средней длины очереди</w:t>
      </w:r>
    </w:p>
    <w:p>
      <w:pPr>
        <w:pStyle w:val="BodyText"/>
      </w:pPr>
      <w:r>
        <w:t xml:space="preserve">По графику видно, что средняя длина очереди находится в диапазоне от 2 до 4. Максимальная длина достигает значения 14.</w:t>
      </w:r>
    </w:p>
    <w:bookmarkStart w:id="43" w:name="изменение-протокола-tcp"/>
    <w:p>
      <w:pPr>
        <w:pStyle w:val="Heading2"/>
      </w:pPr>
      <w:r>
        <w:t xml:space="preserve">Изменение протокола TCP</w:t>
      </w:r>
    </w:p>
    <w:p>
      <w:pPr>
        <w:pStyle w:val="FirstParagraph"/>
      </w:pPr>
      <w:r>
        <w:t xml:space="preserve">Сначала требуется изменить тип Reno на NewReno.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  <w:r>
        <w:t xml:space="preserve"> </w:t>
      </w:r>
      <w:bookmarkStart w:id="32" w:name="fig:003"/>
      <w:r>
        <w:drawing>
          <wp:inline>
            <wp:extent cx="3733800" cy="3148619"/>
            <wp:effectExtent b="0" l="0" r="0" t="0"/>
            <wp:docPr descr="Тип NewReno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8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В результате получим график изменения длины очереди и средней длины очереди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4016357"/>
            <wp:effectExtent b="0" l="0" r="0" t="0"/>
            <wp:docPr descr="График динамики длины очереди и средней длины очереди. Тип NewReno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очереди. Тип NewReno</w:t>
      </w:r>
    </w:p>
    <w:p>
      <w:pPr>
        <w:pStyle w:val="BodyText"/>
      </w:pPr>
      <w:r>
        <w:t xml:space="preserve">Так же, 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BodyText"/>
      </w:pPr>
      <w:r>
        <w:t xml:space="preserve">Теперь изменим тип Reno на Vegas.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[-@fig:005]</w:t>
      </w:r>
      <w:r>
        <w:t xml:space="preserve">)</w:t>
      </w:r>
      <w:r>
        <w:t xml:space="preserve"> </w:t>
      </w:r>
      <w:bookmarkStart w:id="39" w:name="fig:005"/>
      <w:r>
        <w:drawing>
          <wp:inline>
            <wp:extent cx="3733800" cy="3486352"/>
            <wp:effectExtent b="0" l="0" r="0" t="0"/>
            <wp:docPr descr="Тип Vegas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t xml:space="preserve">В результате получим следующие график изменения TCP-окна, а также график зменения длины очереди и средней длины очереди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1844862"/>
            <wp:effectExtent b="0" l="0" r="0" t="0"/>
            <wp:docPr descr="Графики динамики размера окна TCP, динамики длины очереди и средней длины очереди. Тип Vegas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динамики размера окна TCP, динамики длины очереди и средней длины очереди. Тип Vegas</w:t>
      </w:r>
    </w:p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43"/>
    <w:bookmarkStart w:id="51" w:name="изменение-отображения-окон-с-графиками"/>
    <w:p>
      <w:pPr>
        <w:pStyle w:val="Heading2"/>
      </w:pPr>
      <w:r>
        <w:t xml:space="preserve">Изменение отображения окон с графиками</w:t>
      </w:r>
    </w:p>
    <w:p>
      <w:pPr>
        <w:pStyle w:val="FirstParagraph"/>
      </w:pPr>
      <w:r>
        <w:t xml:space="preserve">Внесем изменения при отображении окон с графиками, изменим цвет фона,</w:t>
      </w:r>
      <w:r>
        <w:t xml:space="preserve"> </w:t>
      </w:r>
      <w:r>
        <w:t xml:space="preserve">цвет траекторий, подписи к осям и подпись траектории в легенде. Для этого изменим наш код:</w:t>
      </w:r>
    </w:p>
    <w:p>
      <w:pPr>
        <w:pStyle w:val="BodyText"/>
      </w:pPr>
      <w:r>
        <w:t xml:space="preserve">В процедуре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 </w:t>
      </w:r>
      <w:r>
        <w:t xml:space="preserve">изменим цвет траекторий, подписи легенд, а также добавив опции</w:t>
      </w:r>
      <w:r>
        <w:t xml:space="preserve"> </w:t>
      </w:r>
      <w:r>
        <w:rPr>
          <w:rStyle w:val="VerbatimChar"/>
        </w:rPr>
        <w:t xml:space="preserve">-fg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-bg</w:t>
      </w:r>
      <w:r>
        <w:t xml:space="preserve"> </w:t>
      </w:r>
      <w:r>
        <w:t xml:space="preserve">изменим цвет текста и фона в xgraph.</w:t>
      </w:r>
    </w:p>
    <w:p>
      <w:pPr>
        <w:pStyle w:val="SourceCode"/>
      </w:pP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puts $f "0.Color: Blue"</w:t>
      </w:r>
      <w:r>
        <w:br/>
      </w:r>
      <w:r>
        <w:rPr>
          <w:rStyle w:val="VerbatimChar"/>
        </w:rPr>
        <w:t xml:space="preserve">puts $f "1.Color: Purple"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\"queue_Vegas"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\n\"ave_queue_Vegas"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blue -bg purple -bb -tk -x time -t "TCPRenoCWND" WindowVsTimeReno &amp;</w:t>
      </w:r>
      <w:r>
        <w:br/>
      </w:r>
      <w:r>
        <w:rPr>
          <w:rStyle w:val="VerbatimChar"/>
        </w:rPr>
        <w:t xml:space="preserve">exec xgraph -fg black -bg purple -bb -tk -x time -y ochered temp.queue &amp;</w:t>
      </w:r>
    </w:p>
    <w:p>
      <w:pPr>
        <w:pStyle w:val="FirstParagraph"/>
      </w:pPr>
      <w:r>
        <w:t xml:space="preserve">В разделе мониторинга размера окна TCP также изменим цвет траектории и подпись легенды.</w:t>
      </w:r>
    </w:p>
    <w:p>
      <w:pPr>
        <w:pStyle w:val="SourceCode"/>
      </w:pP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White"</w:t>
      </w:r>
      <w:r>
        <w:br/>
      </w:r>
      <w:r>
        <w:rPr>
          <w:rStyle w:val="VerbatimChar"/>
        </w:rPr>
        <w:t xml:space="preserve">puts $windowVsTime \"Razmer_Okna"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[-@fig:007]</w:t>
      </w:r>
      <w:r>
        <w:t xml:space="preserve">)</w:t>
      </w:r>
      <w:r>
        <w:t xml:space="preserve"> </w:t>
      </w:r>
      <w:bookmarkStart w:id="47" w:name="fig:007"/>
      <w:r>
        <w:drawing>
          <wp:inline>
            <wp:extent cx="3733800" cy="3428157"/>
            <wp:effectExtent b="0" l="0" r="0" t="0"/>
            <wp:docPr descr="Тип Vegas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8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t xml:space="preserve">В результате получим следующие график изменения TCP-окна, а также график изменения длины очереди и средней длины очереди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1907081"/>
            <wp:effectExtent b="0" l="0" r="0" t="0"/>
            <wp:docPr descr="Графики динамики размера окна TCP, динамики длины очереди и средней длины очереди с изменением отображения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динамики размера окна TCP, динамики длины очереди и средней длины очереди с изменением отображения</w:t>
      </w:r>
    </w:p>
    <w:bookmarkEnd w:id="51"/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исследовал протокол TCP и алгоритм управления очередью RED.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Городянский Фёдор Николаевич</dc:creator>
  <dc:language>ru-RU</dc:language>
  <cp:keywords/>
  <dcterms:created xsi:type="dcterms:W3CDTF">2025-02-19T20:58:54Z</dcterms:created>
  <dcterms:modified xsi:type="dcterms:W3CDTF">2025-02-19T20:58:54Z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Georgia</vt:lpwstr>
  </property>
  <property fmtid="{D5CDD505-2E9C-101B-9397-08002B2CF9AE}" pid="22" name="mainfontoptions">
    <vt:lpwstr>Ligatures=TeX</vt:lpwstr>
  </property>
  <property fmtid="{D5CDD505-2E9C-101B-9397-08002B2CF9AE}" pid="23" name="monofont">
    <vt:lpwstr>Courier New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Georgia</vt:lpwstr>
  </property>
  <property fmtid="{D5CDD505-2E9C-101B-9397-08002B2CF9AE}" pid="29" name="romanfontoptions">
    <vt:lpwstr>Ligatures=TeX</vt:lpwstr>
  </property>
  <property fmtid="{D5CDD505-2E9C-101B-9397-08002B2CF9AE}" pid="30" name="sansfont">
    <vt:lpwstr>Arial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Исследование протокола TCP и алгоритма управления очередью RED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