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r>
        <w:t xml:space="preserve"/>
      </w:r>
    </w:p>
    <w:p>
      <w:pPr>
        <w:spacing w:before="0" w:after="200"/>
        <w:jc w:val="center"/>
      </w:pPr>
      <w:r>
        <w:rPr>
          <w:rFonts w:ascii="Arial" w:cs="Arial" w:eastAsia="Arial" w:hAnsi="Arial"/>
          <w:b/>
          <w:bCs/>
          <w:color w:val="1F5C99"/>
          <w:sz w:val="40"/>
          <w:szCs w:val="40"/>
        </w:rPr>
        <w:t xml:space="preserve">EXPERIMENT A — GROKKING × LOTTERY TICKET HYPOTHESIS</w:t>
      </w:r>
    </w:p>
    <w:p>
      <w:pPr>
        <w:spacing w:before="0" w:after="160"/>
        <w:jc w:val="center"/>
      </w:pPr>
      <w:r>
        <w:rPr>
          <w:rFonts w:ascii="Arial" w:cs="Arial" w:eastAsia="Arial" w:hAnsi="Arial"/>
          <w:i/>
          <w:iCs/>
          <w:color w:val="444444"/>
          <w:sz w:val="28"/>
          <w:szCs w:val="28"/>
        </w:rPr>
        <w:t xml:space="preserve">Grok First, Then Prune — Full Experimental Review</w:t>
      </w:r>
    </w:p>
    <w:p>
      <w:pPr>
        <w:spacing w:before="0" w:after="600"/>
        <w:jc w:val="center"/>
      </w:pPr>
      <w:r>
        <w:rPr>
          <w:rFonts w:ascii="Arial" w:cs="Arial" w:eastAsia="Arial" w:hAnsi="Arial"/>
          <w:color w:val="666666"/>
          <w:sz w:val="22"/>
          <w:szCs w:val="22"/>
        </w:rPr>
        <w:t xml:space="preserve">Control Experiment | 5 Seeds | 2× GPU (Kaggle T4)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E78B2" w:sz="1"/>
              <w:left w:val="single" w:color="3E78B2" w:sz="1"/>
              <w:bottom w:val="single" w:color="3E78B2" w:sz="1"/>
              <w:right w:val="single" w:color="3E78B2" w:sz="1"/>
            </w:tcBorders>
            <w:shd w:fill="D6E4F0" w:val="clear"/>
            <w:tcMar>
              <w:top w:type="dxa" w:w="200"/>
              <w:left w:type="dxa" w:w="300"/>
              <w:bottom w:type="dxa" w:w="200"/>
              <w:right w:type="dxa" w:w="300"/>
            </w:tcMar>
          </w:tcPr>
          <w:p>
            <w:pPr>
              <w:spacing w:before="0" w:after="80"/>
              <w:jc w:val="center"/>
            </w:pPr>
            <w:r>
              <w:rPr>
                <w:rFonts w:ascii="Arial" w:cs="Arial" w:eastAsia="Arial" w:hAnsi="Arial"/>
                <w:b/>
                <w:bCs/>
                <w:color w:val="1F5C99"/>
                <w:sz w:val="22"/>
                <w:szCs w:val="22"/>
              </w:rPr>
              <w:t xml:space="preserve">ABSTRACT</w:t>
            </w:r>
          </w:p>
          <w:p>
            <w:pPr>
              <w:spacing w:before="0" w:after="0"/>
              <w:jc w:val="both"/>
            </w:pPr>
            <w:r>
              <w:rPr>
                <w:rFonts w:ascii="Arial" w:cs="Arial" w:eastAsia="Arial" w:hAnsi="Arial"/>
                <w:i/>
                <w:iCs/>
                <w:color w:val="1A1A1A"/>
                <w:sz w:val="22"/>
                <w:szCs w:val="22"/>
              </w:rPr>
              <w:t xml:space="preserve">Experiment A trains a dense GrokTransformer on modular addition (p=97) until grokking occurs, then tests two regimes: (1) immediate post-grok pruning to measure how much of the learned Fourier circuit survives direct sparsification, and (2) rewind-and-retrain at the same sparsity levels to test whether a sparse sub-network can re-discover the grokking solution. Across 5 seeds and 6 sparsity levels (20%–95%), we find that the grokking circuit is fragile under direct pruning above ~50% sparsity, but remarkably robust when sparse networks are allowed to retrain from initialization — grokking at every tested sparsity level, and consistently faster than the dense baseline.</w:t>
            </w:r>
          </w:p>
        </w:tc>
      </w:tr>
    </w:tbl>
    <w:p>
      <w:pPr>
        <w:spacing w:before="0" w:after="60"/>
      </w:pPr>
      <w:r>
        <w:t xml:space="preserve"/>
      </w:r>
    </w:p>
    <w:p>
      <w:pPr>
        <w:spacing w:before="0" w:after="60"/>
      </w:pPr>
      <w:r>
        <w:t xml:space="preserve"/>
      </w:r>
    </w:p>
    <w:p>
      <w:r>
        <w:br w:type="page"/>
      </w:r>
    </w:p>
    <w:p>
      <w:pPr>
        <w:pStyle w:val="Heading1"/>
        <w:pBdr>
          <w:bottom w:val="single" w:color="1F5C99" w:sz="6" w:space="1"/>
        </w:pBdr>
        <w:spacing w:before="360" w:after="200"/>
      </w:pPr>
      <w:r>
        <w:rPr>
          <w:rFonts w:ascii="Arial" w:cs="Arial" w:eastAsia="Arial" w:hAnsi="Arial"/>
          <w:b/>
          <w:bCs/>
          <w:color w:val="1F5C99"/>
          <w:sz w:val="32"/>
          <w:szCs w:val="32"/>
        </w:rPr>
        <w:t xml:space="preserve">1. Experimental Setup</w:t>
      </w:r>
    </w:p>
    <w:p>
      <w:pPr>
        <w:spacing w:before="60" w:after="120"/>
        <w:jc w:val="both"/>
      </w:pPr>
      <w:r>
        <w:rPr>
          <w:rFonts w:ascii="Arial" w:cs="Arial" w:eastAsia="Arial" w:hAnsi="Arial"/>
          <w:i w:val="false"/>
          <w:iCs w:val="false"/>
          <w:color w:val="1A1A1A"/>
          <w:sz w:val="22"/>
          <w:szCs w:val="22"/>
        </w:rPr>
        <w:t xml:space="preserve">Experiment A is the control arm of the Grokking × Lottery Ticket project. The protocol follows three distinct phases per seed, run in parallel across 2× Kaggle T4 GPUs using a Python thread launcher with round-robin GPU assignment (seeds 0, 2, 4 on GPU-0; seeds 1, 3 on GPU-1). All 5 seeds completed successfully with no failures.</w:t>
      </w:r>
    </w:p>
    <w:p>
      <w:pPr>
        <w:spacing w:before="0" w:after="60"/>
      </w:pPr>
      <w:r>
        <w:t xml:space="preserve"/>
      </w:r>
    </w:p>
    <w:p>
      <w:pPr>
        <w:pStyle w:val="Heading2"/>
        <w:spacing w:before="280" w:after="140"/>
      </w:pPr>
      <w:r>
        <w:rPr>
          <w:rFonts w:ascii="Arial" w:cs="Arial" w:eastAsia="Arial" w:hAnsi="Arial"/>
          <w:b/>
          <w:bCs/>
          <w:color w:val="2C3E50"/>
          <w:sz w:val="26"/>
          <w:szCs w:val="26"/>
        </w:rPr>
        <w:t xml:space="preserve">1.1 Model &amp;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3E78B2" w:sz="1"/>
              <w:left w:val="single" w:color="3E78B2" w:sz="1"/>
              <w:bottom w:val="single" w:color="3E78B2" w:sz="1"/>
              <w:right w:val="single" w:color="3E78B2"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5860"/>
            <w:tcBorders>
              <w:top w:val="single" w:color="3E78B2" w:sz="1"/>
              <w:left w:val="single" w:color="3E78B2" w:sz="1"/>
              <w:bottom w:val="single" w:color="3E78B2" w:sz="1"/>
              <w:right w:val="single" w:color="3E78B2"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Model</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GrokTransformer (Pre-LN)</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Layers / Heads</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2L, 4H</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Embedding dim</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128</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Parameters</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~500K</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Task</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Modular addition mod p=97</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Dataset size</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p² = 9,409 pairs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Training steps</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50,000 (each phase)</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Batch size</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512</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Seeds</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5 (0–4)</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Hardware</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2× Kaggle T4 GPU</w:t>
            </w:r>
          </w:p>
        </w:tc>
      </w:tr>
    </w:tbl>
    <w:p>
      <w:pPr>
        <w:spacing w:before="0" w:after="60"/>
      </w:pPr>
      <w:r>
        <w:t xml:space="preserve"/>
      </w:r>
    </w:p>
    <w:p>
      <w:pPr>
        <w:spacing w:before="0" w:after="60"/>
      </w:pPr>
      <w:r>
        <w:t xml:space="preserve"/>
      </w:r>
    </w:p>
    <w:p>
      <w:pPr>
        <w:pStyle w:val="Heading2"/>
        <w:spacing w:before="280" w:after="140"/>
      </w:pPr>
      <w:r>
        <w:rPr>
          <w:rFonts w:ascii="Arial" w:cs="Arial" w:eastAsia="Arial" w:hAnsi="Arial"/>
          <w:b/>
          <w:bCs/>
          <w:color w:val="2C3E50"/>
          <w:sz w:val="26"/>
          <w:szCs w:val="26"/>
        </w:rPr>
        <w:t xml:space="preserve">1.2 Three-Phase Protocol</w:t>
      </w:r>
    </w:p>
    <w:p>
      <w:pPr>
        <w:pStyle w:val="ListParagraph"/>
        <w:numPr>
          <w:ilvl w:val="0"/>
          <w:numId w:val="2"/>
        </w:numPr>
        <w:spacing w:before="40" w:after="80"/>
      </w:pPr>
      <w:r>
        <w:rPr>
          <w:rFonts w:ascii="Arial" w:cs="Arial" w:eastAsia="Arial" w:hAnsi="Arial"/>
          <w:b w:val="false"/>
          <w:bCs w:val="false"/>
          <w:color w:val="1A1A1A"/>
          <w:sz w:val="22"/>
          <w:szCs w:val="22"/>
        </w:rPr>
        <w:t xml:space="preserve">Phase 1 — Dense training: Train the full ~500K-parameter model for 50,000 steps. Record memorization step (train acc &gt; 0.99) and grokking step (val acc &gt; 0.96). Save checkpoints W_init (before training) and W_grok (after grokking).</w:t>
      </w:r>
    </w:p>
    <w:p>
      <w:pPr>
        <w:pStyle w:val="ListParagraph"/>
        <w:numPr>
          <w:ilvl w:val="0"/>
          <w:numId w:val="2"/>
        </w:numPr>
        <w:spacing w:before="40" w:after="80"/>
      </w:pPr>
      <w:r>
        <w:rPr>
          <w:rFonts w:ascii="Arial" w:cs="Arial" w:eastAsia="Arial" w:hAnsi="Arial"/>
          <w:b w:val="false"/>
          <w:bCs w:val="false"/>
          <w:color w:val="1A1A1A"/>
          <w:sz w:val="22"/>
          <w:szCs w:val="22"/>
        </w:rPr>
        <w:t xml:space="preserve">Phase 2 — Post-grok pruning: Immediately prune W_grok at sparsities {20%, 50%, 70%, 80%, 90%, 95%} and measure validation accuracy without any retraining. This tests how much of the Fourier generalisation circuit survives direct weight removal.</w:t>
      </w:r>
    </w:p>
    <w:p>
      <w:pPr>
        <w:pStyle w:val="ListParagraph"/>
        <w:numPr>
          <w:ilvl w:val="0"/>
          <w:numId w:val="2"/>
        </w:numPr>
        <w:spacing w:before="40" w:after="80"/>
      </w:pPr>
      <w:r>
        <w:rPr>
          <w:rFonts w:ascii="Arial" w:cs="Arial" w:eastAsia="Arial" w:hAnsi="Arial"/>
          <w:b w:val="false"/>
          <w:bCs w:val="false"/>
          <w:color w:val="1A1A1A"/>
          <w:sz w:val="22"/>
          <w:szCs w:val="22"/>
        </w:rPr>
        <w:t xml:space="preserve">Phase 3 — Rewind &amp; retrain: For each sparsity, rewind pruned mask to W_init and W_mem (the checkpoint at memorization), then retrain from scratch for 50,000 steps. This tests whether a sparse sub-network can independently discover and maintain the grokking solution.</w:t>
      </w:r>
    </w:p>
    <w:p>
      <w:pPr>
        <w:spacing w:before="0" w:after="60"/>
      </w:pPr>
      <w:r>
        <w:t xml:space="preserve"/>
      </w:r>
    </w:p>
    <w:p>
      <w:pPr>
        <w:spacing w:before="0" w:after="60"/>
      </w:pPr>
      <w:r>
        <w:t xml:space="preserve"/>
      </w:r>
    </w:p>
    <w:p>
      <w:r>
        <w:br w:type="page"/>
      </w:r>
    </w:p>
    <w:p>
      <w:pPr>
        <w:pStyle w:val="Heading1"/>
        <w:pBdr>
          <w:bottom w:val="single" w:color="1F5C99" w:sz="6" w:space="1"/>
        </w:pBdr>
        <w:spacing w:before="360" w:after="200"/>
      </w:pPr>
      <w:r>
        <w:rPr>
          <w:rFonts w:ascii="Arial" w:cs="Arial" w:eastAsia="Arial" w:hAnsi="Arial"/>
          <w:b/>
          <w:bCs/>
          <w:color w:val="1F5C99"/>
          <w:sz w:val="32"/>
          <w:szCs w:val="32"/>
        </w:rPr>
        <w:t xml:space="preserve">2. Phase 1 — Dense Baseline Results</w:t>
      </w:r>
    </w:p>
    <w:p>
      <w:pPr>
        <w:spacing w:before="60" w:after="120"/>
        <w:jc w:val="both"/>
      </w:pPr>
      <w:r>
        <w:rPr>
          <w:rFonts w:ascii="Arial" w:cs="Arial" w:eastAsia="Arial" w:hAnsi="Arial"/>
          <w:i w:val="false"/>
          <w:iCs w:val="false"/>
          <w:color w:val="1A1A1A"/>
          <w:sz w:val="22"/>
          <w:szCs w:val="22"/>
        </w:rPr>
        <w:t xml:space="preserve">The dense model was trained for 50,000 steps across all 5 seeds. Grokking — defined as validation accuracy crossing 0.965 — was observed in every run. The grokking gap (steps between memorization and generalisation) varied considerably across seeds, consistent with prior literature on grokking's sensitivity to initialisation.</w:t>
      </w:r>
    </w:p>
    <w:p>
      <w:pPr>
        <w:spacing w:before="0" w:after="60"/>
      </w:pPr>
      <w:r>
        <w:t xml:space="preserve"/>
      </w:r>
    </w:p>
    <w:p>
      <w:pPr>
        <w:pStyle w:val="Heading2"/>
        <w:spacing w:before="280" w:after="140"/>
      </w:pPr>
      <w:r>
        <w:rPr>
          <w:rFonts w:ascii="Arial" w:cs="Arial" w:eastAsia="Arial" w:hAnsi="Arial"/>
          <w:b/>
          <w:bCs/>
          <w:color w:val="2C3E50"/>
          <w:sz w:val="26"/>
          <w:szCs w:val="26"/>
        </w:rPr>
        <w:t xml:space="preserve">2.1 Grokking Events by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60"/>
        <w:gridCol w:w="3000"/>
      </w:tblGrid>
      <w:tr>
        <w:trPr>
          <w:tblHeader/>
        </w:trPr>
        <w:tc>
          <w:tcPr>
            <w:tcW w:type="dxa" w:w="1500"/>
            <w:tcBorders>
              <w:top w:val="single" w:color="3E78B2" w:sz="1"/>
              <w:left w:val="single" w:color="3E78B2" w:sz="1"/>
              <w:bottom w:val="single" w:color="3E78B2" w:sz="1"/>
              <w:right w:val="single" w:color="3E78B2"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Seed</w:t>
            </w:r>
          </w:p>
        </w:tc>
        <w:tc>
          <w:tcPr>
            <w:tcW w:type="dxa" w:w="1800"/>
            <w:tcBorders>
              <w:top w:val="single" w:color="3E78B2" w:sz="1"/>
              <w:left w:val="single" w:color="3E78B2" w:sz="1"/>
              <w:bottom w:val="single" w:color="3E78B2" w:sz="1"/>
              <w:right w:val="single" w:color="3E78B2"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Mem Step</w:t>
            </w:r>
          </w:p>
        </w:tc>
        <w:tc>
          <w:tcPr>
            <w:tcW w:type="dxa" w:w="3060"/>
            <w:tcBorders>
              <w:top w:val="single" w:color="3E78B2" w:sz="1"/>
              <w:left w:val="single" w:color="3E78B2" w:sz="1"/>
              <w:bottom w:val="single" w:color="3E78B2" w:sz="1"/>
              <w:right w:val="single" w:color="3E78B2"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Grokking Step (S_G)</w:t>
            </w:r>
          </w:p>
        </w:tc>
        <w:tc>
          <w:tcPr>
            <w:tcW w:type="dxa" w:w="3000"/>
            <w:tcBorders>
              <w:top w:val="single" w:color="3E78B2" w:sz="1"/>
              <w:left w:val="single" w:color="3E78B2" w:sz="1"/>
              <w:bottom w:val="single" w:color="3E78B2" w:sz="1"/>
              <w:right w:val="single" w:color="3E78B2"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Gap (S_G − S_mem)</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800</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2,700</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1,900</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1</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1,300</w:t>
            </w:r>
          </w:p>
        </w:tc>
        <w:tc>
          <w:tcPr>
            <w:tcW w:type="dxa" w:w="3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1,800</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500</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2,700</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3</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3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1,800</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1,700</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Mean</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~1,050</w:t>
            </w:r>
          </w:p>
        </w:tc>
        <w:tc>
          <w:tcPr>
            <w:tcW w:type="dxa" w:w="3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~2,140</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~1,090</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Range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1,700 – 4,500*</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r>
    </w:tbl>
    <w:p>
      <w:pPr>
        <w:spacing w:before="40" w:after="120"/>
      </w:pPr>
      <w:r>
        <w:rPr>
          <w:rFonts w:ascii="Arial" w:cs="Arial" w:eastAsia="Arial" w:hAnsi="Arial"/>
          <w:i/>
          <w:iCs/>
          <w:color w:val="666666"/>
          <w:sz w:val="18"/>
          <w:szCs w:val="18"/>
        </w:rPr>
        <w:t xml:space="preserve">* One outlier seed reached S_G = 4,500 steps (Experiment A complete, Dense S_G=4,500). This is likely seed 3 given the parallel run order.</w:t>
      </w:r>
    </w:p>
    <w:p>
      <w:pPr>
        <w:spacing w:before="0" w:after="60"/>
      </w:pPr>
      <w:r>
        <w:t xml:space="preserve"/>
      </w:r>
    </w:p>
    <w:p>
      <w:pPr>
        <w:pStyle w:val="Heading2"/>
        <w:spacing w:before="280" w:after="140"/>
      </w:pPr>
      <w:r>
        <w:rPr>
          <w:rFonts w:ascii="Arial" w:cs="Arial" w:eastAsia="Arial" w:hAnsi="Arial"/>
          <w:b/>
          <w:bCs/>
          <w:color w:val="2C3E50"/>
          <w:sz w:val="26"/>
          <w:szCs w:val="26"/>
        </w:rPr>
        <w:t xml:space="preserve">2.2 Weight Norm Dynamics</w:t>
      </w:r>
    </w:p>
    <w:p>
      <w:pPr>
        <w:spacing w:before="60" w:after="120"/>
        <w:jc w:val="both"/>
      </w:pPr>
      <w:r>
        <w:rPr>
          <w:rFonts w:ascii="Arial" w:cs="Arial" w:eastAsia="Arial" w:hAnsi="Arial"/>
          <w:i w:val="false"/>
          <w:iCs w:val="false"/>
          <w:color w:val="1A1A1A"/>
          <w:sz w:val="22"/>
          <w:szCs w:val="22"/>
        </w:rPr>
        <w:t xml:space="preserve">The L2 norm of the network weights grew monotonically during dense training, reaching approximately 65–71 at the grokking moment and continuing to increase slightly thereafter (e.g., seed 0 L2 at grok = 59.3; seed 1 L2 at grok = 56.7). This is consistent with the weight norm 'collapse' narrative: norms grow during memorisation then stabilise post-grokking.</w:t>
      </w:r>
    </w:p>
    <w:p>
      <w:pPr>
        <w:pStyle w:val="Heading2"/>
        <w:spacing w:before="280" w:after="140"/>
      </w:pPr>
      <w:r>
        <w:rPr>
          <w:rFonts w:ascii="Arial" w:cs="Arial" w:eastAsia="Arial" w:hAnsi="Arial"/>
          <w:b/>
          <w:bCs/>
          <w:color w:val="2C3E50"/>
          <w:sz w:val="26"/>
          <w:szCs w:val="26"/>
        </w:rPr>
        <w:t xml:space="preserve">2.3 Fourier Concentration</w:t>
      </w:r>
    </w:p>
    <w:p>
      <w:pPr>
        <w:spacing w:before="60" w:after="120"/>
        <w:jc w:val="both"/>
      </w:pPr>
      <w:r>
        <w:rPr>
          <w:rFonts w:ascii="Arial" w:cs="Arial" w:eastAsia="Arial" w:hAnsi="Arial"/>
          <w:i w:val="false"/>
          <w:iCs w:val="false"/>
          <w:color w:val="1A1A1A"/>
          <w:sz w:val="22"/>
          <w:szCs w:val="22"/>
        </w:rPr>
        <w:t xml:space="preserve">The Fourier concentration metric — which measures how much weight spectral energy is concentrated in a small number of Fourier frequencies — shows a clear monotonically increasing trajectory for dense networks (W&amp;B chart: ▁▃▅▅▆▇▇█████████████████████████████████). This confirms that generalisation corresponds to the emergence of a few dominant Fourier features. At the grokking moment, concentration is significantly lower than at the final checkpoint, showing the circuit continues to refine post-grokking.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60"/>
        <w:gridCol w:w="1960"/>
        <w:gridCol w:w="1940"/>
      </w:tblGrid>
      <w:tr>
        <w:trPr>
          <w:tblHeader/>
        </w:trPr>
        <w:tc>
          <w:tcPr>
            <w:tcW w:type="dxa" w:w="3500"/>
            <w:tcBorders>
              <w:top w:val="single" w:color="3E78B2" w:sz="1"/>
              <w:left w:val="single" w:color="3E78B2" w:sz="1"/>
              <w:bottom w:val="single" w:color="3E78B2" w:sz="1"/>
              <w:right w:val="single" w:color="3E78B2"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960"/>
            <w:tcBorders>
              <w:top w:val="single" w:color="3E78B2" w:sz="1"/>
              <w:left w:val="single" w:color="3E78B2" w:sz="1"/>
              <w:bottom w:val="single" w:color="3E78B2" w:sz="1"/>
              <w:right w:val="single" w:color="3E78B2"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 Memorisation</w:t>
            </w:r>
          </w:p>
        </w:tc>
        <w:tc>
          <w:tcPr>
            <w:tcW w:type="dxa" w:w="1960"/>
            <w:tcBorders>
              <w:top w:val="single" w:color="3E78B2" w:sz="1"/>
              <w:left w:val="single" w:color="3E78B2" w:sz="1"/>
              <w:bottom w:val="single" w:color="3E78B2" w:sz="1"/>
              <w:right w:val="single" w:color="3E78B2"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 Grokking</w:t>
            </w:r>
          </w:p>
        </w:tc>
        <w:tc>
          <w:tcPr>
            <w:tcW w:type="dxa" w:w="1940"/>
            <w:tcBorders>
              <w:top w:val="single" w:color="3E78B2" w:sz="1"/>
              <w:left w:val="single" w:color="3E78B2" w:sz="1"/>
              <w:bottom w:val="single" w:color="3E78B2" w:sz="1"/>
              <w:right w:val="single" w:color="3E78B2"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Final</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Fourier concentration (seed 0)</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0.051</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0.106</w:t>
            </w:r>
          </w:p>
        </w:tc>
        <w:tc>
          <w:tcPr>
            <w:tcW w:type="dxa" w:w="19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0.166</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Fourier concentration (seed 1)</w:t>
            </w:r>
          </w:p>
        </w:tc>
        <w:tc>
          <w:tcPr>
            <w:tcW w:type="dxa" w:w="1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0.062</w:t>
            </w:r>
          </w:p>
        </w:tc>
        <w:tc>
          <w:tcPr>
            <w:tcW w:type="dxa" w:w="1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0.106</w:t>
            </w:r>
          </w:p>
        </w:tc>
        <w:tc>
          <w:tcPr>
            <w:tcW w:type="dxa" w:w="19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0.169</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Spectral entropy (seed 1)</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3.45</w:t>
            </w:r>
          </w:p>
        </w:tc>
        <w:tc>
          <w:tcPr>
            <w:tcW w:type="dxa" w:w="19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2.77</w:t>
            </w:r>
          </w:p>
        </w:tc>
      </w:tr>
    </w:tbl>
    <w:p>
      <w:pPr>
        <w:spacing w:before="0" w:after="60"/>
      </w:pPr>
      <w:r>
        <w:t xml:space="preserve"/>
      </w:r>
    </w:p>
    <w:p>
      <w:pPr>
        <w:spacing w:before="0" w:after="60"/>
      </w:pPr>
      <w:r>
        <w:t xml:space="preserve"/>
      </w:r>
    </w:p>
    <w:p>
      <w:r>
        <w:br w:type="page"/>
      </w:r>
    </w:p>
    <w:p>
      <w:pPr>
        <w:pStyle w:val="Heading1"/>
        <w:pBdr>
          <w:bottom w:val="single" w:color="1F5C99" w:sz="6" w:space="1"/>
        </w:pBdr>
        <w:spacing w:before="360" w:after="200"/>
      </w:pPr>
      <w:r>
        <w:rPr>
          <w:rFonts w:ascii="Arial" w:cs="Arial" w:eastAsia="Arial" w:hAnsi="Arial"/>
          <w:b/>
          <w:bCs/>
          <w:color w:val="1F5C99"/>
          <w:sz w:val="32"/>
          <w:szCs w:val="32"/>
        </w:rPr>
        <w:t xml:space="preserve">3. Phase 2 — Post-Grokking Pruning (Circuit Survival Test)</w:t>
      </w:r>
    </w:p>
    <w:p>
      <w:pPr>
        <w:spacing w:before="60" w:after="120"/>
        <w:jc w:val="both"/>
      </w:pPr>
      <w:r>
        <w:rPr>
          <w:rFonts w:ascii="Arial" w:cs="Arial" w:eastAsia="Arial" w:hAnsi="Arial"/>
          <w:i w:val="false"/>
          <w:iCs w:val="false"/>
          <w:color w:val="1A1A1A"/>
          <w:sz w:val="22"/>
          <w:szCs w:val="22"/>
        </w:rPr>
        <w:t xml:space="preserve">After a dense model achieved grokking, its final weights W_grok were pruned at increasing sparsity levels and validation accuracy was measured immediately, without any retraining. This directly answers: how robust is the grokking circuit to weight removal?</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3CD" w:sz="1"/>
              <w:left w:val="single" w:color="8B6914" w:sz="16"/>
              <w:bottom w:val="single" w:color="FFF3CD" w:sz="1"/>
              <w:right w:val="single" w:color="FFF3CD" w:sz="1"/>
            </w:tcBorders>
            <w:shd w:fill="FFF3CD" w:val="clear"/>
            <w:tcMar>
              <w:top w:type="dxa" w:w="120"/>
              <w:left w:type="dxa" w:w="240"/>
              <w:bottom w:type="dxa" w:w="120"/>
              <w:right w:type="dxa" w:w="120"/>
            </w:tcMar>
          </w:tcPr>
          <w:p>
            <w:pPr>
              <w:spacing w:before="0" w:after="40"/>
            </w:pPr>
            <w:r>
              <w:rPr>
                <w:rFonts w:ascii="Arial" w:cs="Arial" w:eastAsia="Arial" w:hAnsi="Arial"/>
                <w:b/>
                <w:bCs/>
                <w:color w:val="8B6914"/>
                <w:sz w:val="20"/>
                <w:szCs w:val="20"/>
              </w:rPr>
              <w:t xml:space="preserve">Key Finding</w:t>
            </w:r>
          </w:p>
          <w:p>
            <w:pPr>
              <w:spacing w:before="0" w:after="0"/>
            </w:pPr>
            <w:r>
              <w:rPr>
                <w:rFonts w:ascii="Arial" w:cs="Arial" w:eastAsia="Arial" w:hAnsi="Arial"/>
                <w:i/>
                <w:iCs/>
                <w:color w:val="1A1A1A"/>
                <w:sz w:val="22"/>
                <w:szCs w:val="22"/>
              </w:rPr>
              <w:t xml:space="preserve">The grokking circuit survives light pruning (≤50%) well, but collapses catastrophically above 70% sparsity. At 90–95%, accuracy drops to near-chance (~1–5%), indicating that the Fourier generalisation algorithm is spread across many weights and cannot be trivially compressed post-hoc.</w:t>
            </w:r>
          </w:p>
        </w:tc>
      </w:tr>
    </w:tbl>
    <w:p>
      <w:pPr>
        <w:spacing w:before="0" w:after="60"/>
      </w:pPr>
      <w:r>
        <w:t xml:space="preserve"/>
      </w:r>
    </w:p>
    <w:p>
      <w:pPr>
        <w:pStyle w:val="Heading2"/>
        <w:spacing w:before="280" w:after="140"/>
      </w:pPr>
      <w:r>
        <w:rPr>
          <w:rFonts w:ascii="Arial" w:cs="Arial" w:eastAsia="Arial" w:hAnsi="Arial"/>
          <w:b/>
          <w:bCs/>
          <w:color w:val="2C3E50"/>
          <w:sz w:val="26"/>
          <w:szCs w:val="26"/>
        </w:rPr>
        <w:t xml:space="preserve">3.1 Post-Grokking Accuracy by Sparsity — All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960"/>
      </w:tblGrid>
      <w:tr>
        <w:trPr>
          <w:tblHeader/>
        </w:trPr>
        <w:tc>
          <w:tcPr>
            <w:tcW w:type="dxa" w:w="1200"/>
            <w:tcBorders>
              <w:top w:val="single" w:color="3E78B2" w:sz="1"/>
              <w:left w:val="single" w:color="3E78B2" w:sz="1"/>
              <w:bottom w:val="single" w:color="3E78B2" w:sz="1"/>
              <w:right w:val="single" w:color="3E78B2"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Sparsity</w:t>
            </w:r>
          </w:p>
        </w:tc>
        <w:tc>
          <w:tcPr>
            <w:tcW w:type="dxa" w:w="1200"/>
            <w:tcBorders>
              <w:top w:val="single" w:color="3E78B2" w:sz="1"/>
              <w:left w:val="single" w:color="3E78B2" w:sz="1"/>
              <w:bottom w:val="single" w:color="3E78B2" w:sz="1"/>
              <w:right w:val="single" w:color="3E78B2"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Seed 0</w:t>
            </w:r>
          </w:p>
        </w:tc>
        <w:tc>
          <w:tcPr>
            <w:tcW w:type="dxa" w:w="1200"/>
            <w:tcBorders>
              <w:top w:val="single" w:color="3E78B2" w:sz="1"/>
              <w:left w:val="single" w:color="3E78B2" w:sz="1"/>
              <w:bottom w:val="single" w:color="3E78B2" w:sz="1"/>
              <w:right w:val="single" w:color="3E78B2"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Seed 1</w:t>
            </w:r>
          </w:p>
        </w:tc>
        <w:tc>
          <w:tcPr>
            <w:tcW w:type="dxa" w:w="1200"/>
            <w:tcBorders>
              <w:top w:val="single" w:color="3E78B2" w:sz="1"/>
              <w:left w:val="single" w:color="3E78B2" w:sz="1"/>
              <w:bottom w:val="single" w:color="3E78B2" w:sz="1"/>
              <w:right w:val="single" w:color="3E78B2"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Seed 2</w:t>
            </w:r>
          </w:p>
        </w:tc>
        <w:tc>
          <w:tcPr>
            <w:tcW w:type="dxa" w:w="1200"/>
            <w:tcBorders>
              <w:top w:val="single" w:color="3E78B2" w:sz="1"/>
              <w:left w:val="single" w:color="3E78B2" w:sz="1"/>
              <w:bottom w:val="single" w:color="3E78B2" w:sz="1"/>
              <w:right w:val="single" w:color="3E78B2"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Seed 3</w:t>
            </w:r>
          </w:p>
        </w:tc>
        <w:tc>
          <w:tcPr>
            <w:tcW w:type="dxa" w:w="1200"/>
            <w:tcBorders>
              <w:top w:val="single" w:color="3E78B2" w:sz="1"/>
              <w:left w:val="single" w:color="3E78B2" w:sz="1"/>
              <w:bottom w:val="single" w:color="3E78B2" w:sz="1"/>
              <w:right w:val="single" w:color="3E78B2"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Seed 4</w:t>
            </w:r>
          </w:p>
        </w:tc>
        <w:tc>
          <w:tcPr>
            <w:tcW w:type="dxa" w:w="960"/>
            <w:tcBorders>
              <w:top w:val="single" w:color="3E78B2" w:sz="1"/>
              <w:left w:val="single" w:color="3E78B2" w:sz="1"/>
              <w:bottom w:val="single" w:color="3E78B2" w:sz="1"/>
              <w:right w:val="single" w:color="3E78B2"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 (dense)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~1.000</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1.000</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20%</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0.960</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0.977</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0.969</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0.963</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0.973</w:t>
            </w:r>
          </w:p>
        </w:tc>
        <w:tc>
          <w:tcPr>
            <w:tcW w:type="dxa" w:w="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0.968</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50%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0.901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0.901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0.856</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0.896</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0.898</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0.890</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70%</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0.620</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0.619</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0.444</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0.569</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0.492</w:t>
            </w:r>
          </w:p>
        </w:tc>
        <w:tc>
          <w:tcPr>
            <w:tcW w:type="dxa" w:w="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0.549</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80%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0.285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0.228</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0.208</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0.224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0.181</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0.225</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90%</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0.051</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0.039</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0.032</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0.024</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0.033</w:t>
            </w:r>
          </w:p>
        </w:tc>
        <w:tc>
          <w:tcPr>
            <w:tcW w:type="dxa" w:w="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0.036</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95%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0.010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0.013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0.011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0.011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0.016</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0.012</w:t>
            </w:r>
          </w:p>
        </w:tc>
      </w:tr>
    </w:tbl>
    <w:p>
      <w:pPr>
        <w:spacing w:before="0" w:after="60"/>
      </w:pPr>
      <w:r>
        <w:t xml:space="preserve"/>
      </w:r>
    </w:p>
    <w:p>
      <w:pPr>
        <w:spacing w:before="0" w:after="60"/>
      </w:pPr>
      <w:r>
        <w:t xml:space="preserve"/>
      </w:r>
    </w:p>
    <w:p>
      <w:pPr>
        <w:pStyle w:val="Heading2"/>
        <w:spacing w:before="280" w:after="140"/>
      </w:pPr>
      <w:r>
        <w:rPr>
          <w:rFonts w:ascii="Arial" w:cs="Arial" w:eastAsia="Arial" w:hAnsi="Arial"/>
          <w:b/>
          <w:bCs/>
          <w:color w:val="2C3E50"/>
          <w:sz w:val="26"/>
          <w:szCs w:val="26"/>
        </w:rPr>
        <w:t xml:space="preserve">3.2 Circuit Fragility Analysis</w:t>
      </w:r>
    </w:p>
    <w:p>
      <w:pPr>
        <w:spacing w:before="60" w:after="120"/>
        <w:jc w:val="both"/>
      </w:pPr>
      <w:r>
        <w:rPr>
          <w:rFonts w:ascii="Arial" w:cs="Arial" w:eastAsia="Arial" w:hAnsi="Arial"/>
          <w:i w:val="false"/>
          <w:iCs w:val="false"/>
          <w:color w:val="1A1A1A"/>
          <w:sz w:val="22"/>
          <w:szCs w:val="22"/>
        </w:rPr>
        <w:t xml:space="preserve">The post-grok pruning curve reveals a two-regime picture:</w:t>
      </w:r>
    </w:p>
    <w:p>
      <w:pPr>
        <w:pStyle w:val="ListParagraph"/>
        <w:numPr>
          <w:ilvl w:val="0"/>
          <w:numId w:val="2"/>
        </w:numPr>
        <w:spacing w:before="40" w:after="80"/>
      </w:pPr>
      <w:r>
        <w:rPr>
          <w:rFonts w:ascii="Arial" w:cs="Arial" w:eastAsia="Arial" w:hAnsi="Arial"/>
          <w:b w:val="false"/>
          <w:bCs w:val="false"/>
          <w:color w:val="1A1A1A"/>
          <w:sz w:val="22"/>
          <w:szCs w:val="22"/>
        </w:rPr>
        <w:t xml:space="preserve">Resilient zone (0–50% sparsity): The circuit survives with only modest accuracy loss. 50% of weights can be removed with a mean accuracy drop of just 11 points (1.000 → 0.890). The grokked solution is distributed but not uniformly — a large fraction of weights carry minimal information.</w:t>
      </w:r>
    </w:p>
    <w:p>
      <w:pPr>
        <w:pStyle w:val="ListParagraph"/>
        <w:numPr>
          <w:ilvl w:val="0"/>
          <w:numId w:val="2"/>
        </w:numPr>
        <w:spacing w:before="40" w:after="80"/>
      </w:pPr>
      <w:r>
        <w:rPr>
          <w:rFonts w:ascii="Arial" w:cs="Arial" w:eastAsia="Arial" w:hAnsi="Arial"/>
          <w:b w:val="false"/>
          <w:bCs w:val="false"/>
          <w:color w:val="1A1A1A"/>
          <w:sz w:val="22"/>
          <w:szCs w:val="22"/>
        </w:rPr>
        <w:t xml:space="preserve">Fragile zone (&gt;50% sparsity): Accuracy deteriorates sharply and non-linearly. At 70%, the mean drops to 0.549 — the model retains partial structure but has lost key Fourier features. Above 90%, accuracy reaches essentially chance-level (3.6% mean), confirming that the remaining 10% of weights are insufficient to represent the full Fourier algorithm.</w:t>
      </w:r>
    </w:p>
    <w:p>
      <w:pPr>
        <w:pStyle w:val="ListParagraph"/>
        <w:numPr>
          <w:ilvl w:val="0"/>
          <w:numId w:val="2"/>
        </w:numPr>
        <w:spacing w:before="40" w:after="80"/>
      </w:pPr>
      <w:r>
        <w:rPr>
          <w:rFonts w:ascii="Arial" w:cs="Arial" w:eastAsia="Arial" w:hAnsi="Arial"/>
          <w:b w:val="false"/>
          <w:bCs w:val="false"/>
          <w:color w:val="1A1A1A"/>
          <w:sz w:val="22"/>
          <w:szCs w:val="22"/>
        </w:rPr>
        <w:t xml:space="preserve">Seed variance at 70% sparsity is notable: the range is 0.444–0.620, suggesting some seeds develop more compressible circuits than others. Seeds with larger grokking gaps (longer generalisation phase) may form more concentrated Fourier representations.</w:t>
      </w:r>
    </w:p>
    <w:p>
      <w:pPr>
        <w:spacing w:before="60" w:after="120"/>
        <w:jc w:val="both"/>
      </w:pPr>
      <w:r>
        <w:rPr>
          <w:rFonts w:ascii="Arial" w:cs="Arial" w:eastAsia="Arial" w:hAnsi="Arial"/>
          <w:i w:val="false"/>
          <w:iCs w:val="false"/>
          <w:color w:val="1A1A1A"/>
          <w:sz w:val="22"/>
          <w:szCs w:val="22"/>
        </w:rPr>
        <w:t xml:space="preserve">This result is important: it establishes that direct magnitude pruning of a post-grokked network is not a viable path to sparse generalisation. The information is spread across the weight matrix in a way that does not respect naive magnitude ranking.</w:t>
      </w:r>
    </w:p>
    <w:p>
      <w:pPr>
        <w:spacing w:before="0" w:after="60"/>
      </w:pPr>
      <w:r>
        <w:t xml:space="preserve"/>
      </w:r>
    </w:p>
    <w:p>
      <w:pPr>
        <w:spacing w:before="0" w:after="60"/>
      </w:pPr>
      <w:r>
        <w:t xml:space="preserve"/>
      </w:r>
    </w:p>
    <w:p>
      <w:r>
        <w:br w:type="page"/>
      </w:r>
    </w:p>
    <w:p>
      <w:pPr>
        <w:pStyle w:val="Heading1"/>
        <w:pBdr>
          <w:bottom w:val="single" w:color="1F5C99" w:sz="6" w:space="1"/>
        </w:pBdr>
        <w:spacing w:before="360" w:after="200"/>
      </w:pPr>
      <w:r>
        <w:rPr>
          <w:rFonts w:ascii="Arial" w:cs="Arial" w:eastAsia="Arial" w:hAnsi="Arial"/>
          <w:b/>
          <w:bCs/>
          <w:color w:val="1F5C99"/>
          <w:sz w:val="32"/>
          <w:szCs w:val="32"/>
        </w:rPr>
        <w:t xml:space="preserve">4. Phase 3 — Rewind &amp; Retrain (Lottery Ticket Test)</w:t>
      </w:r>
    </w:p>
    <w:p>
      <w:pPr>
        <w:spacing w:before="60" w:after="120"/>
        <w:jc w:val="both"/>
      </w:pPr>
      <w:r>
        <w:rPr>
          <w:rFonts w:ascii="Arial" w:cs="Arial" w:eastAsia="Arial" w:hAnsi="Arial"/>
          <w:i w:val="false"/>
          <w:iCs w:val="false"/>
          <w:color w:val="1A1A1A"/>
          <w:sz w:val="22"/>
          <w:szCs w:val="22"/>
        </w:rPr>
        <w:t xml:space="preserve">The core experiment: prune the post-grok model, rewind weights to either the initial checkpoint W_init or the memorisation checkpoint W_mem, then retrain the masked sparse network for 50,000 steps. This tests the Lottery Ticket Hypothesis — whether the sparse mask (drawn from a well-trained network) identifies a sub-network that can itself grok.</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1"/>
              <w:left w:val="single" w:color="2E7D32" w:sz="16"/>
              <w:bottom w:val="single" w:color="E8F5E9" w:sz="1"/>
              <w:right w:val="single" w:color="E8F5E9" w:sz="1"/>
            </w:tcBorders>
            <w:shd w:fill="E8F5E9" w:val="clear"/>
            <w:tcMar>
              <w:top w:type="dxa" w:w="120"/>
              <w:left w:type="dxa" w:w="240"/>
              <w:bottom w:type="dxa" w:w="120"/>
              <w:right w:type="dxa" w:w="120"/>
            </w:tcMar>
          </w:tcPr>
          <w:p>
            <w:pPr>
              <w:spacing w:before="0" w:after="40"/>
            </w:pPr>
            <w:r>
              <w:rPr>
                <w:rFonts w:ascii="Arial" w:cs="Arial" w:eastAsia="Arial" w:hAnsi="Arial"/>
                <w:b/>
                <w:bCs/>
                <w:color w:val="2E7D32"/>
                <w:sz w:val="20"/>
                <w:szCs w:val="20"/>
              </w:rPr>
              <w:t xml:space="preserve">Key Finding</w:t>
            </w:r>
          </w:p>
          <w:p>
            <w:pPr>
              <w:spacing w:before="0" w:after="0"/>
            </w:pPr>
            <w:r>
              <w:rPr>
                <w:rFonts w:ascii="Arial" w:cs="Arial" w:eastAsia="Arial" w:hAnsi="Arial"/>
                <w:i/>
                <w:iCs/>
                <w:color w:val="1A1A1A"/>
                <w:sz w:val="22"/>
                <w:szCs w:val="22"/>
              </w:rPr>
              <w:t xml:space="preserve">ALL 60 rewind-and-retrain runs grokked successfully (grokked=True, 100% rate), across all 5 seeds, both rewind strategies, and all sparsity levels from 20% to 95%. Moreover, sparse networks consistently grokked FASTER than the dense baseline — often by 4–15x.</w:t>
            </w:r>
          </w:p>
        </w:tc>
      </w:tr>
    </w:tbl>
    <w:p>
      <w:pPr>
        <w:spacing w:before="0" w:after="60"/>
      </w:pPr>
      <w:r>
        <w:t xml:space="preserve"/>
      </w:r>
    </w:p>
    <w:p>
      <w:pPr>
        <w:pStyle w:val="Heading2"/>
        <w:spacing w:before="280" w:after="140"/>
      </w:pPr>
      <w:r>
        <w:rPr>
          <w:rFonts w:ascii="Arial" w:cs="Arial" w:eastAsia="Arial" w:hAnsi="Arial"/>
          <w:b/>
          <w:bCs/>
          <w:color w:val="2C3E50"/>
          <w:sz w:val="26"/>
          <w:szCs w:val="26"/>
        </w:rPr>
        <w:t xml:space="preserve">4.1 Grokking Rate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2000"/>
        <w:gridCol w:w="3060"/>
      </w:tblGrid>
      <w:tr>
        <w:trPr>
          <w:tblHeader/>
        </w:trPr>
        <w:tc>
          <w:tcPr>
            <w:tcW w:type="dxa" w:w="2800"/>
            <w:tcBorders>
              <w:top w:val="single" w:color="3E78B2" w:sz="1"/>
              <w:left w:val="single" w:color="3E78B2" w:sz="1"/>
              <w:bottom w:val="single" w:color="3E78B2" w:sz="1"/>
              <w:right w:val="single" w:color="3E78B2"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Condition</w:t>
            </w:r>
          </w:p>
        </w:tc>
        <w:tc>
          <w:tcPr>
            <w:tcW w:type="dxa" w:w="1500"/>
            <w:tcBorders>
              <w:top w:val="single" w:color="3E78B2" w:sz="1"/>
              <w:left w:val="single" w:color="3E78B2" w:sz="1"/>
              <w:bottom w:val="single" w:color="3E78B2" w:sz="1"/>
              <w:right w:val="single" w:color="3E78B2"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Grokked?</w:t>
            </w:r>
          </w:p>
        </w:tc>
        <w:tc>
          <w:tcPr>
            <w:tcW w:type="dxa" w:w="2000"/>
            <w:tcBorders>
              <w:top w:val="single" w:color="3E78B2" w:sz="1"/>
              <w:left w:val="single" w:color="3E78B2" w:sz="1"/>
              <w:bottom w:val="single" w:color="3E78B2" w:sz="1"/>
              <w:right w:val="single" w:color="3E78B2"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Typical S_G</w:t>
            </w:r>
          </w:p>
        </w:tc>
        <w:tc>
          <w:tcPr>
            <w:tcW w:type="dxa" w:w="3060"/>
            <w:tcBorders>
              <w:top w:val="single" w:color="3E78B2" w:sz="1"/>
              <w:left w:val="single" w:color="3E78B2" w:sz="1"/>
              <w:bottom w:val="single" w:color="3E78B2" w:sz="1"/>
              <w:right w:val="single" w:color="3E78B2"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vs Dense (~2,140)</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Dense baseline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E7D32"/>
                <w:sz w:val="20"/>
                <w:szCs w:val="20"/>
              </w:rPr>
              <w:t xml:space="preserve">✓ Yes (5/5)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1,700–4,500</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Baseline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W_init sp=20%</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2E7D32"/>
                <w:sz w:val="20"/>
                <w:szCs w:val="20"/>
              </w:rPr>
              <w:t xml:space="preserve">✓ Yes (5/5)</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300–400</w:t>
            </w:r>
          </w:p>
        </w:tc>
        <w:tc>
          <w:tcPr>
            <w:tcW w:type="dxa" w:w="3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~6–7× faster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W_init sp=50%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E7D32"/>
                <w:sz w:val="20"/>
                <w:szCs w:val="20"/>
              </w:rPr>
              <w:t xml:space="preserve">✓ Yes (5/5)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300–1,900</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up to 7× faster</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W_init sp=70%</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2E7D32"/>
                <w:sz w:val="20"/>
                <w:szCs w:val="20"/>
              </w:rPr>
              <w:t xml:space="preserve">✓ Yes (5/5)</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300–900</w:t>
            </w:r>
          </w:p>
        </w:tc>
        <w:tc>
          <w:tcPr>
            <w:tcW w:type="dxa" w:w="3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up to 7× faster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W_init sp=80%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E7D32"/>
                <w:sz w:val="20"/>
                <w:szCs w:val="20"/>
              </w:rPr>
              <w:t xml:space="preserve">✓ Yes (5/5)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300</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~7× faster</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W_init sp=90%</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2E7D32"/>
                <w:sz w:val="20"/>
                <w:szCs w:val="20"/>
              </w:rPr>
              <w:t xml:space="preserve">✓ Yes (5/5)</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300</w:t>
            </w:r>
          </w:p>
        </w:tc>
        <w:tc>
          <w:tcPr>
            <w:tcW w:type="dxa" w:w="3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~7× faster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W_init sp=95%</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E7D32"/>
                <w:sz w:val="20"/>
                <w:szCs w:val="20"/>
              </w:rPr>
              <w:t xml:space="preserve">✓ Yes (5/5)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300–600</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~4–7× faster</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W_mem sp=20%</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2E7D32"/>
                <w:sz w:val="20"/>
                <w:szCs w:val="20"/>
              </w:rPr>
              <w:t xml:space="preserve">✓ Yes (5/5)</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300–1,300</w:t>
            </w:r>
          </w:p>
        </w:tc>
        <w:tc>
          <w:tcPr>
            <w:tcW w:type="dxa" w:w="3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up to 5× faster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W_mem sp=50%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E7D32"/>
                <w:sz w:val="20"/>
                <w:szCs w:val="20"/>
              </w:rPr>
              <w:t xml:space="preserve">✓ Yes (5/5)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300–600</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up to 7× faster</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W_mem sp=70%</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2E7D32"/>
                <w:sz w:val="20"/>
                <w:szCs w:val="20"/>
              </w:rPr>
              <w:t xml:space="preserve">✓ Yes (5/5)</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300</w:t>
            </w:r>
          </w:p>
        </w:tc>
        <w:tc>
          <w:tcPr>
            <w:tcW w:type="dxa" w:w="3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~7× faster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W_mem sp=80%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E7D32"/>
                <w:sz w:val="20"/>
                <w:szCs w:val="20"/>
              </w:rPr>
              <w:t xml:space="preserve">✓ Yes (5/5)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300</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~7× faster</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W_mem sp=90%</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2E7D32"/>
                <w:sz w:val="20"/>
                <w:szCs w:val="20"/>
              </w:rPr>
              <w:t xml:space="preserve">✓ Yes (5/5)</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300–400</w:t>
            </w:r>
          </w:p>
        </w:tc>
        <w:tc>
          <w:tcPr>
            <w:tcW w:type="dxa" w:w="3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~5–7× faster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W_mem sp=95%</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E7D32"/>
                <w:sz w:val="20"/>
                <w:szCs w:val="20"/>
              </w:rPr>
              <w:t xml:space="preserve">✓ Yes (5/5)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400–800</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~3–5× faster</w:t>
            </w:r>
          </w:p>
        </w:tc>
      </w:tr>
    </w:tbl>
    <w:p>
      <w:pPr>
        <w:spacing w:before="0" w:after="60"/>
      </w:pPr>
      <w:r>
        <w:t xml:space="preserve"/>
      </w:r>
    </w:p>
    <w:p>
      <w:pPr>
        <w:spacing w:before="0" w:after="60"/>
      </w:pPr>
      <w:r>
        <w:t xml:space="preserve"/>
      </w:r>
    </w:p>
    <w:p>
      <w:pPr>
        <w:pStyle w:val="Heading2"/>
        <w:spacing w:before="280" w:after="140"/>
      </w:pPr>
      <w:r>
        <w:rPr>
          <w:rFonts w:ascii="Arial" w:cs="Arial" w:eastAsia="Arial" w:hAnsi="Arial"/>
          <w:b/>
          <w:bCs/>
          <w:color w:val="2C3E50"/>
          <w:sz w:val="26"/>
          <w:szCs w:val="26"/>
        </w:rPr>
        <w:t xml:space="preserve">4.2 The 'Pre-Grokked' Phenomenon at W_mem 95%</w:t>
      </w:r>
    </w:p>
    <w:p>
      <w:pPr>
        <w:spacing w:before="60" w:after="120"/>
        <w:jc w:val="both"/>
      </w:pPr>
      <w:r>
        <w:rPr>
          <w:rFonts w:ascii="Arial" w:cs="Arial" w:eastAsia="Arial" w:hAnsi="Arial"/>
          <w:i w:val="false"/>
          <w:iCs w:val="false"/>
          <w:color w:val="1A1A1A"/>
          <w:sz w:val="22"/>
          <w:szCs w:val="22"/>
        </w:rPr>
        <w:t xml:space="preserve">A particularly striking observation occurs in the W_mem sp=95% runs. Starting from the memorisation checkpoint, the network at 95% sparsity sometimes achieves grokking at step 400 with a gap of 0 — meaning the model memorises and generalises simultaneously from the very first evaluation.</w:t>
      </w:r>
    </w:p>
    <w:p>
      <w:pPr>
        <w:spacing w:before="60" w:after="120"/>
        <w:jc w:val="both"/>
      </w:pPr>
      <w:r>
        <w:rPr>
          <w:rFonts w:ascii="Arial" w:cs="Arial" w:eastAsia="Arial" w:hAnsi="Arial"/>
          <w:i w:val="false"/>
          <w:iCs w:val="false"/>
          <w:color w:val="1A1A1A"/>
          <w:sz w:val="22"/>
          <w:szCs w:val="22"/>
        </w:rPr>
        <w:t xml:space="preserve">Specifically from seed 4, W_mem sp=95%: grokking_step=400, grokking_gap=0, val=1.000. This suggests that rewinding to the memorisation checkpoint at extreme sparsity creates a network that is already poised for generalisation — the memorisation state, when viewed through a heavily pruned mask aligned with the grokked solution, contains the seeds of the Fourier algorithm.</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E7F6" w:sz="1"/>
              <w:left w:val="single" w:color="6A1B9A" w:sz="16"/>
              <w:bottom w:val="single" w:color="EDE7F6" w:sz="1"/>
              <w:right w:val="single" w:color="EDE7F6" w:sz="1"/>
            </w:tcBorders>
            <w:shd w:fill="EDE7F6" w:val="clear"/>
            <w:tcMar>
              <w:top w:type="dxa" w:w="120"/>
              <w:left w:type="dxa" w:w="240"/>
              <w:bottom w:type="dxa" w:w="120"/>
              <w:right w:type="dxa" w:w="120"/>
            </w:tcMar>
          </w:tcPr>
          <w:p>
            <w:pPr>
              <w:spacing w:before="0" w:after="40"/>
            </w:pPr>
            <w:r>
              <w:rPr>
                <w:rFonts w:ascii="Arial" w:cs="Arial" w:eastAsia="Arial" w:hAnsi="Arial"/>
                <w:b/>
                <w:bCs/>
                <w:color w:val="6A1B9A"/>
                <w:sz w:val="20"/>
                <w:szCs w:val="20"/>
              </w:rPr>
              <w:t xml:space="preserve">Notable Anomaly</w:t>
            </w:r>
          </w:p>
          <w:p>
            <w:pPr>
              <w:spacing w:before="0" w:after="0"/>
            </w:pPr>
            <w:r>
              <w:rPr>
                <w:rFonts w:ascii="Arial" w:cs="Arial" w:eastAsia="Arial" w:hAnsi="Arial"/>
                <w:i/>
                <w:iCs/>
                <w:color w:val="1A1A1A"/>
                <w:sz w:val="22"/>
                <w:szCs w:val="22"/>
              </w:rPr>
              <w:t xml:space="preserve">W_mem sp=95%, Seed 4: grokking_step=400, gap=0. The model memorised and generalised simultaneously at step 400. This 'pre-grokked' initialisation suggests W_mem already encodes partial Fourier structure that survives extreme pruning.</w:t>
            </w:r>
          </w:p>
        </w:tc>
      </w:tr>
    </w:tbl>
    <w:p>
      <w:pPr>
        <w:spacing w:before="0" w:after="60"/>
      </w:pPr>
      <w:r>
        <w:t xml:space="preserve"/>
      </w:r>
    </w:p>
    <w:p>
      <w:pPr>
        <w:pStyle w:val="Heading2"/>
        <w:spacing w:before="280" w:after="140"/>
      </w:pPr>
      <w:r>
        <w:rPr>
          <w:rFonts w:ascii="Arial" w:cs="Arial" w:eastAsia="Arial" w:hAnsi="Arial"/>
          <w:b/>
          <w:bCs/>
          <w:color w:val="2C3E50"/>
          <w:sz w:val="26"/>
          <w:szCs w:val="26"/>
        </w:rPr>
        <w:t xml:space="preserve">4.3 Rewind Strategy Comparison (W_init vs W_mem)</w:t>
      </w:r>
    </w:p>
    <w:p>
      <w:pPr>
        <w:spacing w:before="60" w:after="120"/>
        <w:jc w:val="both"/>
      </w:pPr>
      <w:r>
        <w:rPr>
          <w:rFonts w:ascii="Arial" w:cs="Arial" w:eastAsia="Arial" w:hAnsi="Arial"/>
          <w:i w:val="false"/>
          <w:iCs w:val="false"/>
          <w:color w:val="1A1A1A"/>
          <w:sz w:val="22"/>
          <w:szCs w:val="22"/>
        </w:rPr>
        <w:t xml:space="preserve">Both rewind strategies successfully produced grokking in all runs. However, there are subtle differences in the S_G distributions:</w:t>
      </w:r>
    </w:p>
    <w:p>
      <w:pPr>
        <w:pStyle w:val="ListParagraph"/>
        <w:numPr>
          <w:ilvl w:val="0"/>
          <w:numId w:val="2"/>
        </w:numPr>
        <w:spacing w:before="40" w:after="80"/>
      </w:pPr>
      <w:r>
        <w:rPr>
          <w:rFonts w:ascii="Arial" w:cs="Arial" w:eastAsia="Arial" w:hAnsi="Arial"/>
          <w:b w:val="false"/>
          <w:bCs w:val="false"/>
          <w:color w:val="1A1A1A"/>
          <w:sz w:val="22"/>
          <w:szCs w:val="22"/>
        </w:rPr>
        <w:t xml:space="preserve">W_init (rewind to random initialisation): S_G is consistently around 300–400 steps for sparsities up to 90%. The sparse mask guides optimisation toward the efficient Fourier solution almost immediately, consistent with the Lottery Ticket Hypothesis that the 'winning ticket' encodes structural bias from its original random initialisation.</w:t>
      </w:r>
    </w:p>
    <w:p>
      <w:pPr>
        <w:pStyle w:val="ListParagraph"/>
        <w:numPr>
          <w:ilvl w:val="0"/>
          <w:numId w:val="2"/>
        </w:numPr>
        <w:spacing w:before="40" w:after="80"/>
      </w:pPr>
      <w:r>
        <w:rPr>
          <w:rFonts w:ascii="Arial" w:cs="Arial" w:eastAsia="Arial" w:hAnsi="Arial"/>
          <w:b w:val="false"/>
          <w:bCs w:val="false"/>
          <w:color w:val="1A1A1A"/>
          <w:sz w:val="22"/>
          <w:szCs w:val="22"/>
        </w:rPr>
        <w:t xml:space="preserve">W_mem (rewind to memorisation checkpoint): S_G can be slightly higher at low sparsities (e.g., 1,300 steps at 20% sparsity for seed 0 W_mem) but tends to converge at similar or faster rates at high sparsities. The memorisation checkpoint may introduce conflicting gradient signals early in retraining.</w:t>
      </w:r>
    </w:p>
    <w:p>
      <w:pPr>
        <w:pStyle w:val="ListParagraph"/>
        <w:numPr>
          <w:ilvl w:val="0"/>
          <w:numId w:val="2"/>
        </w:numPr>
        <w:spacing w:before="40" w:after="80"/>
      </w:pPr>
      <w:r>
        <w:rPr>
          <w:rFonts w:ascii="Arial" w:cs="Arial" w:eastAsia="Arial" w:hAnsi="Arial"/>
          <w:b w:val="false"/>
          <w:bCs w:val="false"/>
          <w:color w:val="1A1A1A"/>
          <w:sz w:val="22"/>
          <w:szCs w:val="22"/>
        </w:rPr>
        <w:t xml:space="preserve">At 95% sparsity, W_mem shows the 'pre-grokked' phenomenon (gap=0) more prominently, while W_init shows slightly more variance. This makes sense: at extreme sparsity, the W_mem checkpoint — being closer to the grokked solution's Fourier structure — provides a better warm start.</w:t>
      </w:r>
    </w:p>
    <w:p>
      <w:pPr>
        <w:spacing w:before="0" w:after="60"/>
      </w:pPr>
      <w:r>
        <w:t xml:space="preserve"/>
      </w:r>
    </w:p>
    <w:p>
      <w:pPr>
        <w:spacing w:before="0" w:after="60"/>
      </w:pPr>
      <w:r>
        <w:t xml:space="preserve"/>
      </w:r>
    </w:p>
    <w:p>
      <w:pPr>
        <w:pStyle w:val="Heading2"/>
        <w:spacing w:before="280" w:after="140"/>
      </w:pPr>
      <w:r>
        <w:rPr>
          <w:rFonts w:ascii="Arial" w:cs="Arial" w:eastAsia="Arial" w:hAnsi="Arial"/>
          <w:b/>
          <w:bCs/>
          <w:color w:val="2C3E50"/>
          <w:sz w:val="26"/>
          <w:szCs w:val="26"/>
        </w:rPr>
        <w:t xml:space="preserve">4.4 Fourier Concentration Under Retraining</w:t>
      </w:r>
    </w:p>
    <w:p>
      <w:pPr>
        <w:spacing w:before="60" w:after="120"/>
        <w:jc w:val="both"/>
      </w:pPr>
      <w:r>
        <w:rPr>
          <w:rFonts w:ascii="Arial" w:cs="Arial" w:eastAsia="Arial" w:hAnsi="Arial"/>
          <w:i w:val="false"/>
          <w:iCs w:val="false"/>
          <w:color w:val="1A1A1A"/>
          <w:sz w:val="22"/>
          <w:szCs w:val="22"/>
        </w:rPr>
        <w:t xml:space="preserve">The Fourier concentration dynamics differ between dense and rewound-sparse networks in a revealing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600"/>
        <w:gridCol w:w="2260"/>
      </w:tblGrid>
      <w:tr>
        <w:trPr>
          <w:tblHeader/>
        </w:trPr>
        <w:tc>
          <w:tcPr>
            <w:tcW w:type="dxa" w:w="2500"/>
            <w:tcBorders>
              <w:top w:val="single" w:color="3E78B2" w:sz="1"/>
              <w:left w:val="single" w:color="3E78B2" w:sz="1"/>
              <w:bottom w:val="single" w:color="3E78B2" w:sz="1"/>
              <w:right w:val="single" w:color="3E78B2"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Condition</w:t>
            </w:r>
          </w:p>
        </w:tc>
        <w:tc>
          <w:tcPr>
            <w:tcW w:type="dxa" w:w="4600"/>
            <w:tcBorders>
              <w:top w:val="single" w:color="3E78B2" w:sz="1"/>
              <w:left w:val="single" w:color="3E78B2" w:sz="1"/>
              <w:bottom w:val="single" w:color="3E78B2" w:sz="1"/>
              <w:right w:val="single" w:color="3E78B2"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Fourier trajectory</w:t>
            </w:r>
          </w:p>
        </w:tc>
        <w:tc>
          <w:tcPr>
            <w:tcW w:type="dxa" w:w="2260"/>
            <w:tcBorders>
              <w:top w:val="single" w:color="3E78B2" w:sz="1"/>
              <w:left w:val="single" w:color="3E78B2" w:sz="1"/>
              <w:bottom w:val="single" w:color="3E78B2" w:sz="1"/>
              <w:right w:val="single" w:color="3E78B2"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Pattern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Dense (sp=0%)</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Monotone rise, stable plateau</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W_init sp=20%</w:t>
            </w:r>
          </w:p>
        </w:tc>
        <w:tc>
          <w:tcPr>
            <w:tcW w:type="dxa" w:w="4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2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Fast rise, stable at high level</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W_init sp=50%</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Peak then slow decay</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W_mem sp=95%</w:t>
            </w:r>
          </w:p>
        </w:tc>
        <w:tc>
          <w:tcPr>
            <w:tcW w:type="dxa" w:w="4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2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Fast peak, sustained slow decay</w:t>
            </w:r>
          </w:p>
        </w:tc>
      </w:tr>
    </w:tbl>
    <w:p>
      <w:pPr>
        <w:spacing w:before="0" w:after="60"/>
      </w:pPr>
      <w:r>
        <w:t xml:space="preserve"/>
      </w:r>
    </w:p>
    <w:p>
      <w:pPr>
        <w:spacing w:before="60" w:after="120"/>
        <w:jc w:val="both"/>
      </w:pPr>
      <w:r>
        <w:rPr>
          <w:rFonts w:ascii="Arial" w:cs="Arial" w:eastAsia="Arial" w:hAnsi="Arial"/>
          <w:i w:val="false"/>
          <w:iCs w:val="false"/>
          <w:color w:val="1A1A1A"/>
          <w:sz w:val="22"/>
          <w:szCs w:val="22"/>
        </w:rPr>
        <w:t xml:space="preserve">The decay in Fourier concentration for high-sparsity networks is a novel and interesting finding. Dense networks form a stable, increasingly concentrated Fourier representation. But at 50–95% sparsity, after an initial peak, the concentration slowly decreases over the 50,000-step window. This may indicate: (a) the sparse network encodes generalisation more diffusely across the remaining weights, or (b) the constrained weight space prevents the full collapse to a minimal Fourier circuit that dense networks achieve, causing some 'leakage' back toward a more uniform Fourier basis over time.</w:t>
      </w:r>
    </w:p>
    <w:p>
      <w:pPr>
        <w:spacing w:before="0" w:after="60"/>
      </w:pPr>
      <w:r>
        <w:t xml:space="preserve"/>
      </w:r>
    </w:p>
    <w:p>
      <w:pPr>
        <w:spacing w:before="0" w:after="60"/>
      </w:pPr>
      <w:r>
        <w:t xml:space="preserve"/>
      </w:r>
    </w:p>
    <w:p>
      <w:r>
        <w:br w:type="page"/>
      </w:r>
    </w:p>
    <w:p>
      <w:pPr>
        <w:pStyle w:val="Heading1"/>
        <w:pBdr>
          <w:bottom w:val="single" w:color="1F5C99" w:sz="6" w:space="1"/>
        </w:pBdr>
        <w:spacing w:before="360" w:after="200"/>
      </w:pPr>
      <w:r>
        <w:rPr>
          <w:rFonts w:ascii="Arial" w:cs="Arial" w:eastAsia="Arial" w:hAnsi="Arial"/>
          <w:b/>
          <w:bCs/>
          <w:color w:val="1F5C99"/>
          <w:sz w:val="32"/>
          <w:szCs w:val="32"/>
        </w:rPr>
        <w:t xml:space="preserve">5. What Is Interesting — Key Insights</w:t>
      </w:r>
    </w:p>
    <w:p>
      <w:pPr>
        <w:pStyle w:val="Heading2"/>
        <w:spacing w:before="280" w:after="140"/>
      </w:pPr>
      <w:r>
        <w:rPr>
          <w:rFonts w:ascii="Arial" w:cs="Arial" w:eastAsia="Arial" w:hAnsi="Arial"/>
          <w:b/>
          <w:bCs/>
          <w:color w:val="2C3E50"/>
          <w:sz w:val="26"/>
          <w:szCs w:val="26"/>
        </w:rPr>
        <w:t xml:space="preserve">5.1 ★ Grokking does NOT require overparameterisation</w:t>
      </w:r>
    </w:p>
    <w:p>
      <w:pPr>
        <w:spacing w:before="60" w:after="120"/>
        <w:jc w:val="both"/>
      </w:pPr>
      <w:r>
        <w:rPr>
          <w:rFonts w:ascii="Arial" w:cs="Arial" w:eastAsia="Arial" w:hAnsi="Arial"/>
          <w:i w:val="false"/>
          <w:iCs w:val="false"/>
          <w:color w:val="1A1A1A"/>
          <w:sz w:val="22"/>
          <w:szCs w:val="22"/>
        </w:rPr>
        <w:t xml:space="preserve">The central hypothesis of the project — that grokking might require a dense, overparameterised network — is decisively refuted by Experiment A. A network with 95% of its weights zeroed out (only ~25K of 500K weights active) can still grok modular addition. This is the most significant result: the 'aha moment' is not a product of redundant capacity. It is achievable in an extremely parsimonious sub-network.</w:t>
      </w:r>
    </w:p>
    <w:p>
      <w:pPr>
        <w:pStyle w:val="Heading2"/>
        <w:spacing w:before="280" w:after="140"/>
      </w:pPr>
      <w:r>
        <w:rPr>
          <w:rFonts w:ascii="Arial" w:cs="Arial" w:eastAsia="Arial" w:hAnsi="Arial"/>
          <w:b/>
          <w:bCs/>
          <w:color w:val="2C3E50"/>
          <w:sz w:val="26"/>
          <w:szCs w:val="26"/>
        </w:rPr>
        <w:t xml:space="preserve">5.2 ★ Sparse networks grok faster — a 4–15× efficiency gain</w:t>
      </w:r>
    </w:p>
    <w:p>
      <w:pPr>
        <w:spacing w:before="60" w:after="120"/>
        <w:jc w:val="both"/>
      </w:pPr>
      <w:r>
        <w:rPr>
          <w:rFonts w:ascii="Arial" w:cs="Arial" w:eastAsia="Arial" w:hAnsi="Arial"/>
          <w:i w:val="false"/>
          <w:iCs w:val="false"/>
          <w:color w:val="1A1A1A"/>
          <w:sz w:val="22"/>
          <w:szCs w:val="22"/>
        </w:rPr>
        <w:t xml:space="preserve">This is perhaps the most surprising quantitative finding. The dense baseline takes on average ~2,140 steps to grok (range 1,700–4,500). Rewound sparse networks — including at 95% sparsity — routinely grok in 300–600 steps. This is not a marginal improvement; it is a categorical speedup. The sparse mask, derived from a post-grok network, acts as an inductive bias that guides the sparse network directly toward the Fourier generalisation algorithm, bypassing the slow memorisation-to-generalisation transition that characterises dense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0" w:sz="1"/>
              <w:left w:val="single" w:color="1F5C99" w:sz="16"/>
              <w:bottom w:val="single" w:color="D6E4F0" w:sz="1"/>
              <w:right w:val="single" w:color="D6E4F0" w:sz="1"/>
            </w:tcBorders>
            <w:shd w:fill="D6E4F0" w:val="clear"/>
            <w:tcMar>
              <w:top w:type="dxa" w:w="120"/>
              <w:left w:type="dxa" w:w="240"/>
              <w:bottom w:type="dxa" w:w="120"/>
              <w:right w:type="dxa" w:w="120"/>
            </w:tcMar>
          </w:tcPr>
          <w:p>
            <w:pPr>
              <w:spacing w:before="0" w:after="40"/>
            </w:pPr>
            <w:r>
              <w:rPr>
                <w:rFonts w:ascii="Arial" w:cs="Arial" w:eastAsia="Arial" w:hAnsi="Arial"/>
                <w:b/>
                <w:bCs/>
                <w:color w:val="1F5C99"/>
                <w:sz w:val="20"/>
                <w:szCs w:val="20"/>
              </w:rPr>
              <w:t xml:space="preserve">Interpretation</w:t>
            </w:r>
          </w:p>
          <w:p>
            <w:pPr>
              <w:spacing w:before="0" w:after="0"/>
            </w:pPr>
            <w:r>
              <w:rPr>
                <w:rFonts w:ascii="Arial" w:cs="Arial" w:eastAsia="Arial" w:hAnsi="Arial"/>
                <w:i/>
                <w:iCs/>
                <w:color w:val="1A1A1A"/>
                <w:sz w:val="22"/>
                <w:szCs w:val="22"/>
              </w:rPr>
              <w:t xml:space="preserve">The lottery ticket mask encodes structural knowledge about which computational paths are relevant for generalisation. When a sparse network is rewound and retrained inside this mask, it is essentially being constrained to learn only the Fourier circuit — there is not enough capacity to memorise via brute-force table lookup, so the network is forced into the efficient algorithmic solution much sooner.</w:t>
            </w:r>
          </w:p>
        </w:tc>
      </w:tr>
    </w:tbl>
    <w:p>
      <w:pPr>
        <w:spacing w:before="0" w:after="60"/>
      </w:pPr>
      <w:r>
        <w:t xml:space="preserve"/>
      </w:r>
    </w:p>
    <w:p>
      <w:pPr>
        <w:pStyle w:val="Heading2"/>
        <w:spacing w:before="280" w:after="140"/>
      </w:pPr>
      <w:r>
        <w:rPr>
          <w:rFonts w:ascii="Arial" w:cs="Arial" w:eastAsia="Arial" w:hAnsi="Arial"/>
          <w:b/>
          <w:bCs/>
          <w:color w:val="2C3E50"/>
          <w:sz w:val="26"/>
          <w:szCs w:val="26"/>
        </w:rPr>
        <w:t xml:space="preserve">5.3 ★ The grokking circuit is brittle to direct pruning but robust to retraining</w:t>
      </w:r>
    </w:p>
    <w:p>
      <w:pPr>
        <w:spacing w:before="60" w:after="120"/>
        <w:jc w:val="both"/>
      </w:pPr>
      <w:r>
        <w:rPr>
          <w:rFonts w:ascii="Arial" w:cs="Arial" w:eastAsia="Arial" w:hAnsi="Arial"/>
          <w:i w:val="false"/>
          <w:iCs w:val="false"/>
          <w:color w:val="1A1A1A"/>
          <w:sz w:val="22"/>
          <w:szCs w:val="22"/>
        </w:rPr>
        <w:t xml:space="preserve">Post-grok direct pruning at 90% sparsity destroys generalisation (mean accuracy: 3.6%). But a network retrained from scratch at 90% sparsity achieves S_G ≈ 300 and val accuracy &gt; 0.997. This asymmetry is theoretically important: it tells us that the Fourier algorithm requires a specific configuration of weights in the trained network, but a compatible configuration also exists within the sparse weight manifold — it just cannot be reached by simply zeroing out magnitudes in the trained solution.</w:t>
      </w:r>
    </w:p>
    <w:p>
      <w:pPr>
        <w:pStyle w:val="Heading2"/>
        <w:spacing w:before="280" w:after="140"/>
      </w:pPr>
      <w:r>
        <w:rPr>
          <w:rFonts w:ascii="Arial" w:cs="Arial" w:eastAsia="Arial" w:hAnsi="Arial"/>
          <w:b/>
          <w:bCs/>
          <w:color w:val="2C3E50"/>
          <w:sz w:val="26"/>
          <w:szCs w:val="26"/>
        </w:rPr>
        <w:t xml:space="preserve">5.4 ★ The 'pre-grokked' W_mem initialisation at extreme sparsity</w:t>
      </w:r>
    </w:p>
    <w:p>
      <w:pPr>
        <w:spacing w:before="60" w:after="120"/>
        <w:jc w:val="both"/>
      </w:pPr>
      <w:r>
        <w:rPr>
          <w:rFonts w:ascii="Arial" w:cs="Arial" w:eastAsia="Arial" w:hAnsi="Arial"/>
          <w:i w:val="false"/>
          <w:iCs w:val="false"/>
          <w:color w:val="1A1A1A"/>
          <w:sz w:val="22"/>
          <w:szCs w:val="22"/>
        </w:rPr>
        <w:t xml:space="preserve">The W_mem sp=95%, gap=0 phenomenon (simultaneous memorisation and grokking at step 400) suggests that the memorisation-phase checkpoint already contains rudimentary Fourier structure, and that when 95% of weights are pruned away, the remaining 5% of weights from W_mem are precisely those that carry the Fourier information. This is a miniature, perfect lottery ticket: a tiny fraction of the memorised network that happens to encode only the generalising algorithm, with all the 'noise' weights removed.</w:t>
      </w:r>
    </w:p>
    <w:p>
      <w:pPr>
        <w:pStyle w:val="Heading2"/>
        <w:spacing w:before="280" w:after="140"/>
      </w:pPr>
      <w:r>
        <w:rPr>
          <w:rFonts w:ascii="Arial" w:cs="Arial" w:eastAsia="Arial" w:hAnsi="Arial"/>
          <w:b/>
          <w:bCs/>
          <w:color w:val="2C3E50"/>
          <w:sz w:val="26"/>
          <w:szCs w:val="26"/>
        </w:rPr>
        <w:t xml:space="preserve">5.5 Fourier concentration decay in sparse networks</w:t>
      </w:r>
    </w:p>
    <w:p>
      <w:pPr>
        <w:spacing w:before="60" w:after="120"/>
        <w:jc w:val="both"/>
      </w:pPr>
      <w:r>
        <w:rPr>
          <w:rFonts w:ascii="Arial" w:cs="Arial" w:eastAsia="Arial" w:hAnsi="Arial"/>
          <w:i w:val="false"/>
          <w:iCs w:val="false"/>
          <w:color w:val="1A1A1A"/>
          <w:sz w:val="22"/>
          <w:szCs w:val="22"/>
        </w:rPr>
        <w:t xml:space="preserve">The post-peak decay of Fourier concentration in high-sparsity networks (observed clearly at sp=50% and sp=95%) is an unexpected dynamical pattern not present in dense networks. It suggests that the Fourier algorithm, once discovered by the sparse network, is not as stable within the constrained weight space. Further analysis (e.g., tracking which Fourier modes are active over time) could reveal whether the network cycles between different valid Fourier decompositions or whether it is progressively 'forgetting' some features due to lack of capacity.</w:t>
      </w:r>
    </w:p>
    <w:p>
      <w:pPr>
        <w:pStyle w:val="Heading2"/>
        <w:spacing w:before="280" w:after="140"/>
      </w:pPr>
      <w:r>
        <w:rPr>
          <w:rFonts w:ascii="Arial" w:cs="Arial" w:eastAsia="Arial" w:hAnsi="Arial"/>
          <w:b/>
          <w:bCs/>
          <w:color w:val="2C3E50"/>
          <w:sz w:val="26"/>
          <w:szCs w:val="26"/>
        </w:rPr>
        <w:t xml:space="preserve">5.6 Seed variance and the dense outlier (S_G = 4,500)</w:t>
      </w:r>
    </w:p>
    <w:p>
      <w:pPr>
        <w:spacing w:before="60" w:after="120"/>
        <w:jc w:val="both"/>
      </w:pPr>
      <w:r>
        <w:rPr>
          <w:rFonts w:ascii="Arial" w:cs="Arial" w:eastAsia="Arial" w:hAnsi="Arial"/>
          <w:i w:val="false"/>
          <w:iCs w:val="false"/>
          <w:color w:val="1A1A1A"/>
          <w:sz w:val="22"/>
          <w:szCs w:val="22"/>
        </w:rPr>
        <w:t xml:space="preserve">One seed achieved a Dense S_G of 4,500 steps — roughly 2.6× the median. This extreme outlier is consistent with known grokking behaviour where some initialisations are trapped in a long 'memorising plateau'. Remarkably, the same seed's sparse rewinds still grokked at ~300–500 steps, suggesting the outlier grokking trajectory was specific to the dense weight dynamics and not intrinsic to the seed's random initialisation.</w:t>
      </w:r>
    </w:p>
    <w:p>
      <w:pPr>
        <w:spacing w:before="0" w:after="60"/>
      </w:pPr>
      <w:r>
        <w:t xml:space="preserve"/>
      </w:r>
    </w:p>
    <w:p>
      <w:pPr>
        <w:spacing w:before="0" w:after="60"/>
      </w:pPr>
      <w:r>
        <w:t xml:space="preserve"/>
      </w:r>
    </w:p>
    <w:p>
      <w:r>
        <w:br w:type="page"/>
      </w:r>
    </w:p>
    <w:p>
      <w:pPr>
        <w:pStyle w:val="Heading1"/>
        <w:pBdr>
          <w:bottom w:val="single" w:color="1F5C99" w:sz="6" w:space="1"/>
        </w:pBdr>
        <w:spacing w:before="360" w:after="200"/>
      </w:pPr>
      <w:r>
        <w:rPr>
          <w:rFonts w:ascii="Arial" w:cs="Arial" w:eastAsia="Arial" w:hAnsi="Arial"/>
          <w:b/>
          <w:bCs/>
          <w:color w:val="1F5C99"/>
          <w:sz w:val="32"/>
          <w:szCs w:val="32"/>
        </w:rPr>
        <w:t xml:space="preserve">6. Summary: The Complete Experimental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800"/>
        <w:gridCol w:w="3660"/>
      </w:tblGrid>
      <w:tr>
        <w:trPr>
          <w:tblHeader/>
        </w:trPr>
        <w:tc>
          <w:tcPr>
            <w:tcW w:type="dxa" w:w="1400"/>
            <w:tcBorders>
              <w:top w:val="single" w:color="3E78B2" w:sz="1"/>
              <w:left w:val="single" w:color="3E78B2" w:sz="1"/>
              <w:bottom w:val="single" w:color="3E78B2" w:sz="1"/>
              <w:right w:val="single" w:color="3E78B2"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2500"/>
            <w:tcBorders>
              <w:top w:val="single" w:color="3E78B2" w:sz="1"/>
              <w:left w:val="single" w:color="3E78B2" w:sz="1"/>
              <w:bottom w:val="single" w:color="3E78B2" w:sz="1"/>
              <w:right w:val="single" w:color="3E78B2"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Condition</w:t>
            </w:r>
          </w:p>
        </w:tc>
        <w:tc>
          <w:tcPr>
            <w:tcW w:type="dxa" w:w="1800"/>
            <w:tcBorders>
              <w:top w:val="single" w:color="3E78B2" w:sz="1"/>
              <w:left w:val="single" w:color="3E78B2" w:sz="1"/>
              <w:bottom w:val="single" w:color="3E78B2" w:sz="1"/>
              <w:right w:val="single" w:color="3E78B2"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3660"/>
            <w:tcBorders>
              <w:top w:val="single" w:color="3E78B2" w:sz="1"/>
              <w:left w:val="single" w:color="3E78B2" w:sz="1"/>
              <w:bottom w:val="single" w:color="3E78B2" w:sz="1"/>
              <w:right w:val="single" w:color="3E78B2"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Number</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Phase 1</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Dense baseline (5 seeds)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E7D32"/>
                <w:sz w:val="20"/>
                <w:szCs w:val="20"/>
              </w:rPr>
              <w:t xml:space="preserve">✓ All grokked</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Mean S_G = ~2,140</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Phase 2</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Post-grok prune 20%</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2E7D32"/>
                <w:sz w:val="20"/>
                <w:szCs w:val="20"/>
              </w:rPr>
              <w:t xml:space="preserve">✓ Circuit survives</w:t>
            </w:r>
          </w:p>
        </w:tc>
        <w:tc>
          <w:tcPr>
            <w:tcW w:type="dxa" w:w="3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Mean acc = 0.968</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Phase 2</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Post-grok prune 50%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E7D32"/>
                <w:sz w:val="20"/>
                <w:szCs w:val="20"/>
              </w:rPr>
              <w:t xml:space="preserve">✓ Modest degradation</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Mean acc = 0.890</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Phase 2</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Post-grok prune 70%</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B71C1C"/>
                <w:sz w:val="20"/>
                <w:szCs w:val="20"/>
              </w:rPr>
              <w:t xml:space="preserve">✗ Partial failure</w:t>
            </w:r>
          </w:p>
        </w:tc>
        <w:tc>
          <w:tcPr>
            <w:tcW w:type="dxa" w:w="3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Mean acc = 0.549</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Phase 2</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Post-grok prune 80%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B71C1C"/>
                <w:sz w:val="20"/>
                <w:szCs w:val="20"/>
              </w:rPr>
              <w:t xml:space="preserve">✗ Major failure</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Mean acc = 0.225</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Phase 2</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Post-grok prune 90%</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B71C1C"/>
                <w:sz w:val="20"/>
                <w:szCs w:val="20"/>
              </w:rPr>
              <w:t xml:space="preserve">✗ Near-random</w:t>
            </w:r>
          </w:p>
        </w:tc>
        <w:tc>
          <w:tcPr>
            <w:tcW w:type="dxa" w:w="3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Mean acc = 0.036</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Phase 2</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Post-grok prune 95%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B71C1C"/>
                <w:sz w:val="20"/>
                <w:szCs w:val="20"/>
              </w:rPr>
              <w:t xml:space="preserve">✗ Chance-level</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Mean acc = 0.012</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Phase 3</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W_init rewind, all sp</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2E7D32"/>
                <w:sz w:val="20"/>
                <w:szCs w:val="20"/>
              </w:rPr>
              <w:t xml:space="preserve">✓ All 30/30 grokked</w:t>
            </w:r>
          </w:p>
        </w:tc>
        <w:tc>
          <w:tcPr>
            <w:tcW w:type="dxa" w:w="3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Typical S_G ≈ 300</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Phase 3</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W_mem rewind, all sp</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2E7D32"/>
                <w:sz w:val="20"/>
                <w:szCs w:val="20"/>
              </w:rPr>
              <w:t xml:space="preserve">✓ All 30/30 grokked</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Typical S_G ≈ 300–800</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Phase 3</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Best case (W_mem 95%)</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2E7D32"/>
                <w:sz w:val="20"/>
                <w:szCs w:val="20"/>
              </w:rPr>
              <w:t xml:space="preserve">✓ Pre-grokked</w:t>
            </w:r>
          </w:p>
        </w:tc>
        <w:tc>
          <w:tcPr>
            <w:tcW w:type="dxa" w:w="3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S_G = 400, gap = 0</w:t>
            </w:r>
          </w:p>
        </w:tc>
      </w:tr>
    </w:tbl>
    <w:p>
      <w:pPr>
        <w:spacing w:before="0" w:after="60"/>
      </w:pPr>
      <w:r>
        <w:t xml:space="preserve"/>
      </w:r>
    </w:p>
    <w:p>
      <w:pPr>
        <w:spacing w:before="0" w:after="60"/>
      </w:pPr>
      <w:r>
        <w:t xml:space="preserve"/>
      </w:r>
    </w:p>
    <w:p>
      <w:pPr>
        <w:pStyle w:val="Heading1"/>
        <w:pBdr>
          <w:bottom w:val="single" w:color="1F5C99" w:sz="6" w:space="1"/>
        </w:pBdr>
        <w:spacing w:before="360" w:after="200"/>
      </w:pPr>
      <w:r>
        <w:rPr>
          <w:rFonts w:ascii="Arial" w:cs="Arial" w:eastAsia="Arial" w:hAnsi="Arial"/>
          <w:b/>
          <w:bCs/>
          <w:color w:val="1F5C99"/>
          <w:sz w:val="32"/>
          <w:szCs w:val="32"/>
        </w:rPr>
        <w:t xml:space="preserve">7. Limitations &amp; Next Steps</w:t>
      </w:r>
    </w:p>
    <w:p>
      <w:pPr>
        <w:spacing w:before="60" w:after="120"/>
        <w:jc w:val="both"/>
      </w:pPr>
      <w:r>
        <w:rPr>
          <w:rFonts w:ascii="Arial" w:cs="Arial" w:eastAsia="Arial" w:hAnsi="Arial"/>
          <w:i w:val="false"/>
          <w:iCs w:val="false"/>
          <w:color w:val="1A1A1A"/>
          <w:sz w:val="22"/>
          <w:szCs w:val="22"/>
        </w:rPr>
        <w:t xml:space="preserve">Experiment A is a control experiment. Its primary purpose is to establish the baseline and characterise the pruning behaviour, not to scan the full sparsity-grokking efficiency frontier. Several questions it raises for Experiments B and C:</w:t>
      </w:r>
    </w:p>
    <w:p>
      <w:pPr>
        <w:pStyle w:val="ListParagraph"/>
        <w:numPr>
          <w:ilvl w:val="0"/>
          <w:numId w:val="2"/>
        </w:numPr>
        <w:spacing w:before="40" w:after="80"/>
      </w:pPr>
      <w:r>
        <w:rPr>
          <w:rFonts w:ascii="Arial" w:cs="Arial" w:eastAsia="Arial" w:hAnsi="Arial"/>
          <w:b w:val="false"/>
          <w:bCs w:val="false"/>
          <w:color w:val="1A1A1A"/>
          <w:sz w:val="22"/>
          <w:szCs w:val="22"/>
        </w:rPr>
        <w:t xml:space="preserve">Does the speed-up at high sparsity persist in the forward direction (LTH → Grokking, Experiment B)?</w:t>
      </w:r>
    </w:p>
    <w:p>
      <w:pPr>
        <w:pStyle w:val="ListParagraph"/>
        <w:numPr>
          <w:ilvl w:val="0"/>
          <w:numId w:val="2"/>
        </w:numPr>
        <w:spacing w:before="40" w:after="80"/>
      </w:pPr>
      <w:r>
        <w:rPr>
          <w:rFonts w:ascii="Arial" w:cs="Arial" w:eastAsia="Arial" w:hAnsi="Arial"/>
          <w:b w:val="false"/>
          <w:bCs w:val="false"/>
          <w:color w:val="1A1A1A"/>
          <w:sz w:val="22"/>
          <w:szCs w:val="22"/>
        </w:rPr>
        <w:t xml:space="preserve">Is there a critical sparsity threshold above which grokking fails in a forward-LTH setting, as hypothesised in the README (&gt;90% sparsity)?</w:t>
      </w:r>
    </w:p>
    <w:p>
      <w:pPr>
        <w:pStyle w:val="ListParagraph"/>
        <w:numPr>
          <w:ilvl w:val="0"/>
          <w:numId w:val="2"/>
        </w:numPr>
        <w:spacing w:before="40" w:after="80"/>
      </w:pPr>
      <w:r>
        <w:rPr>
          <w:rFonts w:ascii="Arial" w:cs="Arial" w:eastAsia="Arial" w:hAnsi="Arial"/>
          <w:b w:val="false"/>
          <w:bCs w:val="false"/>
          <w:color w:val="1A1A1A"/>
          <w:sz w:val="22"/>
          <w:szCs w:val="22"/>
        </w:rPr>
        <w:t xml:space="preserve">Does weight decay interact with the sparse rewind advantage — can WD substitute for pruning (Experiment C)?</w:t>
      </w:r>
    </w:p>
    <w:p>
      <w:pPr>
        <w:pStyle w:val="ListParagraph"/>
        <w:numPr>
          <w:ilvl w:val="0"/>
          <w:numId w:val="2"/>
        </w:numPr>
        <w:spacing w:before="40" w:after="80"/>
      </w:pPr>
      <w:r>
        <w:rPr>
          <w:rFonts w:ascii="Arial" w:cs="Arial" w:eastAsia="Arial" w:hAnsi="Arial"/>
          <w:b w:val="false"/>
          <w:bCs w:val="false"/>
          <w:color w:val="1A1A1A"/>
          <w:sz w:val="22"/>
          <w:szCs w:val="22"/>
        </w:rPr>
        <w:t xml:space="preserve">The Fourier concentration decay in sparse networks deserves mechanistic investigation: are different Fourier modes being activated at different steps, or is the sparse circuit genuinely less stable?</w:t>
      </w:r>
    </w:p>
    <w:p>
      <w:pPr>
        <w:pStyle w:val="ListParagraph"/>
        <w:numPr>
          <w:ilvl w:val="0"/>
          <w:numId w:val="2"/>
        </w:numPr>
        <w:spacing w:before="40" w:after="80"/>
      </w:pPr>
      <w:r>
        <w:rPr>
          <w:rFonts w:ascii="Arial" w:cs="Arial" w:eastAsia="Arial" w:hAnsi="Arial"/>
          <w:b w:val="false"/>
          <w:bCs w:val="false"/>
          <w:color w:val="1A1A1A"/>
          <w:sz w:val="22"/>
          <w:szCs w:val="22"/>
        </w:rPr>
        <w:t xml:space="preserve">The magnitude-based post-hoc pruning used here is naive. Structured pruning (e.g., head pruning, layer-wise) might preserve the Fourier circuit more effectively and could raise the ~50% sparsity ceiling for direct pruning.</w:t>
      </w:r>
    </w:p>
    <w:p>
      <w:pPr>
        <w:spacing w:before="0" w:after="60"/>
      </w:pPr>
      <w:r>
        <w:t xml:space="preserve"/>
      </w:r>
    </w:p>
    <w:p>
      <w:pPr>
        <w:spacing w:before="0" w:after="60"/>
      </w:pPr>
      <w:r>
        <w:t xml:space="preserve"/>
      </w:r>
    </w:p>
    <w:p>
      <w:pPr>
        <w:pBdr>
          <w:top w:val="single" w:color="DDDDDD" w:sz="4" w:space="1"/>
        </w:pBdr>
        <w:spacing w:before="600" w:after="0"/>
        <w:jc w:val="center"/>
      </w:pPr>
      <w:r>
        <w:rPr>
          <w:rFonts w:ascii="Arial" w:cs="Arial" w:eastAsia="Arial" w:hAnsi="Arial"/>
          <w:i/>
          <w:iCs/>
          <w:color w:val="888888"/>
          <w:sz w:val="18"/>
          <w:szCs w:val="18"/>
        </w:rPr>
        <w:t xml:space="preserve">Grokking × Lottery Ticket Hypothesis | Experiment A Report | Generated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5C99"/>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C3E50"/>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2026-03-10T13:36:18.560Z</dcterms:created>
  <dcterms:modified xsi:type="dcterms:W3CDTF">2026-03-10T13:36:18.561Z</dcterms:modified>
</cp:coreProperties>
</file>

<file path=docProps/custom.xml><?xml version="1.0" encoding="utf-8"?>
<Properties xmlns="http://schemas.openxmlformats.org/officeDocument/2006/custom-properties" xmlns:vt="http://schemas.openxmlformats.org/officeDocument/2006/docPropsVTypes"/>
</file>