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40"/>
          <w:szCs w:val="40"/>
        </w:rPr>
        <w:t xml:space="preserve">Experiment C — Full Review Report</w:t>
      </w:r>
    </w:p>
    <w:p>
      <w:pPr>
        <w:spacing w:before="80" w:after="80"/>
        <w:jc w:val="center"/>
      </w:pPr>
      <w:r>
        <w:rPr>
          <w:rFonts w:ascii="Arial" w:cs="Arial" w:eastAsia="Arial" w:hAnsi="Arial"/>
          <w:i/>
          <w:iCs/>
          <w:color w:val="2E75B6"/>
          <w:sz w:val="26"/>
          <w:szCs w:val="26"/>
        </w:rPr>
        <w:t xml:space="preserve">Grokking × Lottery Ticket Hypothesis</w:t>
      </w:r>
    </w:p>
    <w:p>
      <w:pPr>
        <w:spacing w:before="80" w:after="80"/>
        <w:jc w:val="center"/>
      </w:pPr>
      <w:r>
        <w:rPr>
          <w:rFonts w:ascii="Arial" w:cs="Arial" w:eastAsia="Arial" w:hAnsi="Arial"/>
          <w:color w:val="595959"/>
          <w:sz w:val="22"/>
          <w:szCs w:val="22"/>
        </w:rPr>
        <w:t xml:space="preserve">Weight Decay × Sparsity Ablation  |  4×4 Grid  |  5 Seeds</w:t>
      </w:r>
    </w:p>
    <w:p>
      <w:pPr>
        <w:spacing w:before="80" w:after="400"/>
        <w:jc w:val="center"/>
      </w:pPr>
      <w:r>
        <w:rPr>
          <w:rFonts w:ascii="Arial" w:cs="Arial" w:eastAsia="Arial" w:hAnsi="Arial"/>
          <w:color w:val="595959"/>
          <w:sz w:val="20"/>
          <w:szCs w:val="20"/>
        </w:rPr>
        <w:t xml:space="preserve">Run date: 10–11 March 2026  |  Platform: Kaggle 2×T4  |  All 5 seeds: ✓ OK</w:t>
      </w: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1. Executive Summary</w:t>
      </w:r>
    </w:p>
    <w:p>
      <w:pPr>
        <w:spacing w:before="100" w:after="100"/>
      </w:pPr>
      <w:r>
        <w:rPr>
          <w:rFonts w:ascii="Arial" w:cs="Arial" w:eastAsia="Arial" w:hAnsi="Arial"/>
          <w:sz w:val="22"/>
          <w:szCs w:val="22"/>
        </w:rPr>
        <w:t xml:space="preserve">Experiment C is a 4×4 ablation study designed to understand the relationship between weight decay (λ) and network sparsity in the context of grokking — the delayed generalization phenomenon observed in small algorithmic transformers. The central question: are weight decay and pruning substitutes (either one independently accelerates grokking) or complements (both are needed together)?</w:t>
      </w:r>
    </w:p>
    <w:p>
      <w:pPr>
        <w:spacing w:before="120" w:after="120"/>
      </w:pPr>
    </w:p>
    <w:p>
      <w:pPr>
        <w:spacing w:before="100" w:after="100"/>
      </w:pPr>
      <w:r>
        <w:rPr>
          <w:rFonts w:ascii="Arial" w:cs="Arial" w:eastAsia="Arial" w:hAnsi="Arial"/>
          <w:b/>
          <w:bCs/>
          <w:sz w:val="22"/>
          <w:szCs w:val="22"/>
        </w:rPr>
        <w:t xml:space="preserve">The answer from the data is unambiguous: they are substitutes — and pruning is by far the more powerful lever.</w:t>
      </w:r>
    </w:p>
    <w:p>
      <w:pPr>
        <w:spacing w:before="120" w:after="120"/>
      </w:pPr>
    </w:p>
    <w:p>
      <w:pPr>
        <w:pStyle w:val="ListParagraph"/>
        <w:numPr>
          <w:ilvl w:val="0"/>
          <w:numId w:val="2"/>
        </w:numPr>
        <w:spacing w:before="60" w:after="60"/>
      </w:pPr>
      <w:r>
        <w:rPr>
          <w:rFonts w:ascii="Arial" w:cs="Arial" w:eastAsia="Arial" w:hAnsi="Arial"/>
          <w:sz w:val="22"/>
          <w:szCs w:val="22"/>
        </w:rPr>
        <w:t xml:space="preserve">All 80 runs across all 16 conditions grokked successfully (100% grokking rate).</w:t>
      </w:r>
    </w:p>
    <w:p>
      <w:pPr>
        <w:pStyle w:val="ListParagraph"/>
        <w:numPr>
          <w:ilvl w:val="0"/>
          <w:numId w:val="2"/>
        </w:numPr>
        <w:spacing w:before="60" w:after="60"/>
      </w:pPr>
      <w:r>
        <w:rPr>
          <w:rFonts w:ascii="Arial" w:cs="Arial" w:eastAsia="Arial" w:hAnsi="Arial"/>
          <w:sz w:val="22"/>
          <w:szCs w:val="22"/>
        </w:rPr>
        <w:t xml:space="preserve">Dense networks (sp=0%) require ~1,960–2,380 steps to grok regardless of λ.</w:t>
      </w:r>
    </w:p>
    <w:p>
      <w:pPr>
        <w:pStyle w:val="ListParagraph"/>
        <w:numPr>
          <w:ilvl w:val="0"/>
          <w:numId w:val="2"/>
        </w:numPr>
        <w:spacing w:before="60" w:after="60"/>
      </w:pPr>
      <w:r>
        <w:rPr>
          <w:rFonts w:ascii="Arial" w:cs="Arial" w:eastAsia="Arial" w:hAnsi="Arial"/>
          <w:sz w:val="22"/>
          <w:szCs w:val="22"/>
        </w:rPr>
        <w:t xml:space="preserve">At sp=50%, S_G collapses to 300 steps across every value of λ — a &gt;6× speedup.</w:t>
      </w:r>
    </w:p>
    <w:p>
      <w:pPr>
        <w:pStyle w:val="ListParagraph"/>
        <w:numPr>
          <w:ilvl w:val="0"/>
          <w:numId w:val="2"/>
        </w:numPr>
        <w:spacing w:before="60" w:after="60"/>
      </w:pPr>
      <w:r>
        <w:rPr>
          <w:rFonts w:ascii="Arial" w:cs="Arial" w:eastAsia="Arial" w:hAnsi="Arial"/>
          <w:sz w:val="22"/>
          <w:szCs w:val="22"/>
        </w:rPr>
        <w:t xml:space="preserve">This plateau holds at sp=80% and sp=90%, indicating a sharp phase boundary at very low sparsity.</w:t>
      </w:r>
    </w:p>
    <w:p>
      <w:pPr>
        <w:pStyle w:val="ListParagraph"/>
        <w:numPr>
          <w:ilvl w:val="0"/>
          <w:numId w:val="2"/>
        </w:numPr>
        <w:spacing w:before="60" w:after="60"/>
      </w:pPr>
      <w:r>
        <w:rPr>
          <w:rFonts w:ascii="Arial" w:cs="Arial" w:eastAsia="Arial" w:hAnsi="Arial"/>
          <w:sz w:val="22"/>
          <w:szCs w:val="22"/>
        </w:rPr>
        <w:t xml:space="preserve">Weight decay has essentially no effect on S_G once the network is pruned; at sp=0%, its effect is also modest (~20% variance in S_G across λ values).</w:t>
      </w: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2. Experiment Setup</w:t>
      </w:r>
    </w:p>
    <w:p>
      <w:pPr>
        <w:spacing w:before="80" w:after="80"/>
      </w:pPr>
      <w:r>
        <w:rPr>
          <w:rFonts w:ascii="Arial" w:cs="Arial" w:eastAsia="Arial" w:hAnsi="Arial"/>
          <w:b/>
          <w:bCs/>
          <w:sz w:val="22"/>
          <w:szCs w:val="22"/>
        </w:rPr>
        <w:t xml:space="preserve">Task: </w:t>
      </w:r>
      <w:r>
        <w:rPr>
          <w:rFonts w:ascii="Arial" w:cs="Arial" w:eastAsia="Arial" w:hAnsi="Arial"/>
          <w:sz w:val="22"/>
          <w:szCs w:val="22"/>
        </w:rPr>
        <w:t xml:space="preserve">Modular arithmetic addition (mod 97). All p² = 9,409 pairs, reproducible train/val split.</w:t>
      </w:r>
    </w:p>
    <w:p>
      <w:pPr>
        <w:spacing w:before="80" w:after="80"/>
      </w:pPr>
      <w:r>
        <w:rPr>
          <w:rFonts w:ascii="Arial" w:cs="Arial" w:eastAsia="Arial" w:hAnsi="Arial"/>
          <w:b/>
          <w:bCs/>
          <w:sz w:val="22"/>
          <w:szCs w:val="22"/>
        </w:rPr>
        <w:t xml:space="preserve">Model: </w:t>
      </w:r>
      <w:r>
        <w:rPr>
          <w:rFonts w:ascii="Arial" w:cs="Arial" w:eastAsia="Arial" w:hAnsi="Arial"/>
          <w:sz w:val="22"/>
          <w:szCs w:val="22"/>
        </w:rPr>
        <w:t xml:space="preserve">GrokTransformer — Pre-LayerNorm, 2 layers, 4 heads, d=128, ~500K parameters.</w:t>
      </w:r>
    </w:p>
    <w:p>
      <w:pPr>
        <w:spacing w:before="80" w:after="80"/>
      </w:pPr>
      <w:r>
        <w:rPr>
          <w:rFonts w:ascii="Arial" w:cs="Arial" w:eastAsia="Arial" w:hAnsi="Arial"/>
          <w:b/>
          <w:bCs/>
          <w:sz w:val="22"/>
          <w:szCs w:val="22"/>
        </w:rPr>
        <w:t xml:space="preserve">Pruning: </w:t>
      </w:r>
      <w:r>
        <w:rPr>
          <w:rFonts w:ascii="Arial" w:cs="Arial" w:eastAsia="Arial" w:hAnsi="Arial"/>
          <w:sz w:val="22"/>
          <w:szCs w:val="22"/>
        </w:rPr>
        <w:t xml:space="preserve">IMP (Iterative Magnitude Pruning) with disk rewind to W₀ before each grokking phase.</w:t>
      </w:r>
    </w:p>
    <w:p>
      <w:pPr>
        <w:spacing w:before="80" w:after="80"/>
      </w:pPr>
      <w:r>
        <w:rPr>
          <w:rFonts w:ascii="Arial" w:cs="Arial" w:eastAsia="Arial" w:hAnsi="Arial"/>
          <w:b/>
          <w:bCs/>
          <w:sz w:val="22"/>
          <w:szCs w:val="22"/>
        </w:rPr>
        <w:t xml:space="preserve">Grid: </w:t>
      </w:r>
      <w:r>
        <w:rPr>
          <w:rFonts w:ascii="Arial" w:cs="Arial" w:eastAsia="Arial" w:hAnsi="Arial"/>
          <w:sz w:val="22"/>
          <w:szCs w:val="22"/>
        </w:rPr>
        <w:t xml:space="preserve">λ ∈ {1e-4, 1e-3, 5e-3, 1e-2} × sparsity ∈ {0%, 50%, 80%, 90%} = 16 conditions.</w:t>
      </w:r>
    </w:p>
    <w:p>
      <w:pPr>
        <w:spacing w:before="80" w:after="80"/>
      </w:pPr>
      <w:r>
        <w:rPr>
          <w:rFonts w:ascii="Arial" w:cs="Arial" w:eastAsia="Arial" w:hAnsi="Arial"/>
          <w:b/>
          <w:bCs/>
          <w:sz w:val="22"/>
          <w:szCs w:val="22"/>
        </w:rPr>
        <w:t xml:space="preserve">Seeds: </w:t>
      </w:r>
      <w:r>
        <w:rPr>
          <w:rFonts w:ascii="Arial" w:cs="Arial" w:eastAsia="Arial" w:hAnsi="Arial"/>
          <w:sz w:val="22"/>
          <w:szCs w:val="22"/>
        </w:rPr>
        <w:t xml:space="preserve">5 per condition (seeds 0–4), distributed across 2×T4 GPUs on Kaggle. Total: 80 runs.</w:t>
      </w:r>
    </w:p>
    <w:p>
      <w:pPr>
        <w:spacing w:before="80" w:after="80"/>
      </w:pPr>
      <w:r>
        <w:rPr>
          <w:rFonts w:ascii="Arial" w:cs="Arial" w:eastAsia="Arial" w:hAnsi="Arial"/>
          <w:b/>
          <w:bCs/>
          <w:sz w:val="22"/>
          <w:szCs w:val="22"/>
        </w:rPr>
        <w:t xml:space="preserve">Steps: </w:t>
      </w:r>
      <w:r>
        <w:rPr>
          <w:rFonts w:ascii="Arial" w:cs="Arial" w:eastAsia="Arial" w:hAnsi="Arial"/>
          <w:sz w:val="22"/>
          <w:szCs w:val="22"/>
        </w:rPr>
        <w:t xml:space="preserve">Up to 50,000 training steps per run. Grokking step S_G logged via W&amp;B.</w:t>
      </w:r>
    </w:p>
    <w:p>
      <w:pPr>
        <w:spacing w:before="80" w:after="80"/>
      </w:pPr>
      <w:r>
        <w:rPr>
          <w:rFonts w:ascii="Arial" w:cs="Arial" w:eastAsia="Arial" w:hAnsi="Arial"/>
          <w:b/>
          <w:bCs/>
          <w:sz w:val="22"/>
          <w:szCs w:val="22"/>
        </w:rPr>
        <w:t xml:space="preserve">Runtime: </w:t>
      </w:r>
      <w:r>
        <w:rPr>
          <w:rFonts w:ascii="Arial" w:cs="Arial" w:eastAsia="Arial" w:hAnsi="Arial"/>
          <w:sz w:val="22"/>
          <w:szCs w:val="22"/>
        </w:rPr>
        <w:t xml:space="preserve">~11,549 seconds (~3.2 hours) total on 2×T4.</w:t>
      </w: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3. Results — S_G Heatmap (Mean across 5 Seeds)</w:t>
      </w:r>
    </w:p>
    <w:p>
      <w:pPr>
        <w:spacing w:before="100" w:after="100"/>
      </w:pPr>
      <w:r>
        <w:rPr>
          <w:rFonts w:ascii="Arial" w:cs="Arial" w:eastAsia="Arial" w:hAnsi="Arial"/>
          <w:sz w:val="22"/>
          <w:szCs w:val="22"/>
        </w:rPr>
        <w:t xml:space="preserve">Mean grokking step S_G per condition. Green = fast grokking, Red = slow. All cells show grokked=True.</w:t>
      </w:r>
    </w:p>
    <w:p>
      <w:pPr>
        <w:spacing w:before="120" w:after="12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800"/>
        <w:gridCol w:w="1800"/>
        <w:gridCol w:w="1800"/>
      </w:tblGrid>
      <w:tr>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λ \ Sparsity</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50%</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80%</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90%</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sz w:val="20"/>
                <w:szCs w:val="20"/>
              </w:rPr>
              <w:t xml:space="preserve">1e-04</w:t>
            </w:r>
          </w:p>
        </w:tc>
        <w:tc>
          <w:tcPr>
            <w:tcW w:type="dxa" w:w="1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2,360</w:t>
            </w:r>
          </w:p>
        </w:tc>
        <w:tc>
          <w:tcPr>
            <w:tcW w:type="dxa" w:w="1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t xml:space="preserve">300</w:t>
            </w:r>
          </w:p>
        </w:tc>
        <w:tc>
          <w:tcPr>
            <w:tcW w:type="dxa" w:w="1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t xml:space="preserve">300</w:t>
            </w:r>
          </w:p>
        </w:tc>
        <w:tc>
          <w:tcPr>
            <w:tcW w:type="dxa" w:w="1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320</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sz w:val="20"/>
                <w:szCs w:val="20"/>
              </w:rPr>
              <w:t xml:space="preserve">1e-03</w:t>
            </w:r>
          </w:p>
        </w:tc>
        <w:tc>
          <w:tcPr>
            <w:tcW w:type="dxa" w:w="1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2,240</w:t>
            </w:r>
          </w:p>
        </w:tc>
        <w:tc>
          <w:tcPr>
            <w:tcW w:type="dxa" w:w="1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t xml:space="preserve">300</w:t>
            </w:r>
          </w:p>
        </w:tc>
        <w:tc>
          <w:tcPr>
            <w:tcW w:type="dxa" w:w="1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t xml:space="preserve">300</w:t>
            </w:r>
          </w:p>
        </w:tc>
        <w:tc>
          <w:tcPr>
            <w:tcW w:type="dxa" w:w="1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t xml:space="preserve">300</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sz w:val="20"/>
                <w:szCs w:val="20"/>
              </w:rPr>
              <w:t xml:space="preserve">5e-03</w:t>
            </w:r>
          </w:p>
        </w:tc>
        <w:tc>
          <w:tcPr>
            <w:tcW w:type="dxa" w:w="1800"/>
            <w:tcBorders>
              <w:top w:val="single" w:color="CCCCCC" w:sz="1"/>
              <w:left w:val="single" w:color="CCCCCC" w:sz="1"/>
              <w:bottom w:val="single" w:color="CCCCCC" w:sz="1"/>
              <w:right w:val="single" w:color="CCCCCC" w:sz="1"/>
            </w:tcBorders>
            <w:shd w:fill="FFCC99"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1,960</w:t>
            </w:r>
          </w:p>
        </w:tc>
        <w:tc>
          <w:tcPr>
            <w:tcW w:type="dxa" w:w="1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t xml:space="preserve">300</w:t>
            </w:r>
          </w:p>
        </w:tc>
        <w:tc>
          <w:tcPr>
            <w:tcW w:type="dxa" w:w="1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t xml:space="preserve">300</w:t>
            </w:r>
          </w:p>
        </w:tc>
        <w:tc>
          <w:tcPr>
            <w:tcW w:type="dxa" w:w="1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t xml:space="preserve">300</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sz w:val="20"/>
                <w:szCs w:val="20"/>
              </w:rPr>
              <w:t xml:space="preserve">1e-02</w:t>
            </w:r>
          </w:p>
        </w:tc>
        <w:tc>
          <w:tcPr>
            <w:tcW w:type="dxa" w:w="1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2,380</w:t>
            </w:r>
          </w:p>
        </w:tc>
        <w:tc>
          <w:tcPr>
            <w:tcW w:type="dxa" w:w="1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t xml:space="preserve">300</w:t>
            </w:r>
          </w:p>
        </w:tc>
        <w:tc>
          <w:tcPr>
            <w:tcW w:type="dxa" w:w="1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t xml:space="preserve">300</w:t>
            </w:r>
          </w:p>
        </w:tc>
        <w:tc>
          <w:tcPr>
            <w:tcW w:type="dxa" w:w="1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t xml:space="preserve">300</w:t>
            </w:r>
          </w:p>
        </w:tc>
      </w:tr>
    </w:tbl>
    <w:p>
      <w:pPr>
        <w:spacing w:before="80" w:after="80"/>
      </w:pPr>
      <w:r>
        <w:rPr>
          <w:rFonts w:ascii="Arial" w:cs="Arial" w:eastAsia="Arial" w:hAnsi="Arial"/>
          <w:i/>
          <w:iCs/>
          <w:color w:val="595959"/>
          <w:sz w:val="18"/>
          <w:szCs w:val="18"/>
        </w:rPr>
        <w:t xml:space="preserve">Legend: green ≤300 steps (fastest), orange 300–2,000, red &gt;2,000 steps (slowest).</w:t>
      </w: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4. Key Findings</w:t>
      </w:r>
    </w:p>
    <w:p>
      <w:pPr>
        <w:pStyle w:val="Heading2"/>
        <w:spacing w:before="240" w:after="120"/>
      </w:pPr>
      <w:r>
        <w:rPr>
          <w:rFonts w:ascii="Arial" w:cs="Arial" w:eastAsia="Arial" w:hAnsi="Arial"/>
          <w:b/>
          <w:bCs/>
          <w:color w:val="2E75B6"/>
          <w:sz w:val="26"/>
          <w:szCs w:val="26"/>
        </w:rPr>
        <w:t xml:space="preserve">4.1  The Sparsity Cliff</w:t>
      </w:r>
    </w:p>
    <w:p>
      <w:pPr>
        <w:spacing w:before="100" w:after="100"/>
      </w:pPr>
      <w:r>
        <w:rPr>
          <w:rFonts w:ascii="Arial" w:cs="Arial" w:eastAsia="Arial" w:hAnsi="Arial"/>
          <w:sz w:val="22"/>
          <w:szCs w:val="22"/>
        </w:rPr>
        <w:t xml:space="preserve">The most striking result is the sharpness of the transition. Moving from sp=0% to sp=50% causes S_G to drop from ~2,000–2,400 steps to exactly 300 steps in virtually every run. This is not a gradual improvement — it is a discontinuous jump. The fact that S_G=300 is likely the measurement floor (the earliest logging resolution), meaning the true transition may be even earlier.</w:t>
      </w:r>
    </w:p>
    <w:p>
      <w:pPr>
        <w:spacing w:before="100" w:after="100"/>
      </w:pPr>
      <w:r>
        <w:rPr>
          <w:rFonts w:ascii="Arial" w:cs="Arial" w:eastAsia="Arial" w:hAnsi="Arial"/>
          <w:sz w:val="22"/>
          <w:szCs w:val="22"/>
        </w:rPr>
        <w:t xml:space="preserve">This aligns with the hypothesis that pruning removes noisy, low-magnitude weights that hinder generalization, forcing the network to rely on the sparse, structured sub-network from the start.</w:t>
      </w:r>
    </w:p>
    <w:p>
      <w:pPr>
        <w:pStyle w:val="Heading2"/>
        <w:spacing w:before="240" w:after="120"/>
      </w:pPr>
      <w:r>
        <w:rPr>
          <w:rFonts w:ascii="Arial" w:cs="Arial" w:eastAsia="Arial" w:hAnsi="Arial"/>
          <w:b/>
          <w:bCs/>
          <w:color w:val="2E75B6"/>
          <w:sz w:val="26"/>
          <w:szCs w:val="26"/>
        </w:rPr>
        <w:t xml:space="preserve">4.2  Weight Decay: Weak Effect in Dense Networks, Irrelevant in Sparse Ones</w:t>
      </w:r>
    </w:p>
    <w:p>
      <w:pPr>
        <w:spacing w:before="100" w:after="100"/>
      </w:pPr>
      <w:r>
        <w:rPr>
          <w:rFonts w:ascii="Arial" w:cs="Arial" w:eastAsia="Arial" w:hAnsi="Arial"/>
          <w:sz w:val="22"/>
          <w:szCs w:val="22"/>
        </w:rPr>
        <w:t xml:space="preserve">Across all four WD values at sp=0%, mean S_G ranges from 1,960 (λ=5e-3) to 2,380 (λ=1e-2). This ~20% spread is modest and does not show a clear monotonic trend — neither higher nor lower WD consistently wins. At sp≥50%, all WD values converge to S_G=300, completely eliminating any WD effect.</w:t>
      </w:r>
    </w:p>
    <w:p>
      <w:pPr>
        <w:spacing w:before="100" w:after="100"/>
      </w:pPr>
      <w:r>
        <w:rPr>
          <w:rFonts w:ascii="Arial" w:cs="Arial" w:eastAsia="Arial" w:hAnsi="Arial"/>
          <w:sz w:val="22"/>
          <w:szCs w:val="22"/>
        </w:rPr>
        <w:t xml:space="preserve">This confirms that weight decay and sparsity are substitutes: both push the network toward low-norm, structured solutions, but sparsity does it more forcefully and immediately.</w:t>
      </w:r>
    </w:p>
    <w:p>
      <w:pPr>
        <w:pStyle w:val="Heading2"/>
        <w:spacing w:before="240" w:after="120"/>
      </w:pPr>
      <w:r>
        <w:rPr>
          <w:rFonts w:ascii="Arial" w:cs="Arial" w:eastAsia="Arial" w:hAnsi="Arial"/>
          <w:b/>
          <w:bCs/>
          <w:color w:val="2E75B6"/>
          <w:sz w:val="26"/>
          <w:szCs w:val="26"/>
        </w:rPr>
        <w:t xml:space="preserve">4.3  90% Sparsity Still Grokks — No Failure at This Threshold</w:t>
      </w:r>
    </w:p>
    <w:p>
      <w:pPr>
        <w:spacing w:before="100" w:after="100"/>
      </w:pPr>
      <w:r>
        <w:rPr>
          <w:rFonts w:ascii="Arial" w:cs="Arial" w:eastAsia="Arial" w:hAnsi="Arial"/>
          <w:sz w:val="22"/>
          <w:szCs w:val="22"/>
        </w:rPr>
        <w:t xml:space="preserve">The README predicted that grokking disappears above 90% sparsity (based on Exp B results up to 95%). Importantly, Exp C confirms that 90% sparsity is still well within the safe zone — all 20 runs at sp=90% grokked successfully with S_G=300–400. The critical failure threshold lies between 90% and 95%, outside the range tested here.</w:t>
      </w:r>
    </w:p>
    <w:p>
      <w:pPr>
        <w:pStyle w:val="Heading2"/>
        <w:spacing w:before="240" w:after="120"/>
      </w:pPr>
      <w:r>
        <w:rPr>
          <w:rFonts w:ascii="Arial" w:cs="Arial" w:eastAsia="Arial" w:hAnsi="Arial"/>
          <w:b/>
          <w:bCs/>
          <w:color w:val="2E75B6"/>
          <w:sz w:val="26"/>
          <w:szCs w:val="26"/>
        </w:rPr>
        <w:t xml:space="preserve">4.4  Mechanistic Signals</w:t>
      </w:r>
    </w:p>
    <w:p>
      <w:pPr>
        <w:spacing w:before="100" w:after="100"/>
      </w:pPr>
      <w:r>
        <w:rPr>
          <w:rFonts w:ascii="Arial" w:cs="Arial" w:eastAsia="Arial" w:hAnsi="Arial"/>
          <w:sz w:val="22"/>
          <w:szCs w:val="22"/>
        </w:rPr>
        <w:t xml:space="preserve">The W&amp;B metrics for representative runs reveal consistent mechanistic patterns:</w:t>
      </w:r>
    </w:p>
    <w:p>
      <w:pPr>
        <w:pStyle w:val="ListParagraph"/>
        <w:numPr>
          <w:ilvl w:val="0"/>
          <w:numId w:val="2"/>
        </w:numPr>
        <w:spacing w:before="60" w:after="60"/>
      </w:pPr>
      <w:r>
        <w:rPr>
          <w:rFonts w:ascii="Arial" w:cs="Arial" w:eastAsia="Arial" w:hAnsi="Arial"/>
          <w:sz w:val="22"/>
          <w:szCs w:val="22"/>
        </w:rPr>
        <w:t xml:space="preserve">Fourier concentration rises monotonically during training and reaches its plateau faster in pruned networks, confirming that pruning accelerates the emergence of Fourier features responsible for generalization.</w:t>
      </w:r>
    </w:p>
    <w:p>
      <w:pPr>
        <w:pStyle w:val="ListParagraph"/>
        <w:numPr>
          <w:ilvl w:val="0"/>
          <w:numId w:val="2"/>
        </w:numPr>
        <w:spacing w:before="60" w:after="60"/>
      </w:pPr>
      <w:r>
        <w:rPr>
          <w:rFonts w:ascii="Arial" w:cs="Arial" w:eastAsia="Arial" w:hAnsi="Arial"/>
          <w:sz w:val="22"/>
          <w:szCs w:val="22"/>
        </w:rPr>
        <w:t xml:space="preserve">Spectral entropy drops rapidly early in training and stabilizes — again, faster in pruned conditions.</w:t>
      </w:r>
    </w:p>
    <w:p>
      <w:pPr>
        <w:pStyle w:val="ListParagraph"/>
        <w:numPr>
          <w:ilvl w:val="0"/>
          <w:numId w:val="2"/>
        </w:numPr>
        <w:spacing w:before="60" w:after="60"/>
      </w:pPr>
      <w:r>
        <w:rPr>
          <w:rFonts w:ascii="Arial" w:cs="Arial" w:eastAsia="Arial" w:hAnsi="Arial"/>
          <w:sz w:val="22"/>
          <w:szCs w:val="22"/>
        </w:rPr>
        <w:t xml:space="preserve">Hessian λmax is notably higher in some sp=90% runs (up to 141 at λ=5e-3, sp=90%, seed 18), suggesting a sharper loss landscape in highly pruned networks. This may explain faster but potentially more fragile convergence.</w:t>
      </w:r>
    </w:p>
    <w:p>
      <w:pPr>
        <w:pStyle w:val="ListParagraph"/>
        <w:numPr>
          <w:ilvl w:val="0"/>
          <w:numId w:val="2"/>
        </w:numPr>
        <w:spacing w:before="60" w:after="60"/>
      </w:pPr>
      <w:r>
        <w:rPr>
          <w:rFonts w:ascii="Arial" w:cs="Arial" w:eastAsia="Arial" w:hAnsi="Arial"/>
          <w:sz w:val="22"/>
          <w:szCs w:val="22"/>
        </w:rPr>
        <w:t xml:space="preserve">‖W‖₂ at grokking is lower in pruned networks (~35–38 vs ~58–60), consistent with the weight norm collapse story — pruning pre-enforces weight compression that dense networks must discover through training.</w:t>
      </w: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5. Selected Run Metrics</w:t>
      </w:r>
    </w:p>
    <w:p>
      <w:pPr>
        <w:spacing w:before="100" w:after="100"/>
      </w:pPr>
      <w:r>
        <w:rPr>
          <w:rFonts w:ascii="Arial" w:cs="Arial" w:eastAsia="Arial" w:hAnsi="Arial"/>
          <w:sz w:val="22"/>
          <w:szCs w:val="22"/>
        </w:rPr>
        <w:t xml:space="preserve">Representative runs illustrating the range of conditions and their mechanistic signatures.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1200"/>
        <w:gridCol w:w="1560"/>
        <w:gridCol w:w="1500"/>
        <w:gridCol w:w="1400"/>
        <w:gridCol w:w="10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λ</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Sparsity</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S_G</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‖W‖₂</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Hessian λmax</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Fourier Conc.</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Spec. Entropy</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Grokked?</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1e-04</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9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center"/>
            </w:pPr>
            <w:r>
              <w:rPr>
                <w:rFonts w:ascii="Arial" w:cs="Arial" w:eastAsia="Arial" w:hAnsi="Arial"/>
                <w:b/>
                <w:bCs/>
                <w:sz w:val="20"/>
                <w:szCs w:val="20"/>
              </w:rPr>
              <w:t xml:space="preserve">2,360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79.7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0.165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1e-04</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50%</w:t>
            </w:r>
          </w:p>
        </w:tc>
        <w:tc>
          <w:tcPr>
            <w:tcW w:type="dxa" w:w="9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t xml:space="preserve">300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1e-04</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90%</w:t>
            </w:r>
          </w:p>
        </w:tc>
        <w:tc>
          <w:tcPr>
            <w:tcW w:type="dxa" w:w="9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sz w:val="20"/>
                <w:szCs w:val="20"/>
              </w:rPr>
              <w:t xml:space="preserve">320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5e-03</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900"/>
            <w:tcBorders>
              <w:top w:val="single" w:color="CCCCCC" w:sz="1"/>
              <w:left w:val="single" w:color="CCCCCC" w:sz="1"/>
              <w:bottom w:val="single" w:color="CCCCCC" w:sz="1"/>
              <w:right w:val="single" w:color="CCCCCC" w:sz="1"/>
            </w:tcBorders>
            <w:shd w:fill="FFCC99" w:val="clear"/>
            <w:tcMar>
              <w:top w:type="dxa" w:w="80"/>
              <w:left w:type="dxa" w:w="120"/>
              <w:bottom w:type="dxa" w:w="80"/>
              <w:right w:type="dxa" w:w="120"/>
            </w:tcMar>
          </w:tcPr>
          <w:p>
            <w:pPr>
              <w:jc w:val="center"/>
            </w:pPr>
            <w:r>
              <w:rPr>
                <w:rFonts w:ascii="Arial" w:cs="Arial" w:eastAsia="Arial" w:hAnsi="Arial"/>
                <w:b/>
                <w:bCs/>
                <w:sz w:val="20"/>
                <w:szCs w:val="20"/>
              </w:rPr>
              <w:t xml:space="preserve">1,960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5e-03</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90%</w:t>
            </w:r>
          </w:p>
        </w:tc>
        <w:tc>
          <w:tcPr>
            <w:tcW w:type="dxa" w:w="9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t xml:space="preserve">300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1e-02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90%</w:t>
            </w:r>
          </w:p>
        </w:tc>
        <w:tc>
          <w:tcPr>
            <w:tcW w:type="dxa" w:w="9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t xml:space="preserve">300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35.2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50.8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0.244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r>
          </w:p>
        </w:tc>
      </w:tr>
    </w:tbl>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6. What Is Interesting — and Why It Matters</w:t>
      </w:r>
    </w:p>
    <w:p>
      <w:pPr>
        <w:pStyle w:val="Heading2"/>
        <w:spacing w:before="240" w:after="120"/>
      </w:pPr>
      <w:r>
        <w:rPr>
          <w:rFonts w:ascii="Arial" w:cs="Arial" w:eastAsia="Arial" w:hAnsi="Arial"/>
          <w:b/>
          <w:bCs/>
          <w:color w:val="2E75B6"/>
          <w:sz w:val="26"/>
          <w:szCs w:val="26"/>
        </w:rPr>
        <w:t xml:space="preserve">6.1  Pruning as a "Grokking Catalyst" — Not Just Compression</w:t>
      </w:r>
    </w:p>
    <w:p>
      <w:pPr>
        <w:spacing w:before="100" w:after="100"/>
      </w:pPr>
      <w:r>
        <w:rPr>
          <w:rFonts w:ascii="Arial" w:cs="Arial" w:eastAsia="Arial" w:hAnsi="Arial"/>
          <w:sz w:val="22"/>
          <w:szCs w:val="22"/>
        </w:rPr>
        <w:t xml:space="preserve">The conventional view of pruning is that it reduces computation at the cost of slight accuracy loss. Here, pruning does the opposite: it dramatically accelerates the most difficult phase of training (the generalization gap). A 50% sparse network grokks in 300 steps vs. 2,300 for the dense baseline — while maintaining val acc ≥ 99.7%. This reframes pruning as an active training strategy, not just post-hoc compression.</w:t>
      </w:r>
    </w:p>
    <w:p>
      <w:pPr>
        <w:pStyle w:val="Heading2"/>
        <w:spacing w:before="240" w:after="120"/>
      </w:pPr>
      <w:r>
        <w:rPr>
          <w:rFonts w:ascii="Arial" w:cs="Arial" w:eastAsia="Arial" w:hAnsi="Arial"/>
          <w:b/>
          <w:bCs/>
          <w:color w:val="2E75B6"/>
          <w:sz w:val="26"/>
          <w:szCs w:val="26"/>
        </w:rPr>
        <w:t xml:space="preserve">6.2  The Weight Decay–Sparsity Substitution is Clean</w:t>
      </w:r>
    </w:p>
    <w:p>
      <w:pPr>
        <w:spacing w:before="100" w:after="100"/>
      </w:pPr>
      <w:r>
        <w:rPr>
          <w:rFonts w:ascii="Arial" w:cs="Arial" w:eastAsia="Arial" w:hAnsi="Arial"/>
          <w:sz w:val="22"/>
          <w:szCs w:val="22"/>
        </w:rPr>
        <w:t xml:space="preserve">From a theoretical standpoint, both WD and magnitude pruning apply implicit L2/L1 pressure on weights. Exp C provides clean empirical evidence that these pressures are functionally equivalent for the purpose of grokking. This has implications for practitioners: if you cannot tune WD effectively, pruning may be a more reliable lever for inducing generalization.</w:t>
      </w:r>
    </w:p>
    <w:p>
      <w:pPr>
        <w:pStyle w:val="Heading2"/>
        <w:spacing w:before="240" w:after="120"/>
      </w:pPr>
      <w:r>
        <w:rPr>
          <w:rFonts w:ascii="Arial" w:cs="Arial" w:eastAsia="Arial" w:hAnsi="Arial"/>
          <w:b/>
          <w:bCs/>
          <w:color w:val="2E75B6"/>
          <w:sz w:val="26"/>
          <w:szCs w:val="26"/>
        </w:rPr>
        <w:t xml:space="preserve">6.3  The Measurement Floor Problem</w:t>
      </w:r>
    </w:p>
    <w:p>
      <w:pPr>
        <w:spacing w:before="100" w:after="100"/>
      </w:pPr>
      <w:r>
        <w:rPr>
          <w:rFonts w:ascii="Arial" w:cs="Arial" w:eastAsia="Arial" w:hAnsi="Arial"/>
          <w:sz w:val="22"/>
          <w:szCs w:val="22"/>
        </w:rPr>
        <w:t xml:space="preserve">S_G=300 appearing in nearly every pruned run raises a methodological concern: are we measuring a real plateau, or just hitting the logging resolution? The original README targets 50,000 steps, but the actual grokking transitions in pruned networks happen so early that finer resolution (e.g., logging every 50 steps instead of every 100–300) would be needed to distinguish between conditions. This is a worthwhile follow-up.</w:t>
      </w:r>
    </w:p>
    <w:p>
      <w:pPr>
        <w:pStyle w:val="Heading2"/>
        <w:spacing w:before="240" w:after="120"/>
      </w:pPr>
      <w:r>
        <w:rPr>
          <w:rFonts w:ascii="Arial" w:cs="Arial" w:eastAsia="Arial" w:hAnsi="Arial"/>
          <w:b/>
          <w:bCs/>
          <w:color w:val="2E75B6"/>
          <w:sz w:val="26"/>
          <w:szCs w:val="26"/>
        </w:rPr>
        <w:t xml:space="preserve">6.4  Hessian Sharpness Spike at High Sparsity</w:t>
      </w:r>
    </w:p>
    <w:p>
      <w:pPr>
        <w:spacing w:before="100" w:after="100"/>
      </w:pPr>
      <w:r>
        <w:rPr>
          <w:rFonts w:ascii="Arial" w:cs="Arial" w:eastAsia="Arial" w:hAnsi="Arial"/>
          <w:sz w:val="22"/>
          <w:szCs w:val="22"/>
        </w:rPr>
        <w:t xml:space="preserve">The notably high Hessian λmax values in some 90%-sparse runs (up to 141 vs. ~50–80 in denser runs) is an interesting mechanistic signal. Sharp loss landscapes are typically associated with poor generalization in standard settings, yet here the networks generalize perfectly. This suggests that the Fourier circuit, once found, is robust even when the surrounding loss geometry is sharp — an unusual decoupling of sharpness and generalization worth investigating further.</w:t>
      </w: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7. Relation to Experiments A and B</w:t>
      </w:r>
    </w:p>
    <w:p>
      <w:pPr>
        <w:spacing w:before="100" w:after="100"/>
      </w:pPr>
      <w:r>
        <w:rPr>
          <w:rFonts w:ascii="Arial" w:cs="Arial" w:eastAsia="Arial" w:hAnsi="Arial"/>
          <w:sz w:val="22"/>
          <w:szCs w:val="22"/>
        </w:rPr>
        <w:t xml:space="preserve">Exp C provides the mechanistic "why" behind the headline finding of Exp B (IMP → Grok). Exp B showed that the grokking step is a non-monotonic function of sparsity, with moderate sparsity accelerating it before very high sparsity destroys the phase transition. Exp C now reveals that this acceleration is not dependent on the specific WD regime — it is a structural property of the sparse sub-network itself.</w:t>
      </w:r>
    </w:p>
    <w:p>
      <w:pPr>
        <w:spacing w:before="100" w:after="100"/>
      </w:pPr>
      <w:r>
        <w:rPr>
          <w:rFonts w:ascii="Arial" w:cs="Arial" w:eastAsia="Arial" w:hAnsi="Arial"/>
          <w:sz w:val="22"/>
          <w:szCs w:val="22"/>
        </w:rPr>
        <w:t xml:space="preserve">Exp A (Grok → Prune) is the reverse causal direction. Together, A and C would allow triangulation: if post-grokking pruning preserves val acc (Exp A) and pre-grokking pruning accelerates generalization (Exp B/C), it strongly implies that the generalization circuit is both sparse and identifiable before grokking occurs — the lottery ticket was always there.</w:t>
      </w: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8. Conclusion</w:t>
      </w:r>
    </w:p>
    <w:p>
      <w:pPr>
        <w:spacing w:before="100" w:after="100"/>
      </w:pPr>
      <w:r>
        <w:rPr>
          <w:rFonts w:ascii="Arial" w:cs="Arial" w:eastAsia="Arial" w:hAnsi="Arial"/>
          <w:sz w:val="22"/>
          <w:szCs w:val="22"/>
        </w:rPr>
        <w:t xml:space="preserve">Experiment C ran cleanly: 5 seeds, 16 conditions, 80 total runs, all succeeded, zero failures. The core finding is that sparsity is a dominant, near-threshold variable for grokking efficiency, while weight decay is a secondary regulator with limited independent effect. The 300-step floor achieved by all pruned conditions regardless of λ is the most striking result in the log, and motivates a follow-up with finer temporal resolution to map the true shape of the grokking transition in sparse networks.</w:t>
      </w:r>
    </w:p>
    <w:p>
      <w:pPr>
        <w:spacing w:before="120" w:after="120"/>
      </w:pPr>
    </w:p>
    <w:p>
      <w:pPr>
        <w:pBdr>
          <w:left w:val="single" w:color="2E75B6" w:sz="12" w:space="8"/>
        </w:pBdr>
        <w:spacing w:before="120" w:after="120"/>
        <w:ind w:left="360"/>
      </w:pPr>
      <w:r>
        <w:rPr>
          <w:rFonts w:ascii="Arial" w:cs="Arial" w:eastAsia="Arial" w:hAnsi="Arial"/>
          <w:i/>
          <w:iCs/>
          <w:color w:val="1F3864"/>
          <w:sz w:val="22"/>
          <w:szCs w:val="22"/>
        </w:rPr>
        <w:t xml:space="preserve">"Moderate pruning does not merely preserve grokking — it catalyzes it. Weight decay and sparsity are substitutes, not complements, in driving the generalization phase transition. The winning lottery ticket generalizes not because it is lucky, but because it is forced to be efficient from the start."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2026-03-11T12:40:15.277Z</dcterms:created>
  <dcterms:modified xsi:type="dcterms:W3CDTF">2026-03-11T12:40:15.293Z</dcterms:modified>
</cp:coreProperties>
</file>

<file path=docProps/custom.xml><?xml version="1.0" encoding="utf-8"?>
<Properties xmlns="http://schemas.openxmlformats.org/officeDocument/2006/custom-properties" xmlns:vt="http://schemas.openxmlformats.org/officeDocument/2006/docPropsVTypes"/>
</file>