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2022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III: Joins y Conjuntos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580841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3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8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Basados en la Base de Datos de "world" del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Práctico II</w:t>
        </w:r>
      </w:hyperlink>
      <w:r w:rsidDel="00000000" w:rsidR="00000000" w:rsidRPr="00000000">
        <w:rPr>
          <w:rtl w:val="0"/>
        </w:rPr>
        <w:t xml:space="preserve">, en este práctico continuaremos con consultas ligeramente más avanzadas: Si no lo hicieron (o quieren comparar con su versión), está disponible el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esquema de la BD "world"</w:t>
        </w:r>
      </w:hyperlink>
      <w:r w:rsidDel="00000000" w:rsidR="00000000" w:rsidRPr="00000000">
        <w:rPr>
          <w:rtl w:val="0"/>
        </w:rPr>
        <w:t xml:space="preserve"> para descargarlo.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Consultas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el nombre de la ciudad, nombre del país, región y forma de gobierno de las 10 ciudades más pobladas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menor población del mundo, junto a sus ciudades capitales (Hint: puede que uno de estos países no tenga ciudad capital asignada, en este caso deberá mostrar "NULL").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nombre, continente y todos los lenguajes oficiales de cada país. (Hint: habrá más de una fila por país si tiene varios idiomas oficiales).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 del país y nombre de capital, de los 20 países con mayor superficie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Listar las ciudades junto a sus idiomas oficiales (ordenado por la población de la ciudad) y el porcentaje de hablantes del idioma.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mayor población y los 10 países con menor población (que tengan al menos 100 habitantes) en la misma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cuyos lenguajes oficiales son el Inglés y el Francés (hint: no debería haber filas duplicadas).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que tengan hablantes del Inglés pero no del Español en su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 II - Preguntas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¿Devuelven los mismos valores las siguientes consultas? ¿Por qué?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¿Y si en vez de INNER JOIN fuera un LEFT JOIN?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Recursos adicionales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Simular Intersect y Except con Joins en MySQL: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https://www.mysqltutorial.org/mysql-intersect/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https://www.mysqltutorial.org/mysql-minus/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ysqltutorial.org/mysql-minus/" TargetMode="External"/><Relationship Id="rId10" Type="http://schemas.openxmlformats.org/officeDocument/2006/relationships/hyperlink" Target="https://www.mysqltutorial.org/mysql-intersect/" TargetMode="External"/><Relationship Id="rId9" Type="http://schemas.openxmlformats.org/officeDocument/2006/relationships/hyperlink" Target="https://famaf.aulavirtual.unc.edu.ar/mod/resource/view.php?id=1528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qz8M-3mrRGLamqtoD_VcXaATTudcgdg-/edit?usp=drive_link&amp;ouid=10833946588692743618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9JSgiB6NkpfZdAtVkBOeletqBA==">CgMxLjAyCGguZ2pkZ3hzMgloLjMwajB6bGwyCWguMWZvYjl0ZTIJaC4zem55c2g3MgloLjJldDkycDAyCGgudHlqY3d0MgloLjNkeTZ2a204AHIhMUNrRXNoTmxJTC04eWpWOGRkaW83OU9JREZTOHNfc1Jz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