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E8450A"/>
          <w:sz w:val="56"/>
          <w:szCs w:val="56"/>
        </w:rPr>
        <w:t xml:space="preserve">NATIONALE-NEDERLANDEN</w:t>
      </w:r>
    </w:p>
    <w:p>
      <w:pPr>
        <w:spacing w:before="0" w:after="80"/>
        <w:jc w:val="center"/>
      </w:pPr>
      <w:r>
        <w:rPr>
          <w:rFonts w:ascii="Arial" w:cs="Arial" w:eastAsia="Arial" w:hAnsi="Arial"/>
          <w:b/>
          <w:bCs/>
          <w:color w:val="333333"/>
          <w:sz w:val="40"/>
          <w:szCs w:val="40"/>
        </w:rPr>
        <w:t xml:space="preserve">ESTRATEGIA COMERCIAL 2026</w:t>
      </w:r>
    </w:p>
    <w:p>
      <w:pPr>
        <w:spacing w:before="0" w:after="400"/>
        <w:jc w:val="center"/>
      </w:pPr>
      <w:r>
        <w:rPr>
          <w:rFonts w:ascii="Arial" w:cs="Arial" w:eastAsia="Arial" w:hAnsi="Arial"/>
          <w:color w:val="888888"/>
          <w:sz w:val="24"/>
          <w:szCs w:val="24"/>
        </w:rPr>
        <w:t xml:space="preserve">Novedades  ·  Campanas Activas  ·  Plan de Accion  ·  Argumentarios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single" w:color="DDDDDD" w:sz="1"/>
              <w:left w:val="single" w:color="DDDDDD" w:sz="1"/>
              <w:bottom w:val="single" w:color="DDDDDD" w:sz="1"/>
              <w:right w:val="single" w:color="DDDDDD" w:sz="1"/>
            </w:tcBorders>
            <w:shd w:fill="E8450A" w:val="clear"/>
            <w:tcMar>
              <w:top w:type="dxa" w:w="160"/>
              <w:left w:type="dxa" w:w="160"/>
              <w:bottom w:type="dxa" w:w="160"/>
              <w:right w:type="dxa" w:w="160"/>
            </w:tcMar>
          </w:tcPr>
          <w:p>
            <w:pPr>
              <w:jc w:val="center"/>
            </w:pPr>
            <w:r>
              <w:rPr>
                <w:rFonts w:ascii="Arial" w:cs="Arial" w:eastAsia="Arial" w:hAnsi="Arial"/>
                <w:b/>
                <w:bCs/>
                <w:color w:val="FFFFFF"/>
                <w:sz w:val="18"/>
                <w:szCs w:val="18"/>
              </w:rPr>
              <w:t xml:space="preserve">Fecha limite</w:t>
            </w:r>
          </w:p>
          <w:p>
            <w:pPr>
              <w:jc w:val="center"/>
            </w:pPr>
            <w:r>
              <w:rPr>
                <w:rFonts w:ascii="Arial" w:cs="Arial" w:eastAsia="Arial" w:hAnsi="Arial"/>
                <w:color w:val="FFFFFF"/>
                <w:sz w:val="20"/>
                <w:szCs w:val="20"/>
              </w:rPr>
              <w:t xml:space="preserve">6 abril 2026</w:t>
            </w:r>
          </w:p>
        </w:tc>
        <w:tc>
          <w:tcPr>
            <w:tcBorders>
              <w:top w:val="single" w:color="DDDDDD" w:sz="1"/>
              <w:left w:val="single" w:color="DDDDDD" w:sz="1"/>
              <w:bottom w:val="single" w:color="DDDDDD" w:sz="1"/>
              <w:right w:val="single" w:color="DDDDDD" w:sz="1"/>
            </w:tcBorders>
            <w:shd w:fill="E8450A" w:val="clear"/>
            <w:tcMar>
              <w:top w:type="dxa" w:w="160"/>
              <w:left w:type="dxa" w:w="160"/>
              <w:bottom w:type="dxa" w:w="160"/>
              <w:right w:type="dxa" w:w="160"/>
            </w:tcMar>
          </w:tcPr>
          <w:p>
            <w:pPr>
              <w:jc w:val="center"/>
            </w:pPr>
            <w:r>
              <w:rPr>
                <w:rFonts w:ascii="Arial" w:cs="Arial" w:eastAsia="Arial" w:hAnsi="Arial"/>
                <w:b/>
                <w:bCs/>
                <w:color w:val="FFFFFF"/>
                <w:sz w:val="18"/>
                <w:szCs w:val="18"/>
              </w:rPr>
              <w:t xml:space="preserve">Contactos base</w:t>
            </w:r>
          </w:p>
          <w:p>
            <w:pPr>
              <w:jc w:val="center"/>
            </w:pPr>
            <w:r>
              <w:rPr>
                <w:rFonts w:ascii="Arial" w:cs="Arial" w:eastAsia="Arial" w:hAnsi="Arial"/>
                <w:color w:val="FFFFFF"/>
                <w:sz w:val="20"/>
                <w:szCs w:val="20"/>
              </w:rPr>
              <w:t xml:space="preserve">965 ex-Santalucia</w:t>
            </w:r>
          </w:p>
        </w:tc>
        <w:tc>
          <w:tcPr>
            <w:tcBorders>
              <w:top w:val="single" w:color="DDDDDD" w:sz="1"/>
              <w:left w:val="single" w:color="DDDDDD" w:sz="1"/>
              <w:bottom w:val="single" w:color="DDDDDD" w:sz="1"/>
              <w:right w:val="single" w:color="DDDDDD" w:sz="1"/>
            </w:tcBorders>
            <w:shd w:fill="E8450A" w:val="clear"/>
            <w:tcMar>
              <w:top w:type="dxa" w:w="160"/>
              <w:left w:type="dxa" w:w="160"/>
              <w:bottom w:type="dxa" w:w="160"/>
              <w:right w:type="dxa" w:w="160"/>
            </w:tcMar>
          </w:tcPr>
          <w:p>
            <w:pPr>
              <w:jc w:val="center"/>
            </w:pPr>
            <w:r>
              <w:rPr>
                <w:rFonts w:ascii="Arial" w:cs="Arial" w:eastAsia="Arial" w:hAnsi="Arial"/>
                <w:b/>
                <w:bCs/>
                <w:color w:val="FFFFFF"/>
                <w:sz w:val="18"/>
                <w:szCs w:val="18"/>
              </w:rPr>
              <w:t xml:space="preserve">Objetivo PVM</w:t>
            </w:r>
          </w:p>
          <w:p>
            <w:pPr>
              <w:jc w:val="center"/>
            </w:pPr>
            <w:r>
              <w:rPr>
                <w:rFonts w:ascii="Arial" w:cs="Arial" w:eastAsia="Arial" w:hAnsi="Arial"/>
                <w:color w:val="FFFFFF"/>
                <w:sz w:val="20"/>
                <w:szCs w:val="20"/>
              </w:rPr>
              <w:t xml:space="preserve">10.291 pts</w:t>
            </w:r>
          </w:p>
        </w:tc>
        <w:tc>
          <w:tcPr>
            <w:tcBorders>
              <w:top w:val="single" w:color="DDDDDD" w:sz="1"/>
              <w:left w:val="single" w:color="DDDDDD" w:sz="1"/>
              <w:bottom w:val="single" w:color="DDDDDD" w:sz="1"/>
              <w:right w:val="single" w:color="DDDDDD" w:sz="1"/>
            </w:tcBorders>
            <w:shd w:fill="E8450A" w:val="clear"/>
            <w:tcMar>
              <w:top w:type="dxa" w:w="160"/>
              <w:left w:type="dxa" w:w="160"/>
              <w:bottom w:type="dxa" w:w="160"/>
              <w:right w:type="dxa" w:w="160"/>
            </w:tcMar>
          </w:tcPr>
          <w:p>
            <w:pPr>
              <w:jc w:val="center"/>
            </w:pPr>
            <w:r>
              <w:rPr>
                <w:rFonts w:ascii="Arial" w:cs="Arial" w:eastAsia="Arial" w:hAnsi="Arial"/>
                <w:b/>
                <w:bCs/>
                <w:color w:val="FFFFFF"/>
                <w:sz w:val="18"/>
                <w:szCs w:val="18"/>
              </w:rPr>
              <w:t xml:space="preserve">Meta agentes</w:t>
            </w:r>
          </w:p>
          <w:p>
            <w:pPr>
              <w:jc w:val="center"/>
            </w:pPr>
            <w:r>
              <w:rPr>
                <w:rFonts w:ascii="Arial" w:cs="Arial" w:eastAsia="Arial" w:hAnsi="Arial"/>
                <w:color w:val="FFFFFF"/>
                <w:sz w:val="20"/>
                <w:szCs w:val="20"/>
              </w:rPr>
              <w:t xml:space="preserve">4-5 antes sept.</w:t>
            </w:r>
          </w:p>
        </w:tc>
      </w:tr>
    </w:tbl>
    <w:p>
      <w:pPr>
        <w:spacing w:before="50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C0392B" w:val="clear"/>
            <w:tcMar>
              <w:top w:type="dxa" w:w="180"/>
              <w:left w:type="dxa" w:w="240"/>
              <w:bottom w:type="dxa" w:w="180"/>
              <w:right w:type="dxa" w:w="240"/>
            </w:tcMar>
          </w:tcPr>
          <w:p>
            <w:pPr>
              <w:jc w:val="center"/>
            </w:pPr>
            <w:r>
              <w:rPr>
                <w:rFonts w:ascii="Arial" w:cs="Arial" w:eastAsia="Arial" w:hAnsi="Arial"/>
                <w:b/>
                <w:bCs/>
                <w:color w:val="FFFFFF"/>
                <w:sz w:val="28"/>
                <w:szCs w:val="28"/>
              </w:rPr>
              <w:t xml:space="preserve">ALERTA: CAMPANA AHORRO + SALUD — CADUCA EL 6 DE ABRIL. QUEDAN 8 DIAS.</w:t>
            </w:r>
          </w:p>
        </w:tc>
      </w:tr>
    </w:tbl>
    <w:p>
      <w:pPr>
        <w:spacing w:before="160"/>
      </w:pPr>
    </w:p>
    <w:p>
      <w:pPr>
        <w:pStyle w:val="Heading1"/>
        <w:spacing w:before="360" w:after="160"/>
      </w:pPr>
      <w:r>
        <w:rPr>
          <w:rFonts w:ascii="Arial" w:cs="Arial" w:eastAsia="Arial" w:hAnsi="Arial"/>
          <w:b/>
          <w:bCs/>
          <w:color w:val="E8450A"/>
          <w:sz w:val="36"/>
          <w:szCs w:val="36"/>
        </w:rPr>
        <w:t xml:space="preserve">1. CAMPANAS ACTIVAS — ACCION INMEDIATA</w:t>
      </w:r>
    </w:p>
    <w:p>
      <w:pPr>
        <w:spacing w:before="80" w:after="80"/>
      </w:pPr>
      <w:r>
        <w:rPr>
          <w:rFonts w:ascii="Arial" w:cs="Arial" w:eastAsia="Arial" w:hAnsi="Arial"/>
          <w:color w:val="1A1A1A"/>
          <w:sz w:val="22"/>
          <w:szCs w:val="22"/>
        </w:rPr>
        <w:t xml:space="preserve">Tienes tres campanas activas simultaneamente. La ventana de oportunidad es limitada. A continuacion el detalle de cada una y como combinarlas para maximizar resultados esta semana.</w:t>
      </w:r>
    </w:p>
    <w:p>
      <w:pPr>
        <w:spacing w:before="120"/>
      </w:pPr>
    </w:p>
    <w:p>
      <w:pPr>
        <w:pStyle w:val="Heading2"/>
        <w:spacing w:before="240" w:after="120"/>
      </w:pPr>
      <w:r>
        <w:rPr>
          <w:rFonts w:ascii="Arial" w:cs="Arial" w:eastAsia="Arial" w:hAnsi="Arial"/>
          <w:b/>
          <w:bCs/>
          <w:color w:val="333333"/>
          <w:sz w:val="28"/>
          <w:szCs w:val="28"/>
        </w:rPr>
        <w:t xml:space="preserve">1.1 Campana Ahorro + Salud — CADUCA 6 ABRIL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E8450A" w:sz="6"/>
              <w:left w:val="single" w:color="E8450A" w:sz="16"/>
              <w:bottom w:val="single" w:color="E8450A" w:sz="6"/>
              <w:right w:val="single" w:color="E8450A" w:sz="4"/>
            </w:tcBorders>
            <w:shd w:fill="FFF8F5" w:val="clear"/>
            <w:tcMar>
              <w:top w:type="dxa" w:w="140"/>
              <w:left w:type="dxa" w:w="200"/>
              <w:bottom w:type="dxa" w:w="140"/>
              <w:right w:type="dxa" w:w="200"/>
            </w:tcMar>
          </w:tcPr>
          <w:p>
            <w:r>
              <w:rPr>
                <w:rFonts w:ascii="Arial" w:cs="Arial" w:eastAsia="Arial" w:hAnsi="Arial"/>
                <w:i w:val="false"/>
                <w:iCs w:val="false"/>
                <w:color w:val="1A1A1A"/>
                <w:sz w:val="21"/>
                <w:szCs w:val="21"/>
              </w:rPr>
              <w:t xml:space="preserve">Esta es tu prioridad numero 1. Combina Plan Creciente SIALP con Salud en una sola visita y el cliente recibe hasta 400 euros de bonificacion. Ademas esta limitada a 600 contrataciones — puede cerrarse antes del 6 de abril.</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Producto Ahorro</w:t>
            </w:r>
          </w:p>
        </w:tc>
        <w:tc>
          <w:tcPr>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Producto Salud</w:t>
            </w:r>
          </w:p>
        </w:tc>
        <w:tc>
          <w:tcPr>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Bonificacion Total Cliente</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SIALP o Contigo Futuro (min. 2.000€/ano)</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Salud Completo</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1A1A"/>
                <w:sz w:val="20"/>
                <w:szCs w:val="20"/>
              </w:rPr>
              <w:t xml:space="preserve">400 euros (100 + 300)</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SIALP o Contigo Futuro (min. 2.000€/ano)</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Salud Completo Copago</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1A1A"/>
                <w:sz w:val="20"/>
                <w:szCs w:val="20"/>
              </w:rPr>
              <w:t xml:space="preserve">300 euros (100 + 200)</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SIALP o Contigo Futuro (min. 2.000€/ano)</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Salud Completo Copago Autonomo</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150 euros (100 + 50)</w:t>
            </w:r>
          </w:p>
        </w:tc>
      </w:tr>
    </w:tbl>
    <w:p>
      <w:pPr>
        <w:spacing w:before="120" w:after="80"/>
      </w:pPr>
    </w:p>
    <w:p>
      <w:pPr>
        <w:spacing w:before="80" w:after="80"/>
      </w:pPr>
      <w:r>
        <w:rPr>
          <w:rFonts w:ascii="Arial" w:cs="Arial" w:eastAsia="Arial" w:hAnsi="Arial"/>
          <w:i/>
          <w:iCs/>
          <w:color w:val="1A1A1A"/>
          <w:sz w:val="22"/>
          <w:szCs w:val="22"/>
        </w:rPr>
        <w:t xml:space="preserve">Condiciones: solo nuevos clientes. La bonificacion se abona como aportacion extraordinaria a los 18 meses de permanencia con las polizas al corriente de pago.</w:t>
      </w:r>
    </w:p>
    <w:p>
      <w:pPr>
        <w:spacing w:before="160"/>
      </w:pPr>
    </w:p>
    <w:p>
      <w:pPr>
        <w:pStyle w:val="Heading2"/>
        <w:spacing w:before="240" w:after="120"/>
      </w:pPr>
      <w:r>
        <w:rPr>
          <w:rFonts w:ascii="Arial" w:cs="Arial" w:eastAsia="Arial" w:hAnsi="Arial"/>
          <w:b/>
          <w:bCs/>
          <w:color w:val="333333"/>
          <w:sz w:val="28"/>
          <w:szCs w:val="28"/>
        </w:rPr>
        <w:t xml:space="preserve">1.2 Campana Gama Salud Completo — Descuentos Acumulables</w:t>
      </w:r>
    </w:p>
    <w:p>
      <w:pPr>
        <w:spacing w:before="80" w:after="80"/>
      </w:pPr>
      <w:r>
        <w:rPr>
          <w:rFonts w:ascii="Arial" w:cs="Arial" w:eastAsia="Arial" w:hAnsi="Arial"/>
          <w:color w:val="1A1A1A"/>
          <w:sz w:val="22"/>
          <w:szCs w:val="22"/>
        </w:rPr>
        <w:t xml:space="preserve">Activa desde el 17 de marzo. Descuentos acumulables entre si, lo que multiplica el poder de la propuesta:</w:t>
      </w:r>
    </w:p>
    <w:p>
      <w:pPr>
        <w:spacing w:before="80"/>
      </w:pPr>
    </w:p>
    <w:p>
      <w:pPr>
        <w:pStyle w:val="ListParagraph"/>
        <w:numPr>
          <w:ilvl w:val="0"/>
          <w:numId w:val="2"/>
        </w:numPr>
        <w:spacing w:before="60" w:after="60"/>
      </w:pPr>
      <w:r>
        <w:rPr>
          <w:rFonts w:ascii="Arial" w:cs="Arial" w:eastAsia="Arial" w:hAnsi="Arial"/>
          <w:b w:val="false"/>
          <w:bCs w:val="false"/>
          <w:color w:val="1A1A1A"/>
          <w:sz w:val="22"/>
          <w:szCs w:val="22"/>
        </w:rPr>
        <w:t xml:space="preserve">Descuento de bienvenida 12,5% sobre prima neta — primera anualidad</w:t>
      </w:r>
    </w:p>
    <w:p>
      <w:pPr>
        <w:pStyle w:val="ListParagraph"/>
        <w:numPr>
          <w:ilvl w:val="0"/>
          <w:numId w:val="2"/>
        </w:numPr>
        <w:spacing w:before="60" w:after="60"/>
      </w:pPr>
      <w:r>
        <w:rPr>
          <w:rFonts w:ascii="Arial" w:cs="Arial" w:eastAsia="Arial" w:hAnsi="Arial"/>
          <w:b w:val="false"/>
          <w:bCs w:val="false"/>
          <w:color w:val="1A1A1A"/>
          <w:sz w:val="22"/>
          <w:szCs w:val="22"/>
        </w:rPr>
        <w:t xml:space="preserve">Descuento por zonas 6%, 8% o 10% segun codigo postal</w:t>
      </w:r>
    </w:p>
    <w:p>
      <w:pPr>
        <w:pStyle w:val="ListParagraph"/>
        <w:numPr>
          <w:ilvl w:val="0"/>
          <w:numId w:val="2"/>
        </w:numPr>
        <w:spacing w:before="60" w:after="60"/>
      </w:pPr>
      <w:r>
        <w:rPr>
          <w:rFonts w:ascii="Arial" w:cs="Arial" w:eastAsia="Arial" w:hAnsi="Arial"/>
          <w:b w:val="false"/>
          <w:bCs w:val="false"/>
          <w:color w:val="1A1A1A"/>
          <w:sz w:val="22"/>
          <w:szCs w:val="22"/>
        </w:rPr>
        <w:t xml:space="preserve">Vigente para efectos 01/04/26, 01/05/26 y 01/06/26</w:t>
      </w:r>
    </w:p>
    <w:p>
      <w:pPr>
        <w:pStyle w:val="ListParagraph"/>
        <w:numPr>
          <w:ilvl w:val="0"/>
          <w:numId w:val="2"/>
        </w:numPr>
        <w:spacing w:before="60" w:after="60"/>
      </w:pPr>
      <w:r>
        <w:rPr>
          <w:rFonts w:ascii="Arial" w:cs="Arial" w:eastAsia="Arial" w:hAnsi="Arial"/>
          <w:b w:val="false"/>
          <w:bCs w:val="false"/>
          <w:color w:val="1A1A1A"/>
          <w:sz w:val="22"/>
          <w:szCs w:val="22"/>
        </w:rPr>
        <w:t xml:space="preserve">Aplicable a Salud Completo y Salud Completo Copago</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E8450A" w:sz="6"/>
              <w:left w:val="single" w:color="E8450A" w:sz="16"/>
              <w:bottom w:val="single" w:color="E8450A" w:sz="6"/>
              <w:right w:val="single" w:color="E8450A" w:sz="4"/>
            </w:tcBorders>
            <w:shd w:fill="FFF8F5" w:val="clear"/>
            <w:tcMar>
              <w:top w:type="dxa" w:w="140"/>
              <w:left w:type="dxa" w:w="200"/>
              <w:bottom w:type="dxa" w:w="140"/>
              <w:right w:type="dxa" w:w="200"/>
            </w:tcMar>
          </w:tcPr>
          <w:p>
            <w:r>
              <w:rPr>
                <w:rFonts w:ascii="Arial" w:cs="Arial" w:eastAsia="Arial" w:hAnsi="Arial"/>
                <w:i w:val="false"/>
                <w:iCs w:val="false"/>
                <w:color w:val="1A1A1A"/>
                <w:sz w:val="21"/>
                <w:szCs w:val="21"/>
              </w:rPr>
              <w:t xml:space="preserve">COMBINACION MAXIMA: Un cliente nuevo en zona bonificada puede acumular 12,5% de bienvenida + 10% zona = 22,5% de descuento efectivo en el primer ano. Con los 400 euros de la campana Ahorro+Salud encima, la propuesta es practicamente imbatible.</w:t>
            </w:r>
          </w:p>
        </w:tc>
      </w:tr>
    </w:tbl>
    <w:p>
      <w:pPr>
        <w:spacing w:before="160"/>
      </w:pPr>
    </w:p>
    <w:p>
      <w:pPr>
        <w:pStyle w:val="Heading2"/>
        <w:spacing w:before="240" w:after="120"/>
      </w:pPr>
      <w:r>
        <w:rPr>
          <w:rFonts w:ascii="Arial" w:cs="Arial" w:eastAsia="Arial" w:hAnsi="Arial"/>
          <w:b/>
          <w:bCs/>
          <w:color w:val="333333"/>
          <w:sz w:val="28"/>
          <w:szCs w:val="28"/>
        </w:rPr>
        <w:t xml:space="preserve">1.3 Actualizacion de tarifas — Argumento de urgencia</w:t>
      </w:r>
    </w:p>
    <w:p>
      <w:pPr>
        <w:spacing w:before="80" w:after="80"/>
      </w:pPr>
      <w:r>
        <w:rPr>
          <w:rFonts w:ascii="Arial" w:cs="Arial" w:eastAsia="Arial" w:hAnsi="Arial"/>
          <w:color w:val="1A1A1A"/>
          <w:sz w:val="22"/>
          <w:szCs w:val="22"/>
        </w:rPr>
        <w:t xml:space="preserve">Desde el 16 de marzo, Sanitas ha actualizado sus tarifas para nuevos clientes: Salud Completo +2,5%, Copago Autonomo +3,6%, Copago +3,2%. Zonas especificas como Ibiza +13%.</w:t>
      </w:r>
    </w:p>
    <w:p>
      <w:pPr>
        <w:spacing w:before="80" w:after="80"/>
      </w:pPr>
      <w:r>
        <w:rPr>
          <w:rFonts w:ascii="Arial" w:cs="Arial" w:eastAsia="Arial" w:hAnsi="Arial"/>
          <w:color w:val="1A1A1A"/>
          <w:sz w:val="22"/>
          <w:szCs w:val="22"/>
        </w:rPr>
        <w:t xml:space="preserve">Esto significa que cada semana que el cliente espera, la prima sube. La urgencia no es fabricada — es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E8450A" w:sz="6"/>
              <w:left w:val="single" w:color="E8450A" w:sz="16"/>
              <w:bottom w:val="single" w:color="E8450A" w:sz="6"/>
              <w:right w:val="single" w:color="E8450A" w:sz="4"/>
            </w:tcBorders>
            <w:shd w:fill="FFF8F5" w:val="clear"/>
            <w:tcMar>
              <w:top w:type="dxa" w:w="140"/>
              <w:left w:type="dxa" w:w="200"/>
              <w:bottom w:type="dxa" w:w="140"/>
              <w:right w:type="dxa" w:w="200"/>
            </w:tcMar>
          </w:tcPr>
          <w:p>
            <w:r>
              <w:rPr>
                <w:rFonts w:ascii="Arial" w:cs="Arial" w:eastAsia="Arial" w:hAnsi="Arial"/>
                <w:i w:val="false"/>
                <w:iCs w:val="false"/>
                <w:color w:val="1A1A1A"/>
                <w:sz w:val="21"/>
                <w:szCs w:val="21"/>
              </w:rPr>
              <w:t xml:space="preserve">FRASE DE CIERRE: 'Las tarifas subieron el 16 de marzo. Si contratamos ahora con efecto 1 de abril, te aplico los descuentos de campana antes de que suban mas. La competencia esta subiendo cerca de dos digitos. Aqui tienes un 12,5% de descuento de bienvenida activo ahora mismo.'</w:t>
            </w:r>
          </w:p>
        </w:tc>
      </w:tr>
    </w:tbl>
    <w:p>
      <w:pPr>
        <w:spacing w:before="200"/>
      </w:pPr>
      <w:r>
        <w:br w:type="page"/>
      </w:r>
    </w:p>
    <w:p>
      <w:pPr>
        <w:pStyle w:val="Heading1"/>
        <w:spacing w:before="360" w:after="160"/>
      </w:pPr>
      <w:r>
        <w:rPr>
          <w:rFonts w:ascii="Arial" w:cs="Arial" w:eastAsia="Arial" w:hAnsi="Arial"/>
          <w:b/>
          <w:bCs/>
          <w:color w:val="E8450A"/>
          <w:sz w:val="36"/>
          <w:szCs w:val="36"/>
        </w:rPr>
        <w:t xml:space="preserve">2. PLAN DE ACCION — LOS 8 DIAS CRITICOS</w:t>
      </w:r>
    </w:p>
    <w:p>
      <w:pPr>
        <w:spacing w:before="80" w:after="80"/>
      </w:pPr>
      <w:r>
        <w:rPr>
          <w:rFonts w:ascii="Arial" w:cs="Arial" w:eastAsia="Arial" w:hAnsi="Arial"/>
          <w:color w:val="1A1A1A"/>
          <w:sz w:val="22"/>
          <w:szCs w:val="22"/>
        </w:rPr>
        <w:t xml:space="preserve">Fecha limite real: 6 de abril o 600 contrataciones. Lo que antes ocurra. A continuacion el plan dia a dia.</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Dia</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Accion principal</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Herramienta / Recurso</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Hoy 29/03</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Identificar top 20 contactos con mayor predisposicion a Salud o Ahorro de tu base de 965</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Bitacora de Vuelo — filtrar ex-Santalucia con interes previo</w:t>
            </w:r>
          </w:p>
        </w:tc>
      </w:tr>
      <w:tr>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19"/>
                <w:szCs w:val="19"/>
              </w:rPr>
              <w:t xml:space="preserve">30-31/03</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19"/>
                <w:szCs w:val="19"/>
              </w:rPr>
              <w:t xml:space="preserve">Llamadas de contacto a los 20 seleccionados. Mensaje: campana Ahorro+Salud hasta el 6 de abril, hasta 400 euros para el cliente</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19"/>
                <w:szCs w:val="19"/>
              </w:rPr>
              <w:t xml:space="preserve">Argumentario Salud — objeciones preparadas</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01-02/04</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Visitas y AdN con los que hayan dicho si. Cotizar SIALP + Salud Completo en la misma sesion</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App NN iPad — proceso AdN completo</w:t>
            </w:r>
          </w:p>
        </w:tc>
      </w:tr>
      <w:tr>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19"/>
                <w:szCs w:val="19"/>
              </w:rPr>
              <w:t xml:space="preserve">03-04/04</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19"/>
                <w:szCs w:val="19"/>
              </w:rPr>
              <w:t xml:space="preserve">Seguimiento de los que no han contestado. Segunda llamada con nuevo angulo: subida de tarifas como urgencia</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A1A1A"/>
                <w:sz w:val="19"/>
                <w:szCs w:val="19"/>
              </w:rPr>
              <w:t xml:space="preserve">WhatsApp + llamada — guion de urgencia</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05-06/04</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Cierre de los expedientes pendientes antes del limite. Verificar que las polizas estan emitidas</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Salesforce — estado de cada caso</w:t>
            </w:r>
          </w:p>
        </w:tc>
      </w:tr>
    </w:tbl>
    <w:p>
      <w:pPr>
        <w:spacing w:before="160"/>
      </w:pPr>
    </w:p>
    <w:p>
      <w:pPr>
        <w:pStyle w:val="Heading2"/>
        <w:spacing w:before="240" w:after="120"/>
      </w:pPr>
      <w:r>
        <w:rPr>
          <w:rFonts w:ascii="Arial" w:cs="Arial" w:eastAsia="Arial" w:hAnsi="Arial"/>
          <w:b/>
          <w:bCs/>
          <w:color w:val="333333"/>
          <w:sz w:val="28"/>
          <w:szCs w:val="28"/>
        </w:rPr>
        <w:t xml:space="preserve">2.1 Segmentacion de los 965 contactos</w:t>
      </w:r>
    </w:p>
    <w:p>
      <w:pPr>
        <w:spacing w:before="80" w:after="80"/>
      </w:pPr>
      <w:r>
        <w:rPr>
          <w:rFonts w:ascii="Arial" w:cs="Arial" w:eastAsia="Arial" w:hAnsi="Arial"/>
          <w:color w:val="1A1A1A"/>
          <w:sz w:val="22"/>
          <w:szCs w:val="22"/>
        </w:rPr>
        <w:t xml:space="preserve">No todos los contactos tienen la misma prioridad. Dividellos en tres grupos de accion:</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180" w:after="80"/>
            </w:pPr>
            <w:r>
              <w:rPr>
                <w:rFonts w:ascii="Arial" w:cs="Arial" w:eastAsia="Arial" w:hAnsi="Arial"/>
                <w:b/>
                <w:bCs/>
                <w:color w:val="1A7A3C"/>
                <w:sz w:val="24"/>
                <w:szCs w:val="24"/>
              </w:rPr>
              <w:t xml:space="preserve">GRUPO A — Prioridad maxima</w:t>
            </w:r>
          </w:p>
          <w:p>
            <w:pPr>
              <w:spacing w:before="80" w:after="80"/>
            </w:pPr>
            <w:r>
              <w:rPr>
                <w:rFonts w:ascii="Arial" w:cs="Arial" w:eastAsia="Arial" w:hAnsi="Arial"/>
                <w:color w:val="1A1A1A"/>
                <w:sz w:val="22"/>
                <w:szCs w:val="22"/>
              </w:rPr>
              <w:t xml:space="preserve">Contactos que en Santalucia tenian interes en salud o ahorro. Ya conocen el concepto. Solo necesitan la nueva propuesta con los descuentos activos.</w:t>
            </w:r>
          </w:p>
          <w:p>
            <w:pPr>
              <w:spacing w:before="80" w:after="80"/>
            </w:pPr>
            <w:r>
              <w:rPr>
                <w:rFonts w:ascii="Arial" w:cs="Arial" w:eastAsia="Arial" w:hAnsi="Arial"/>
                <w:b/>
                <w:bCs/>
                <w:color w:val="1A1A1A"/>
                <w:sz w:val="22"/>
                <w:szCs w:val="22"/>
              </w:rPr>
              <w:t xml:space="preserve">Mensaje: 'Tengo una campana hasta el 6 de abril con hasta 400 euros de bonificacion para ti. 20 minutos esta semana.'</w:t>
            </w:r>
          </w:p>
        </w:tc>
        <w:tc>
          <w:tcPr>
            <w:tcW w:type="dxa" w:w="4526"/>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180" w:after="80"/>
            </w:pPr>
            <w:r>
              <w:rPr>
                <w:rFonts w:ascii="Arial" w:cs="Arial" w:eastAsia="Arial" w:hAnsi="Arial"/>
                <w:b/>
                <w:bCs/>
                <w:color w:val="1A4A8A"/>
                <w:sz w:val="24"/>
                <w:szCs w:val="24"/>
              </w:rPr>
              <w:t xml:space="preserve">GRUPO B — Autonomos</w:t>
            </w:r>
          </w:p>
          <w:p>
            <w:pPr>
              <w:spacing w:before="80" w:after="80"/>
            </w:pPr>
            <w:r>
              <w:rPr>
                <w:rFonts w:ascii="Arial" w:cs="Arial" w:eastAsia="Arial" w:hAnsi="Arial"/>
                <w:color w:val="1A1A1A"/>
                <w:sz w:val="22"/>
                <w:szCs w:val="22"/>
              </w:rPr>
              <w:t xml:space="preserve">Tienen ventaja fiscal especifica: pueden deducir hasta 500 euros en IRPF. El seguro de salud no es un gasto — es una deduccion fiscal.</w:t>
            </w:r>
          </w:p>
          <w:p>
            <w:pPr>
              <w:spacing w:before="80" w:after="80"/>
            </w:pPr>
            <w:r>
              <w:rPr>
                <w:rFonts w:ascii="Arial" w:cs="Arial" w:eastAsia="Arial" w:hAnsi="Arial"/>
                <w:b/>
                <w:bCs/>
                <w:color w:val="1A1A1A"/>
                <w:sz w:val="22"/>
                <w:szCs w:val="22"/>
              </w:rPr>
              <w:t xml:space="preserve">Mensaje: 'Como autonomo, tu seguro de salud te lo puedes desgravar hasta 500 euros al ano. Te explico como en 15 minutos.'</w:t>
            </w:r>
          </w:p>
        </w:tc>
      </w:tr>
    </w:tbl>
    <w:p>
      <w:pPr>
        <w:spacing w:before="100"/>
      </w:pPr>
    </w:p>
    <w:p>
      <w:pPr>
        <w:spacing w:before="180" w:after="80"/>
      </w:pPr>
      <w:r>
        <w:rPr>
          <w:rFonts w:ascii="Arial" w:cs="Arial" w:eastAsia="Arial" w:hAnsi="Arial"/>
          <w:b/>
          <w:bCs/>
          <w:color w:val="E8450A"/>
          <w:sz w:val="24"/>
          <w:szCs w:val="24"/>
        </w:rPr>
        <w:t xml:space="preserve">GRUPO C — Clientes con seguro de otra compania</w:t>
      </w:r>
    </w:p>
    <w:p>
      <w:pPr>
        <w:spacing w:before="80" w:after="80"/>
      </w:pPr>
      <w:r>
        <w:rPr>
          <w:rFonts w:ascii="Arial" w:cs="Arial" w:eastAsia="Arial" w:hAnsi="Arial"/>
          <w:color w:val="1A1A1A"/>
          <w:sz w:val="22"/>
          <w:szCs w:val="22"/>
        </w:rPr>
        <w:t xml:space="preserve">Usa el argumentario de competencia. No les pidas que cambien — primero preguntales como van a rescatar su plan de pensiones (si tienen uno). El simulador de cobro abre la conversacion de valor antes que el precio.</w:t>
      </w:r>
    </w:p>
    <w:p>
      <w:pPr>
        <w:spacing w:before="200"/>
      </w:pPr>
      <w:r>
        <w:br w:type="page"/>
      </w:r>
    </w:p>
    <w:p>
      <w:pPr>
        <w:pStyle w:val="Heading1"/>
        <w:spacing w:before="360" w:after="160"/>
      </w:pPr>
      <w:r>
        <w:rPr>
          <w:rFonts w:ascii="Arial" w:cs="Arial" w:eastAsia="Arial" w:hAnsi="Arial"/>
          <w:b/>
          <w:bCs/>
          <w:color w:val="E8450A"/>
          <w:sz w:val="36"/>
          <w:szCs w:val="36"/>
        </w:rPr>
        <w:t xml:space="preserve">3. ARGUMENTARIO DE SALUD — OBJECIONES Y RESPUESTAS</w:t>
      </w:r>
    </w:p>
    <w:p>
      <w:pPr>
        <w:spacing w:before="80" w:after="80"/>
      </w:pPr>
      <w:r>
        <w:rPr>
          <w:rFonts w:ascii="Arial" w:cs="Arial" w:eastAsia="Arial" w:hAnsi="Arial"/>
          <w:color w:val="1A1A1A"/>
          <w:sz w:val="22"/>
          <w:szCs w:val="22"/>
        </w:rPr>
        <w:t xml:space="preserve">Tienes 10 objeciones documentadas. Estas son las 5 mas frecuentes que encontraras esta semana con las respuestas clave:</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DDDDDD" w:sz="1"/>
              <w:left w:val="single" w:color="DDDDDD" w:sz="1"/>
              <w:bottom w:val="single" w:color="DDDDDD" w:sz="1"/>
              <w:right w:val="single" w:color="DDDDDD" w:sz="1"/>
            </w:tcBorders>
            <w:shd w:fill="E8450A" w:val="clear"/>
            <w:tcMar>
              <w:top w:type="dxa" w:w="80"/>
              <w:left w:type="dxa" w:w="180"/>
              <w:bottom w:type="dxa" w:w="80"/>
              <w:right w:type="dxa" w:w="180"/>
            </w:tcMar>
          </w:tcPr>
          <w:p>
            <w:r>
              <w:rPr>
                <w:rFonts w:ascii="Arial" w:cs="Arial" w:eastAsia="Arial" w:hAnsi="Arial"/>
                <w:b/>
                <w:bCs/>
                <w:color w:val="FFFFFF"/>
                <w:sz w:val="20"/>
                <w:szCs w:val="20"/>
              </w:rPr>
              <w:t xml:space="preserve">OBJECION: Otros pagan menos</w:t>
            </w:r>
          </w:p>
        </w:tc>
      </w:tr>
      <w:tr>
        <w:tc>
          <w:tcPr>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1A1A1A"/>
                <w:sz w:val="20"/>
                <w:szCs w:val="20"/>
              </w:rPr>
              <w:t xml:space="preserve">Los precios son personalizados por edad y coberturas. Y la edad es el factor mas determinante. Cuanto antes contrate, menor prima para siempre. Ademas tengo un 12,5% de descuento de bienvenida activo solo hasta el 6 de abril.</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DDDDDD" w:sz="1"/>
              <w:left w:val="single" w:color="DDDDDD" w:sz="1"/>
              <w:bottom w:val="single" w:color="DDDDDD" w:sz="1"/>
              <w:right w:val="single" w:color="DDDDDD" w:sz="1"/>
            </w:tcBorders>
            <w:shd w:fill="E8450A" w:val="clear"/>
            <w:tcMar>
              <w:top w:type="dxa" w:w="80"/>
              <w:left w:type="dxa" w:w="180"/>
              <w:bottom w:type="dxa" w:w="80"/>
              <w:right w:type="dxa" w:w="180"/>
            </w:tcMar>
          </w:tcPr>
          <w:p>
            <w:r>
              <w:rPr>
                <w:rFonts w:ascii="Arial" w:cs="Arial" w:eastAsia="Arial" w:hAnsi="Arial"/>
                <w:b/>
                <w:bCs/>
                <w:color w:val="FFFFFF"/>
                <w:sz w:val="20"/>
                <w:szCs w:val="20"/>
              </w:rPr>
              <w:t xml:space="preserve">OBJECION: La prima ha subido</w:t>
            </w:r>
          </w:p>
        </w:tc>
      </w:tr>
      <w:tr>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color w:val="1A1A1A"/>
                <w:sz w:val="20"/>
                <w:szCs w:val="20"/>
              </w:rPr>
              <w:t xml:space="preserve">La competencia esta subiendo cerca de dos digitos. Aqui tienes descuentos acumulables activos ahora mismo. Y la prima se actualiza para mantener la calidad del servicio que ya conoces.</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DDDDDD" w:sz="1"/>
              <w:left w:val="single" w:color="DDDDDD" w:sz="1"/>
              <w:bottom w:val="single" w:color="DDDDDD" w:sz="1"/>
              <w:right w:val="single" w:color="DDDDDD" w:sz="1"/>
            </w:tcBorders>
            <w:shd w:fill="E8450A" w:val="clear"/>
            <w:tcMar>
              <w:top w:type="dxa" w:w="80"/>
              <w:left w:type="dxa" w:w="180"/>
              <w:bottom w:type="dxa" w:w="80"/>
              <w:right w:type="dxa" w:w="180"/>
            </w:tcMar>
          </w:tcPr>
          <w:p>
            <w:r>
              <w:rPr>
                <w:rFonts w:ascii="Arial" w:cs="Arial" w:eastAsia="Arial" w:hAnsi="Arial"/>
                <w:b/>
                <w:bCs/>
                <w:color w:val="FFFFFF"/>
                <w:sz w:val="20"/>
                <w:szCs w:val="20"/>
              </w:rPr>
              <w:t xml:space="preserve">OBJECION: No uso el seguro</w:t>
            </w:r>
          </w:p>
        </w:tc>
      </w:tr>
      <w:tr>
        <w:tc>
          <w:tcPr>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1A1A1A"/>
                <w:sz w:val="20"/>
                <w:szCs w:val="20"/>
              </w:rPr>
              <w:t xml:space="preserve">El seguro no es para urgencias — es para prevencion. ¿Cuando fue su ultima revision? Tiene incluidas especialidades como oftalmologia, ginecologia, urologia y revision dental. Ademas videoconsulta desde cualquier lugar, sin desplazarse.</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DDDDDD" w:sz="1"/>
              <w:left w:val="single" w:color="DDDDDD" w:sz="1"/>
              <w:bottom w:val="single" w:color="DDDDDD" w:sz="1"/>
              <w:right w:val="single" w:color="DDDDDD" w:sz="1"/>
            </w:tcBorders>
            <w:shd w:fill="E8450A" w:val="clear"/>
            <w:tcMar>
              <w:top w:type="dxa" w:w="80"/>
              <w:left w:type="dxa" w:w="180"/>
              <w:bottom w:type="dxa" w:w="80"/>
              <w:right w:type="dxa" w:w="180"/>
            </w:tcMar>
          </w:tcPr>
          <w:p>
            <w:r>
              <w:rPr>
                <w:rFonts w:ascii="Arial" w:cs="Arial" w:eastAsia="Arial" w:hAnsi="Arial"/>
                <w:b/>
                <w:bCs/>
                <w:color w:val="FFFFFF"/>
                <w:sz w:val="20"/>
                <w:szCs w:val="20"/>
              </w:rPr>
              <w:t xml:space="preserve">OBJECION: Dificultades economicas</w:t>
            </w:r>
          </w:p>
        </w:tc>
      </w:tr>
      <w:tr>
        <w:tc>
          <w:tcPr>
            <w:tcBorders>
              <w:top w:val="single" w:color="DDDDDD" w:sz="1"/>
              <w:left w:val="single" w:color="DDDDDD" w:sz="1"/>
              <w:bottom w:val="single" w:color="DDDDDD" w:sz="1"/>
              <w:right w:val="single" w:color="DDDDDD" w:sz="1"/>
            </w:tcBorders>
            <w:shd w:fill="F5F5F5" w:val="clear"/>
            <w:tcMar>
              <w:top w:type="dxa" w:w="100"/>
              <w:left w:type="dxa" w:w="180"/>
              <w:bottom w:type="dxa" w:w="100"/>
              <w:right w:type="dxa" w:w="180"/>
            </w:tcMar>
          </w:tcPr>
          <w:p>
            <w:r>
              <w:rPr>
                <w:rFonts w:ascii="Arial" w:cs="Arial" w:eastAsia="Arial" w:hAnsi="Arial"/>
                <w:color w:val="1A1A1A"/>
                <w:sz w:val="20"/>
                <w:szCs w:val="20"/>
              </w:rPr>
              <w:t xml:space="preserve">Si es autonomo, puede deducir hasta 500 euros en su declaracion de la renta. El coste real es mucho menor de lo que parece. Y cambiar ahora supone perder la antiguedad con todos sus beneficios acumulados.</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026"/>
      </w:tblGrid>
      <w:tr>
        <w:tc>
          <w:tcPr>
            <w:tcBorders>
              <w:top w:val="single" w:color="DDDDDD" w:sz="1"/>
              <w:left w:val="single" w:color="DDDDDD" w:sz="1"/>
              <w:bottom w:val="single" w:color="DDDDDD" w:sz="1"/>
              <w:right w:val="single" w:color="DDDDDD" w:sz="1"/>
            </w:tcBorders>
            <w:shd w:fill="E8450A" w:val="clear"/>
            <w:tcMar>
              <w:top w:type="dxa" w:w="80"/>
              <w:left w:type="dxa" w:w="180"/>
              <w:bottom w:type="dxa" w:w="80"/>
              <w:right w:type="dxa" w:w="180"/>
            </w:tcMar>
          </w:tcPr>
          <w:p>
            <w:r>
              <w:rPr>
                <w:rFonts w:ascii="Arial" w:cs="Arial" w:eastAsia="Arial" w:hAnsi="Arial"/>
                <w:b/>
                <w:bCs/>
                <w:color w:val="FFFFFF"/>
                <w:sz w:val="20"/>
                <w:szCs w:val="20"/>
              </w:rPr>
              <w:t xml:space="preserve">OBJECION: Prima alta</w:t>
            </w:r>
          </w:p>
        </w:tc>
      </w:tr>
      <w:tr>
        <w:tc>
          <w:tcPr>
            <w:tcBorders>
              <w:top w:val="single" w:color="DDDDDD" w:sz="1"/>
              <w:left w:val="single" w:color="DDDDDD" w:sz="1"/>
              <w:bottom w:val="single" w:color="DDDDDD" w:sz="1"/>
              <w:right w:val="single" w:color="DDDDDD" w:sz="1"/>
            </w:tcBorders>
            <w:shd w:fill="FFFFFF" w:val="clear"/>
            <w:tcMar>
              <w:top w:type="dxa" w:w="100"/>
              <w:left w:type="dxa" w:w="180"/>
              <w:bottom w:type="dxa" w:w="100"/>
              <w:right w:type="dxa" w:w="180"/>
            </w:tcMar>
          </w:tcPr>
          <w:p>
            <w:r>
              <w:rPr>
                <w:rFonts w:ascii="Arial" w:cs="Arial" w:eastAsia="Arial" w:hAnsi="Arial"/>
                <w:color w:val="1A1A1A"/>
                <w:sz w:val="20"/>
                <w:szCs w:val="20"/>
              </w:rPr>
              <w:t xml:space="preserve">Calculemos el coste por dia y por persona. Si tiene familia asegurada, el coste diario por persona suele ser menor que un cafe. Y en caso de hospitalizacion o tratamiento especializado, el valor es inconmensurable.</w:t>
            </w:r>
          </w:p>
        </w:tc>
      </w:tr>
    </w:tbl>
    <w:p>
      <w:pPr>
        <w:spacing w:before="80"/>
      </w:pPr>
    </w:p>
    <w:p>
      <w:pPr>
        <w:pStyle w:val="Heading2"/>
        <w:spacing w:before="240" w:after="120"/>
      </w:pPr>
      <w:r>
        <w:rPr>
          <w:rFonts w:ascii="Arial" w:cs="Arial" w:eastAsia="Arial" w:hAnsi="Arial"/>
          <w:b/>
          <w:bCs/>
          <w:color w:val="333333"/>
          <w:sz w:val="28"/>
          <w:szCs w:val="28"/>
        </w:rPr>
        <w:t xml:space="preserve">3.1 Las 4 tecnicas de cierre</w:t>
      </w:r>
    </w:p>
    <w:p>
      <w:pPr>
        <w:spacing w:before="80" w:after="80"/>
      </w:pPr>
      <w:r>
        <w:rPr>
          <w:rFonts w:ascii="Arial" w:cs="Arial" w:eastAsia="Arial" w:hAnsi="Arial"/>
          <w:color w:val="1A1A1A"/>
          <w:sz w:val="22"/>
          <w:szCs w:val="22"/>
        </w:rPr>
        <w:t xml:space="preserve">Cuando el cliente ya ha escuchado el valor y no ha dicho no explicitamente, usa una de estas cuatro frases de cierre:</w:t>
      </w:r>
    </w:p>
    <w:p>
      <w:pPr>
        <w:spacing w:before="100"/>
      </w:pPr>
    </w:p>
    <w:p>
      <w:pPr>
        <w:pStyle w:val="ListParagraph"/>
        <w:numPr>
          <w:ilvl w:val="0"/>
          <w:numId w:val="2"/>
        </w:numPr>
        <w:spacing w:before="60" w:after="60"/>
      </w:pPr>
      <w:r>
        <w:rPr>
          <w:rFonts w:ascii="Arial" w:cs="Arial" w:eastAsia="Arial" w:hAnsi="Arial"/>
          <w:b w:val="false"/>
          <w:bCs w:val="false"/>
          <w:color w:val="1A1A1A"/>
          <w:sz w:val="22"/>
          <w:szCs w:val="22"/>
        </w:rPr>
        <w:t xml:space="preserve">'¿No cree que merece la pena mantener su poliza por X euros al dia con todas las ventajas que hemos comentado?'</w:t>
      </w:r>
    </w:p>
    <w:p>
      <w:pPr>
        <w:pStyle w:val="ListParagraph"/>
        <w:numPr>
          <w:ilvl w:val="0"/>
          <w:numId w:val="2"/>
        </w:numPr>
        <w:spacing w:before="60" w:after="60"/>
      </w:pPr>
      <w:r>
        <w:rPr>
          <w:rFonts w:ascii="Arial" w:cs="Arial" w:eastAsia="Arial" w:hAnsi="Arial"/>
          <w:b w:val="false"/>
          <w:bCs w:val="false"/>
          <w:color w:val="1A1A1A"/>
          <w:sz w:val="22"/>
          <w:szCs w:val="22"/>
        </w:rPr>
        <w:t xml:space="preserve">'Al tener el seguro puede agilizar las visitas medicas. Mantenemos entonces su seguro.'</w:t>
      </w:r>
    </w:p>
    <w:p>
      <w:pPr>
        <w:pStyle w:val="ListParagraph"/>
        <w:numPr>
          <w:ilvl w:val="0"/>
          <w:numId w:val="2"/>
        </w:numPr>
        <w:spacing w:before="60" w:after="60"/>
      </w:pPr>
      <w:r>
        <w:rPr>
          <w:rFonts w:ascii="Arial" w:cs="Arial" w:eastAsia="Arial" w:hAnsi="Arial"/>
          <w:b w:val="false"/>
          <w:bCs w:val="false"/>
          <w:color w:val="1A1A1A"/>
          <w:sz w:val="22"/>
          <w:szCs w:val="22"/>
        </w:rPr>
        <w:t xml:space="preserve">'Con todas estas ventajas que hemos comentado, ¿le parece bien mantener su poliza?'</w:t>
      </w:r>
    </w:p>
    <w:p>
      <w:pPr>
        <w:pStyle w:val="ListParagraph"/>
        <w:numPr>
          <w:ilvl w:val="0"/>
          <w:numId w:val="2"/>
        </w:numPr>
        <w:spacing w:before="60" w:after="60"/>
      </w:pPr>
      <w:r>
        <w:rPr>
          <w:rFonts w:ascii="Arial" w:cs="Arial" w:eastAsia="Arial" w:hAnsi="Arial"/>
          <w:b w:val="false"/>
          <w:bCs w:val="false"/>
          <w:color w:val="1A1A1A"/>
          <w:sz w:val="22"/>
          <w:szCs w:val="22"/>
        </w:rPr>
        <w:t xml:space="preserve">'Su poliza actual cubre todas sus necesidades, por lo tanto la mantenemos tal cual esta, ¿verdad?'</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E8450A" w:sz="6"/>
              <w:left w:val="single" w:color="E8450A" w:sz="16"/>
              <w:bottom w:val="single" w:color="E8450A" w:sz="6"/>
              <w:right w:val="single" w:color="E8450A" w:sz="4"/>
            </w:tcBorders>
            <w:shd w:fill="FFF8F5" w:val="clear"/>
            <w:tcMar>
              <w:top w:type="dxa" w:w="140"/>
              <w:left w:type="dxa" w:w="200"/>
              <w:bottom w:type="dxa" w:w="140"/>
              <w:right w:type="dxa" w:w="200"/>
            </w:tcMar>
          </w:tcPr>
          <w:p>
            <w:r>
              <w:rPr>
                <w:rFonts w:ascii="Arial" w:cs="Arial" w:eastAsia="Arial" w:hAnsi="Arial"/>
                <w:i w:val="false"/>
                <w:iCs w:val="false"/>
                <w:color w:val="1A1A1A"/>
                <w:sz w:val="21"/>
                <w:szCs w:val="21"/>
              </w:rPr>
              <w:t xml:space="preserve">GESTION DEL NO: El no es parte de la conversacion. Los clientes satisfechos son tus mejores promotores. Pide feedback, reformula y convierte ese no en informacion para la siguiente llamada.</w:t>
            </w:r>
          </w:p>
        </w:tc>
      </w:tr>
    </w:tbl>
    <w:p>
      <w:pPr>
        <w:spacing w:before="200"/>
      </w:pPr>
      <w:r>
        <w:br w:type="page"/>
      </w:r>
    </w:p>
    <w:p>
      <w:pPr>
        <w:pStyle w:val="Heading1"/>
        <w:spacing w:before="360" w:after="160"/>
      </w:pPr>
      <w:r>
        <w:rPr>
          <w:rFonts w:ascii="Arial" w:cs="Arial" w:eastAsia="Arial" w:hAnsi="Arial"/>
          <w:b/>
          <w:bCs/>
          <w:color w:val="E8450A"/>
          <w:sz w:val="36"/>
          <w:szCs w:val="36"/>
        </w:rPr>
        <w:t xml:space="preserve">4. SIMULADOR DE COBRO DE PLAN DE PENSIONES</w:t>
      </w:r>
    </w:p>
    <w:p>
      <w:pPr>
        <w:spacing w:before="80" w:after="80"/>
      </w:pPr>
      <w:r>
        <w:rPr>
          <w:rFonts w:ascii="Arial" w:cs="Arial" w:eastAsia="Arial" w:hAnsi="Arial"/>
          <w:color w:val="1A1A1A"/>
          <w:sz w:val="22"/>
          <w:szCs w:val="22"/>
        </w:rPr>
        <w:t xml:space="preserve">Nueva herramienta disponible tras el webinar de Joaquin Hidalgo. Es tu diferenciador para conversaciones de jubilacion con clientes que ya tienen planes.</w:t>
      </w:r>
    </w:p>
    <w:p>
      <w:pPr>
        <w:spacing w:before="120"/>
      </w:pPr>
    </w:p>
    <w:p>
      <w:pPr>
        <w:pStyle w:val="Heading2"/>
        <w:spacing w:before="240" w:after="120"/>
      </w:pPr>
      <w:r>
        <w:rPr>
          <w:rFonts w:ascii="Arial" w:cs="Arial" w:eastAsia="Arial" w:hAnsi="Arial"/>
          <w:b/>
          <w:bCs/>
          <w:color w:val="333333"/>
          <w:sz w:val="28"/>
          <w:szCs w:val="28"/>
        </w:rPr>
        <w:t xml:space="preserve">4.1 Por que es tan poderosa</w:t>
      </w:r>
    </w:p>
    <w:p>
      <w:pPr>
        <w:pStyle w:val="ListParagraph"/>
        <w:numPr>
          <w:ilvl w:val="0"/>
          <w:numId w:val="2"/>
        </w:numPr>
        <w:spacing w:before="60" w:after="60"/>
      </w:pPr>
      <w:r>
        <w:rPr>
          <w:rFonts w:ascii="Arial" w:cs="Arial" w:eastAsia="Arial" w:hAnsi="Arial"/>
          <w:b w:val="false"/>
          <w:bCs w:val="false"/>
          <w:color w:val="1A1A1A"/>
          <w:sz w:val="22"/>
          <w:szCs w:val="22"/>
        </w:rPr>
        <w:t xml:space="preserve">Rescatar bien es tan importante como ahorrar. Los planes difieren impuestos en la aportacion pero tributan como rendimientos del trabajo en el rescate.</w:t>
      </w:r>
    </w:p>
    <w:p>
      <w:pPr>
        <w:pStyle w:val="ListParagraph"/>
        <w:numPr>
          <w:ilvl w:val="0"/>
          <w:numId w:val="2"/>
        </w:numPr>
        <w:spacing w:before="60" w:after="60"/>
      </w:pPr>
      <w:r>
        <w:rPr>
          <w:rFonts w:ascii="Arial" w:cs="Arial" w:eastAsia="Arial" w:hAnsi="Arial"/>
          <w:b w:val="false"/>
          <w:bCs w:val="false"/>
          <w:color w:val="1A1A1A"/>
          <w:sz w:val="22"/>
          <w:szCs w:val="22"/>
        </w:rPr>
        <w:t xml:space="preserve">Cobrar todo en capital: concentra la tributacion en un ano. El tipo marginal se dispara.</w:t>
      </w:r>
    </w:p>
    <w:p>
      <w:pPr>
        <w:pStyle w:val="ListParagraph"/>
        <w:numPr>
          <w:ilvl w:val="0"/>
          <w:numId w:val="2"/>
        </w:numPr>
        <w:spacing w:before="60" w:after="60"/>
      </w:pPr>
      <w:r>
        <w:rPr>
          <w:rFonts w:ascii="Arial" w:cs="Arial" w:eastAsia="Arial" w:hAnsi="Arial"/>
          <w:b w:val="false"/>
          <w:bCs w:val="false"/>
          <w:color w:val="1A1A1A"/>
          <w:sz w:val="22"/>
          <w:szCs w:val="22"/>
        </w:rPr>
        <w:t xml:space="preserve">Cobrar en renta o mixto: diluye la fiscalidad, el dinero sigue capitalizando dentro del plan y el importe neto total puede ser significativamente mayor.</w:t>
      </w:r>
    </w:p>
    <w:p>
      <w:pPr>
        <w:pStyle w:val="ListParagraph"/>
        <w:numPr>
          <w:ilvl w:val="0"/>
          <w:numId w:val="2"/>
        </w:numPr>
        <w:spacing w:before="60" w:after="60"/>
      </w:pPr>
      <w:r>
        <w:rPr>
          <w:rFonts w:ascii="Arial" w:cs="Arial" w:eastAsia="Arial" w:hAnsi="Arial"/>
          <w:b w:val="false"/>
          <w:bCs w:val="false"/>
          <w:color w:val="1A1A1A"/>
          <w:sz w:val="22"/>
          <w:szCs w:val="22"/>
        </w:rPr>
        <w:t xml:space="preserve">Lo anterior a 2007 tiene reduccion del 40% si se cobra en capital — combinado con renta para el resto es el cobro mixto optimo.</w:t>
      </w:r>
    </w:p>
    <w:p>
      <w:pPr>
        <w:spacing w:before="120"/>
      </w:pPr>
    </w:p>
    <w:p>
      <w:pPr>
        <w:pStyle w:val="Heading2"/>
        <w:spacing w:before="240" w:after="120"/>
      </w:pPr>
      <w:r>
        <w:rPr>
          <w:rFonts w:ascii="Arial" w:cs="Arial" w:eastAsia="Arial" w:hAnsi="Arial"/>
          <w:b/>
          <w:bCs/>
          <w:color w:val="333333"/>
          <w:sz w:val="28"/>
          <w:szCs w:val="28"/>
        </w:rPr>
        <w:t xml:space="preserve">4.2 Como usarlo con tu base de contactos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E8450A" w:sz="6"/>
              <w:left w:val="single" w:color="E8450A" w:sz="16"/>
              <w:bottom w:val="single" w:color="E8450A" w:sz="6"/>
              <w:right w:val="single" w:color="E8450A" w:sz="4"/>
            </w:tcBorders>
            <w:shd w:fill="FFF8F5" w:val="clear"/>
            <w:tcMar>
              <w:top w:type="dxa" w:w="140"/>
              <w:left w:type="dxa" w:w="200"/>
              <w:bottom w:type="dxa" w:w="140"/>
              <w:right w:type="dxa" w:w="200"/>
            </w:tcMar>
          </w:tcPr>
          <w:p>
            <w:r>
              <w:rPr>
                <w:rFonts w:ascii="Arial" w:cs="Arial" w:eastAsia="Arial" w:hAnsi="Arial"/>
                <w:i w:val="false"/>
                <w:iCs w:val="false"/>
                <w:color w:val="1A1A1A"/>
                <w:sz w:val="21"/>
                <w:szCs w:val="21"/>
              </w:rPr>
              <w:t xml:space="preserve">Cuando en el AdN el cliente diga que ya tiene un plan de pensiones, pregunta: '¿Tiene pensado como va a rescatar ese plan cuando llegue el momento? Porque la forma en que se cobra puede suponer miles de euros de diferencia en lo que Hacienda se lleva.' Esa pregunta abre una conversacion de 20 minutos donde tu aportas valor real — antes de hablar de ningun producto nuevo.</w:t>
            </w:r>
          </w:p>
        </w:tc>
      </w:tr>
    </w:tbl>
    <w:p>
      <w:pPr>
        <w:spacing w:before="200"/>
      </w:pPr>
    </w:p>
    <w:p>
      <w:pPr>
        <w:pStyle w:val="Heading1"/>
        <w:spacing w:before="360" w:after="160"/>
      </w:pPr>
      <w:r>
        <w:rPr>
          <w:rFonts w:ascii="Arial" w:cs="Arial" w:eastAsia="Arial" w:hAnsi="Arial"/>
          <w:b/>
          <w:bCs/>
          <w:color w:val="E8450A"/>
          <w:sz w:val="36"/>
          <w:szCs w:val="36"/>
        </w:rPr>
        <w:t xml:space="preserve">5. AUTOMATIZACION REFERENCIADORES — NUEVO PROCESO</w:t>
      </w:r>
    </w:p>
    <w:p>
      <w:pPr>
        <w:spacing w:before="80" w:after="80"/>
      </w:pPr>
      <w:r>
        <w:rPr>
          <w:rFonts w:ascii="Arial" w:cs="Arial" w:eastAsia="Arial" w:hAnsi="Arial"/>
          <w:color w:val="1A1A1A"/>
          <w:sz w:val="22"/>
          <w:szCs w:val="22"/>
        </w:rPr>
        <w:t xml:space="preserve">Desde el 3 de marzo el proceso es completamente digital. Esto es clave para tu objetivo de captar 4-5 agentes antes de septiembre.</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180" w:after="80"/>
            </w:pPr>
            <w:r>
              <w:rPr>
                <w:rFonts w:ascii="Arial" w:cs="Arial" w:eastAsia="Arial" w:hAnsi="Arial"/>
                <w:b/>
                <w:bCs/>
                <w:color w:val="888888"/>
                <w:sz w:val="24"/>
                <w:szCs w:val="24"/>
              </w:rPr>
              <w:t xml:space="preserve">Proceso ANTIGUO</w:t>
            </w:r>
          </w:p>
          <w:p>
            <w:pPr>
              <w:pStyle w:val="ListParagraph"/>
              <w:numPr>
                <w:ilvl w:val="0"/>
                <w:numId w:val="2"/>
              </w:numPr>
              <w:spacing w:before="60" w:after="60"/>
            </w:pPr>
            <w:r>
              <w:rPr>
                <w:rFonts w:ascii="Arial" w:cs="Arial" w:eastAsia="Arial" w:hAnsi="Arial"/>
                <w:b w:val="false"/>
                <w:bCs w:val="false"/>
                <w:color w:val="1A1A1A"/>
                <w:sz w:val="22"/>
                <w:szCs w:val="22"/>
              </w:rPr>
              <w:t xml:space="preserve">Agente daba de alta manualmente en Salesforce</w:t>
            </w:r>
          </w:p>
          <w:p>
            <w:pPr>
              <w:pStyle w:val="ListParagraph"/>
              <w:numPr>
                <w:ilvl w:val="0"/>
                <w:numId w:val="2"/>
              </w:numPr>
              <w:spacing w:before="60" w:after="60"/>
            </w:pPr>
            <w:r>
              <w:rPr>
                <w:rFonts w:ascii="Arial" w:cs="Arial" w:eastAsia="Arial" w:hAnsi="Arial"/>
                <w:b w:val="false"/>
                <w:bCs w:val="false"/>
                <w:color w:val="1A1A1A"/>
                <w:sz w:val="22"/>
                <w:szCs w:val="22"/>
              </w:rPr>
              <w:t xml:space="preserve">Referenciador enviaba su propia factura — sin control</w:t>
            </w:r>
          </w:p>
          <w:p>
            <w:pPr>
              <w:pStyle w:val="ListParagraph"/>
              <w:numPr>
                <w:ilvl w:val="0"/>
                <w:numId w:val="2"/>
              </w:numPr>
              <w:spacing w:before="60" w:after="60"/>
            </w:pPr>
            <w:r>
              <w:rPr>
                <w:rFonts w:ascii="Arial" w:cs="Arial" w:eastAsia="Arial" w:hAnsi="Arial"/>
                <w:b w:val="false"/>
                <w:bCs w:val="false"/>
                <w:color w:val="1A1A1A"/>
                <w:sz w:val="22"/>
                <w:szCs w:val="22"/>
              </w:rPr>
              <w:t xml:space="preserve">Sin plantilla estandar de factura</w:t>
            </w:r>
          </w:p>
          <w:p>
            <w:pPr>
              <w:pStyle w:val="ListParagraph"/>
              <w:numPr>
                <w:ilvl w:val="0"/>
                <w:numId w:val="2"/>
              </w:numPr>
              <w:spacing w:before="60" w:after="60"/>
            </w:pPr>
            <w:r>
              <w:rPr>
                <w:rFonts w:ascii="Arial" w:cs="Arial" w:eastAsia="Arial" w:hAnsi="Arial"/>
                <w:b w:val="false"/>
                <w:bCs w:val="false"/>
                <w:color w:val="1A1A1A"/>
                <w:sz w:val="22"/>
                <w:szCs w:val="22"/>
              </w:rPr>
              <w:t xml:space="preserve">Gestion manual compleja — mucha friccion</w:t>
            </w:r>
          </w:p>
        </w:tc>
        <w:tc>
          <w:tcPr>
            <w:tcW w:type="dxa" w:w="4526"/>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180" w:after="80"/>
            </w:pPr>
            <w:r>
              <w:rPr>
                <w:rFonts w:ascii="Arial" w:cs="Arial" w:eastAsia="Arial" w:hAnsi="Arial"/>
                <w:b/>
                <w:bCs/>
                <w:color w:val="1A7A3C"/>
                <w:sz w:val="24"/>
                <w:szCs w:val="24"/>
              </w:rPr>
              <w:t xml:space="preserve">Proceso NUEVO</w:t>
            </w:r>
          </w:p>
          <w:p>
            <w:pPr>
              <w:pStyle w:val="ListParagraph"/>
              <w:numPr>
                <w:ilvl w:val="0"/>
                <w:numId w:val="2"/>
              </w:numPr>
              <w:spacing w:before="60" w:after="60"/>
            </w:pPr>
            <w:r>
              <w:rPr>
                <w:rFonts w:ascii="Arial" w:cs="Arial" w:eastAsia="Arial" w:hAnsi="Arial"/>
                <w:b w:val="false"/>
                <w:bCs w:val="false"/>
                <w:color w:val="1A1A1A"/>
                <w:sz w:val="22"/>
                <w:szCs w:val="22"/>
              </w:rPr>
              <w:t xml:space="preserve">Firma del contrato via Evicertia — digital</w:t>
            </w:r>
          </w:p>
          <w:p>
            <w:pPr>
              <w:pStyle w:val="ListParagraph"/>
              <w:numPr>
                <w:ilvl w:val="0"/>
                <w:numId w:val="2"/>
              </w:numPr>
              <w:spacing w:before="60" w:after="60"/>
            </w:pPr>
            <w:r>
              <w:rPr>
                <w:rFonts w:ascii="Arial" w:cs="Arial" w:eastAsia="Arial" w:hAnsi="Arial"/>
                <w:b w:val="false"/>
                <w:bCs w:val="false"/>
                <w:color w:val="1A1A1A"/>
                <w:sz w:val="22"/>
                <w:szCs w:val="22"/>
              </w:rPr>
              <w:t xml:space="preserve">NN genera y envia la autofactura al referenciador</w:t>
            </w:r>
          </w:p>
          <w:p>
            <w:pPr>
              <w:pStyle w:val="ListParagraph"/>
              <w:numPr>
                <w:ilvl w:val="0"/>
                <w:numId w:val="2"/>
              </w:numPr>
              <w:spacing w:before="60" w:after="60"/>
            </w:pPr>
            <w:r>
              <w:rPr>
                <w:rFonts w:ascii="Arial" w:cs="Arial" w:eastAsia="Arial" w:hAnsi="Arial"/>
                <w:b w:val="false"/>
                <w:bCs w:val="false"/>
                <w:color w:val="1A1A1A"/>
                <w:sz w:val="22"/>
                <w:szCs w:val="22"/>
              </w:rPr>
              <w:t xml:space="preserve">Referenciador solo acepta el pago — sin gestionar nada</w:t>
            </w:r>
          </w:p>
          <w:p>
            <w:pPr>
              <w:pStyle w:val="ListParagraph"/>
              <w:numPr>
                <w:ilvl w:val="0"/>
                <w:numId w:val="2"/>
              </w:numPr>
              <w:spacing w:before="60" w:after="60"/>
            </w:pPr>
            <w:r>
              <w:rPr>
                <w:rFonts w:ascii="Arial" w:cs="Arial" w:eastAsia="Arial" w:hAnsi="Arial"/>
                <w:b w:val="false"/>
                <w:bCs w:val="false"/>
                <w:color w:val="1A1A1A"/>
                <w:sz w:val="22"/>
                <w:szCs w:val="22"/>
              </w:rPr>
              <w:t xml:space="preserve">Tu responsabilidad: indicar en la venta si es de un referenciador</w:t>
            </w:r>
          </w:p>
        </w:tc>
      </w:tr>
    </w:tbl>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E8450A" w:sz="6"/>
              <w:left w:val="single" w:color="E8450A" w:sz="16"/>
              <w:bottom w:val="single" w:color="E8450A" w:sz="6"/>
              <w:right w:val="single" w:color="E8450A" w:sz="4"/>
            </w:tcBorders>
            <w:shd w:fill="FFF8F5" w:val="clear"/>
            <w:tcMar>
              <w:top w:type="dxa" w:w="140"/>
              <w:left w:type="dxa" w:w="200"/>
              <w:bottom w:type="dxa" w:w="140"/>
              <w:right w:type="dxa" w:w="200"/>
            </w:tcMar>
          </w:tcPr>
          <w:p>
            <w:r>
              <w:rPr>
                <w:rFonts w:ascii="Arial" w:cs="Arial" w:eastAsia="Arial" w:hAnsi="Arial"/>
                <w:i w:val="false"/>
                <w:iCs w:val="false"/>
                <w:color w:val="1A1A1A"/>
                <w:sz w:val="21"/>
                <w:szCs w:val="21"/>
              </w:rPr>
              <w:t xml:space="preserve">CRITICO: En el procedimiento nuevo, si cometes un error al vincular el referenciador en la venta, NO se puede corregir manualmente. Antes si se podia. Ahora no. Siempre verificar antes de enviar que el origen referenciado esta correctamente marcado.</w:t>
            </w:r>
          </w:p>
        </w:tc>
      </w:tr>
    </w:tbl>
    <w:p>
      <w:pPr>
        <w:spacing w:before="120"/>
      </w:pPr>
    </w:p>
    <w:p>
      <w:pPr>
        <w:pStyle w:val="Heading2"/>
        <w:spacing w:before="240" w:after="120"/>
      </w:pPr>
      <w:r>
        <w:rPr>
          <w:rFonts w:ascii="Arial" w:cs="Arial" w:eastAsia="Arial" w:hAnsi="Arial"/>
          <w:b/>
          <w:bCs/>
          <w:color w:val="333333"/>
          <w:sz w:val="28"/>
          <w:szCs w:val="28"/>
        </w:rPr>
        <w:t xml:space="preserve">5.1 Impacto en tu estrategia de captacion de agentes</w:t>
      </w:r>
    </w:p>
    <w:p>
      <w:pPr>
        <w:spacing w:before="80" w:after="80"/>
      </w:pPr>
      <w:r>
        <w:rPr>
          <w:rFonts w:ascii="Arial" w:cs="Arial" w:eastAsia="Arial" w:hAnsi="Arial"/>
          <w:color w:val="1A1A1A"/>
          <w:sz w:val="22"/>
          <w:szCs w:val="22"/>
        </w:rPr>
        <w:t xml:space="preserve">El proceso simplificado elimina la principal friccion para trabajar con referenciadores. Cuando captes tus 4-5 agentes, ellos podran operar con referenciadores desde el primer dia sin dependencia de tu gestion administrativa. Eso escala solo.</w:t>
      </w:r>
    </w:p>
    <w:p>
      <w:pPr>
        <w:spacing w:before="200"/>
      </w:pPr>
    </w:p>
    <w:p>
      <w:pPr>
        <w:pStyle w:val="Heading1"/>
        <w:spacing w:before="360" w:after="160"/>
      </w:pPr>
      <w:r>
        <w:rPr>
          <w:rFonts w:ascii="Arial" w:cs="Arial" w:eastAsia="Arial" w:hAnsi="Arial"/>
          <w:b/>
          <w:bCs/>
          <w:color w:val="E8450A"/>
          <w:sz w:val="36"/>
          <w:szCs w:val="36"/>
        </w:rPr>
        <w:t xml:space="preserve">6. HIPOTECAS — OPORTUNIDAD ADICIONAL</w:t>
      </w:r>
    </w:p>
    <w:p>
      <w:pPr>
        <w:spacing w:before="80" w:after="80"/>
      </w:pPr>
      <w:r>
        <w:rPr>
          <w:rFonts w:ascii="Arial" w:cs="Arial" w:eastAsia="Arial" w:hAnsi="Arial"/>
          <w:color w:val="1A1A1A"/>
          <w:sz w:val="22"/>
          <w:szCs w:val="22"/>
        </w:rPr>
        <w:t xml:space="preserve">2025 cerro con el mejor dato de hipotecas desde 2010, superando las 500.000 operaciones. El mercado esta activo. Tienes incentivos reales: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5"/>
        <w:gridCol w:w="3385"/>
      </w:tblGrid>
      <w:tr>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Entidad</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Premio</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Condicion</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ING (sin firma previa)</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300€ (4a hipoteca) / 450€ (7a) / 700€ (14a)</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Hasta 30 sept. 2026</w:t>
            </w:r>
          </w:p>
        </w:tc>
      </w:tr>
      <w:tr>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9"/>
                <w:szCs w:val="19"/>
              </w:rPr>
              <w:t xml:space="preserve">ING (con firma previa)</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9"/>
                <w:szCs w:val="19"/>
              </w:rPr>
              <w:t xml:space="preserve">200€ primera hipoteca + hasta 450€ por volumen</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9"/>
                <w:szCs w:val="19"/>
              </w:rPr>
              <w:t xml:space="preserve">Todo 2026</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ABANCA</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500€ pago unico</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 hipotecas firmadas en 2026</w:t>
            </w:r>
          </w:p>
        </w:tc>
      </w:tr>
      <w:tr>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9"/>
                <w:szCs w:val="19"/>
              </w:rPr>
              <w:t xml:space="preserve">Campana oficinas ING</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9"/>
                <w:szCs w:val="19"/>
              </w:rPr>
              <w:t xml:space="preserve">900€ evento motivacional por oficina</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9"/>
                <w:szCs w:val="19"/>
              </w:rPr>
              <w:t xml:space="preserve">Hasta 30 junio 2026</w:t>
            </w:r>
          </w:p>
        </w:tc>
      </w:tr>
    </w:tbl>
    <w:p>
      <w:pPr>
        <w:spacing w:before="200"/>
      </w:pPr>
    </w:p>
    <w:p>
      <w:pPr>
        <w:pStyle w:val="Heading1"/>
        <w:spacing w:before="360" w:after="160"/>
      </w:pPr>
      <w:r>
        <w:rPr>
          <w:rFonts w:ascii="Arial" w:cs="Arial" w:eastAsia="Arial" w:hAnsi="Arial"/>
          <w:b/>
          <w:bCs/>
          <w:color w:val="E8450A"/>
          <w:sz w:val="36"/>
          <w:szCs w:val="36"/>
        </w:rPr>
        <w:t xml:space="preserve">7. SALESFORCE Y OPERACIONES — BUENAS PRACTICAS</w:t>
      </w:r>
    </w:p>
    <w:p>
      <w:pPr>
        <w:spacing w:before="80" w:after="80"/>
      </w:pPr>
      <w:r>
        <w:rPr>
          <w:rFonts w:ascii="Arial" w:cs="Arial" w:eastAsia="Arial" w:hAnsi="Arial"/>
          <w:color w:val="1A1A1A"/>
          <w:sz w:val="22"/>
          <w:szCs w:val="22"/>
        </w:rPr>
        <w:t xml:space="preserve">Tres areas criticas que debes dominar y ensanar a tus futuros agentes:</w:t>
      </w:r>
    </w:p>
    <w:p>
      <w:pPr>
        <w:spacing w:before="120"/>
      </w:pPr>
    </w:p>
    <w:p>
      <w:pPr>
        <w:pStyle w:val="Heading2"/>
        <w:spacing w:before="240" w:after="120"/>
      </w:pPr>
      <w:r>
        <w:rPr>
          <w:rFonts w:ascii="Arial" w:cs="Arial" w:eastAsia="Arial" w:hAnsi="Arial"/>
          <w:b/>
          <w:bCs/>
          <w:color w:val="333333"/>
          <w:sz w:val="28"/>
          <w:szCs w:val="28"/>
        </w:rPr>
        <w:t xml:space="preserve">7.1 Gestion de impagados</w:t>
      </w:r>
    </w:p>
    <w:p>
      <w:pPr>
        <w:pStyle w:val="ListParagraph"/>
        <w:numPr>
          <w:ilvl w:val="0"/>
          <w:numId w:val="2"/>
        </w:numPr>
        <w:spacing w:before="60" w:after="60"/>
      </w:pPr>
      <w:r>
        <w:rPr>
          <w:rFonts w:ascii="Arial" w:cs="Arial" w:eastAsia="Arial" w:hAnsi="Arial"/>
          <w:b w:val="false"/>
          <w:bCs w:val="false"/>
          <w:color w:val="1A1A1A"/>
          <w:sz w:val="22"/>
          <w:szCs w:val="22"/>
        </w:rPr>
        <w:t xml:space="preserve">Cuando te asignen un impagado recibiras un email automatico con enlace directo al caso en Salesforce.</w:t>
      </w:r>
    </w:p>
    <w:p>
      <w:pPr>
        <w:pStyle w:val="ListParagraph"/>
        <w:numPr>
          <w:ilvl w:val="0"/>
          <w:numId w:val="2"/>
        </w:numPr>
        <w:spacing w:before="60" w:after="60"/>
      </w:pPr>
      <w:r>
        <w:rPr>
          <w:rFonts w:ascii="Arial" w:cs="Arial" w:eastAsia="Arial" w:hAnsi="Arial"/>
          <w:b w:val="false"/>
          <w:bCs w:val="false"/>
          <w:color w:val="1A1A1A"/>
          <w:sz w:val="22"/>
          <w:szCs w:val="22"/>
        </w:rPr>
        <w:t xml:space="preserve">Revisar primero los Comentarios del caso — otro equipo puede haber intentado gestionarlo ya.</w:t>
      </w:r>
    </w:p>
    <w:p>
      <w:pPr>
        <w:pStyle w:val="ListParagraph"/>
        <w:numPr>
          <w:ilvl w:val="0"/>
          <w:numId w:val="2"/>
        </w:numPr>
        <w:spacing w:before="60" w:after="60"/>
      </w:pPr>
      <w:r>
        <w:rPr>
          <w:rFonts w:ascii="Arial" w:cs="Arial" w:eastAsia="Arial" w:hAnsi="Arial"/>
          <w:b w:val="false"/>
          <w:bCs w:val="false"/>
          <w:color w:val="1A1A1A"/>
          <w:sz w:val="22"/>
          <w:szCs w:val="22"/>
        </w:rPr>
        <w:t xml:space="preserve">Actualizar SIEMPRE los campos Estado (En progreso / Cerrado) y Motivo — sin esto Central no recibe notificacion y el caso queda bloqueado.</w:t>
      </w:r>
    </w:p>
    <w:p>
      <w:pPr>
        <w:spacing w:before="100"/>
      </w:pPr>
    </w:p>
    <w:p>
      <w:pPr>
        <w:pStyle w:val="Heading2"/>
        <w:spacing w:before="240" w:after="120"/>
      </w:pPr>
      <w:r>
        <w:rPr>
          <w:rFonts w:ascii="Arial" w:cs="Arial" w:eastAsia="Arial" w:hAnsi="Arial"/>
          <w:b/>
          <w:bCs/>
          <w:color w:val="333333"/>
          <w:sz w:val="28"/>
          <w:szCs w:val="28"/>
        </w:rPr>
        <w:t xml:space="preserve">7.2 Documentos en casos</w:t>
      </w:r>
    </w:p>
    <w:p>
      <w:pPr>
        <w:pStyle w:val="ListParagraph"/>
        <w:numPr>
          <w:ilvl w:val="0"/>
          <w:numId w:val="2"/>
        </w:numPr>
        <w:spacing w:before="60" w:after="60"/>
      </w:pPr>
      <w:r>
        <w:rPr>
          <w:rFonts w:ascii="Arial" w:cs="Arial" w:eastAsia="Arial" w:hAnsi="Arial"/>
          <w:b w:val="false"/>
          <w:bCs w:val="false"/>
          <w:color w:val="1A1A1A"/>
          <w:sz w:val="22"/>
          <w:szCs w:val="22"/>
        </w:rPr>
        <w:t xml:space="preserve">NUNCA subir documentos cuando el caso ya esta cerrado — no llegan a Central.</w:t>
      </w:r>
    </w:p>
    <w:p>
      <w:pPr>
        <w:pStyle w:val="ListParagraph"/>
        <w:numPr>
          <w:ilvl w:val="0"/>
          <w:numId w:val="2"/>
        </w:numPr>
        <w:spacing w:before="60" w:after="60"/>
      </w:pPr>
      <w:r>
        <w:rPr>
          <w:rFonts w:ascii="Arial" w:cs="Arial" w:eastAsia="Arial" w:hAnsi="Arial"/>
          <w:b w:val="false"/>
          <w:bCs w:val="false"/>
          <w:color w:val="1A1A1A"/>
          <w:sz w:val="22"/>
          <w:szCs w:val="22"/>
        </w:rPr>
        <w:t xml:space="preserve">NUNCA archivar documentos manualmente — quedan bloqueados permanentemente y nadie puede acceder.</w:t>
      </w:r>
    </w:p>
    <w:p>
      <w:pPr>
        <w:spacing w:before="100"/>
      </w:pPr>
    </w:p>
    <w:p>
      <w:pPr>
        <w:pStyle w:val="Heading2"/>
        <w:spacing w:before="240" w:after="120"/>
      </w:pPr>
      <w:r>
        <w:rPr>
          <w:rFonts w:ascii="Arial" w:cs="Arial" w:eastAsia="Arial" w:hAnsi="Arial"/>
          <w:b/>
          <w:bCs/>
          <w:color w:val="333333"/>
          <w:sz w:val="28"/>
          <w:szCs w:val="28"/>
        </w:rPr>
        <w:t xml:space="preserve">7.3 Posicion Global</w:t>
      </w:r>
    </w:p>
    <w:p>
      <w:pPr>
        <w:pStyle w:val="ListParagraph"/>
        <w:numPr>
          <w:ilvl w:val="0"/>
          <w:numId w:val="2"/>
        </w:numPr>
        <w:spacing w:before="60" w:after="60"/>
      </w:pPr>
      <w:r>
        <w:rPr>
          <w:rFonts w:ascii="Arial" w:cs="Arial" w:eastAsia="Arial" w:hAnsi="Arial"/>
          <w:b w:val="false"/>
          <w:bCs w:val="false"/>
          <w:color w:val="1A1A1A"/>
          <w:sz w:val="22"/>
          <w:szCs w:val="22"/>
        </w:rPr>
        <w:t xml:space="preserve">Cliente en tu cartera: accede directamente desde su ficha con el boton de Posicion Global.</w:t>
      </w:r>
    </w:p>
    <w:p>
      <w:pPr>
        <w:pStyle w:val="ListParagraph"/>
        <w:numPr>
          <w:ilvl w:val="0"/>
          <w:numId w:val="2"/>
        </w:numPr>
        <w:spacing w:before="60" w:after="60"/>
      </w:pPr>
      <w:r>
        <w:rPr>
          <w:rFonts w:ascii="Arial" w:cs="Arial" w:eastAsia="Arial" w:hAnsi="Arial"/>
          <w:b w:val="false"/>
          <w:bCs w:val="false"/>
          <w:color w:val="1A1A1A"/>
          <w:sz w:val="22"/>
          <w:szCs w:val="22"/>
        </w:rPr>
        <w:t xml:space="preserve">Cliente sin asignacion (cartera huerfana): abre caso desde Casos &gt; Interna/Sin cliente con nombre y DNI. El CAR responde en max. 48h.</w:t>
      </w:r>
    </w:p>
    <w:p>
      <w:pPr>
        <w:pStyle w:val="ListParagraph"/>
        <w:numPr>
          <w:ilvl w:val="0"/>
          <w:numId w:val="2"/>
        </w:numPr>
        <w:spacing w:before="60" w:after="60"/>
      </w:pPr>
      <w:r>
        <w:rPr>
          <w:rFonts w:ascii="Arial" w:cs="Arial" w:eastAsia="Arial" w:hAnsi="Arial"/>
          <w:b w:val="false"/>
          <w:bCs w:val="false"/>
          <w:color w:val="1A1A1A"/>
          <w:sz w:val="22"/>
          <w:szCs w:val="22"/>
        </w:rPr>
        <w:t xml:space="preserve">Cliente en oficina fisicamente que no pertenece a tu cartera: llama al CAR en ese momento.</w:t>
      </w:r>
    </w:p>
    <w:p>
      <w:pPr>
        <w:spacing w:before="200"/>
      </w:pPr>
    </w:p>
    <w:p>
      <w:pPr>
        <w:pStyle w:val="Heading1"/>
        <w:spacing w:before="360" w:after="160"/>
      </w:pPr>
      <w:r>
        <w:rPr>
          <w:rFonts w:ascii="Arial" w:cs="Arial" w:eastAsia="Arial" w:hAnsi="Arial"/>
          <w:b/>
          <w:bCs/>
          <w:color w:val="E8450A"/>
          <w:sz w:val="36"/>
          <w:szCs w:val="36"/>
        </w:rPr>
        <w:t xml:space="preserve">8. INCENTIVOS DE SALUD — TU MOTIVACION EXTRA</w:t>
      </w:r>
    </w:p>
    <w:p>
      <w:pPr>
        <w:spacing w:before="80" w:after="80"/>
      </w:pPr>
      <w:r>
        <w:rPr>
          <w:rFonts w:ascii="Arial" w:cs="Arial" w:eastAsia="Arial" w:hAnsi="Arial"/>
          <w:color w:val="1A1A1A"/>
          <w:sz w:val="22"/>
          <w:szCs w:val="22"/>
        </w:rPr>
        <w:t xml:space="preserve">Tienes tres niveles de incentivos activos simultaneamente para Salud:</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DDDDDD" w:sz="1"/>
              <w:left w:val="single" w:color="DDDDDD" w:sz="1"/>
              <w:bottom w:val="single" w:color="DDDDDD" w:sz="1"/>
              <w:right w:val="single" w:color="DDDDDD" w:sz="1"/>
            </w:tcBorders>
            <w:shd w:fill="E8450A" w:val="clear"/>
            <w:tcMar>
              <w:top w:type="dxa" w:w="120"/>
              <w:left w:type="dxa" w:w="200"/>
              <w:bottom w:type="dxa" w:w="60"/>
              <w:right w:type="dxa" w:w="200"/>
            </w:tcMar>
          </w:tcPr>
          <w:p>
            <w:r>
              <w:rPr>
                <w:rFonts w:ascii="Arial" w:cs="Arial" w:eastAsia="Arial" w:hAnsi="Arial"/>
                <w:b/>
                <w:bCs/>
                <w:color w:val="FFFFFF"/>
                <w:sz w:val="24"/>
                <w:szCs w:val="24"/>
              </w:rPr>
              <w:t xml:space="preserve">Tarjeta Amazon — Primera poliza de Salud (hasta 30 abril)</w:t>
            </w:r>
          </w:p>
        </w:tc>
      </w:tr>
      <w:tr>
        <w:tc>
          <w:tcPr>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75 euros si tu primera poliza es Salud Completo sin copago o con copago (no autonomo)</w:t>
            </w:r>
          </w:p>
        </w:tc>
      </w:tr>
      <w:tr>
        <w:tc>
          <w:tcPr>
            <w:tcBorders>
              <w:top w:val="single" w:color="DDDDDD" w:sz="1"/>
              <w:left w:val="single" w:color="DDDDDD" w:sz="1"/>
              <w:bottom w:val="single" w:color="DDDDDD" w:sz="1"/>
              <w:right w:val="single" w:color="DDDDDD" w:sz="1"/>
            </w:tcBorders>
            <w:shd w:fill="F5F5F5" w:val="clear"/>
            <w:tcMar>
              <w:top w:type="dxa" w:w="80"/>
              <w:left w:type="dxa" w:w="200"/>
              <w:bottom w:type="dxa" w:w="80"/>
              <w:right w:type="dxa" w:w="200"/>
            </w:tcMar>
          </w:tcPr>
          <w:p>
            <w:r>
              <w:rPr>
                <w:rFonts w:ascii="Arial" w:cs="Arial" w:eastAsia="Arial" w:hAnsi="Arial"/>
                <w:color w:val="1A1A1A"/>
                <w:sz w:val="20"/>
                <w:szCs w:val="20"/>
              </w:rPr>
              <w:t xml:space="preserve">40 euros si tu primera poliza es Salud Completo Copago Autonomo</w:t>
            </w:r>
          </w:p>
        </w:tc>
      </w:tr>
      <w:tr>
        <w:tc>
          <w:tcPr>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Solo para agentes exclusivos — primera venta de vida</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DDDDDD" w:sz="1"/>
              <w:left w:val="single" w:color="DDDDDD" w:sz="1"/>
              <w:bottom w:val="single" w:color="DDDDDD" w:sz="1"/>
              <w:right w:val="single" w:color="DDDDDD" w:sz="1"/>
            </w:tcBorders>
            <w:shd w:fill="1A4A8A" w:val="clear"/>
            <w:tcMar>
              <w:top w:type="dxa" w:w="120"/>
              <w:left w:type="dxa" w:w="200"/>
              <w:bottom w:type="dxa" w:w="60"/>
              <w:right w:type="dxa" w:w="200"/>
            </w:tcMar>
          </w:tcPr>
          <w:p>
            <w:r>
              <w:rPr>
                <w:rFonts w:ascii="Arial" w:cs="Arial" w:eastAsia="Arial" w:hAnsi="Arial"/>
                <w:b/>
                <w:bCs/>
                <w:color w:val="FFFFFF"/>
                <w:sz w:val="24"/>
                <w:szCs w:val="24"/>
              </w:rPr>
              <w:t xml:space="preserve">Viaje a Oporto — Junio 2026 (hasta 30 abril)</w:t>
            </w:r>
          </w:p>
        </w:tc>
      </w:tr>
      <w:tr>
        <w:tc>
          <w:tcPr>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9 plazas para los mejores Dinamizadores y Delegados</w:t>
            </w:r>
          </w:p>
        </w:tc>
      </w:tr>
      <w:tr>
        <w:tc>
          <w:tcPr>
            <w:tcBorders>
              <w:top w:val="single" w:color="DDDDDD" w:sz="1"/>
              <w:left w:val="single" w:color="DDDDDD" w:sz="1"/>
              <w:bottom w:val="single" w:color="DDDDDD" w:sz="1"/>
              <w:right w:val="single" w:color="DDDDDD" w:sz="1"/>
            </w:tcBorders>
            <w:shd w:fill="F5F5F5" w:val="clear"/>
            <w:tcMar>
              <w:top w:type="dxa" w:w="80"/>
              <w:left w:type="dxa" w:w="200"/>
              <w:bottom w:type="dxa" w:w="80"/>
              <w:right w:type="dxa" w:w="200"/>
            </w:tcMar>
          </w:tcPr>
          <w:p>
            <w:r>
              <w:rPr>
                <w:rFonts w:ascii="Arial" w:cs="Arial" w:eastAsia="Arial" w:hAnsi="Arial"/>
                <w:color w:val="1A1A1A"/>
                <w:sz w:val="20"/>
                <w:szCs w:val="20"/>
              </w:rPr>
              <w:t xml:space="preserve">9 plazas para el mejor agente de cada estructura ganadora</w:t>
            </w:r>
          </w:p>
        </w:tc>
      </w:tr>
      <w:tr>
        <w:tc>
          <w:tcPr>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Periodo de campana: 1 febrero al 30 abril 2026</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26"/>
      </w:tblGrid>
      <w:tr>
        <w:tc>
          <w:tcPr>
            <w:tcBorders>
              <w:top w:val="single" w:color="DDDDDD" w:sz="1"/>
              <w:left w:val="single" w:color="DDDDDD" w:sz="1"/>
              <w:bottom w:val="single" w:color="DDDDDD" w:sz="1"/>
              <w:right w:val="single" w:color="DDDDDD" w:sz="1"/>
            </w:tcBorders>
            <w:shd w:fill="1A7A3C" w:val="clear"/>
            <w:tcMar>
              <w:top w:type="dxa" w:w="120"/>
              <w:left w:type="dxa" w:w="200"/>
              <w:bottom w:type="dxa" w:w="60"/>
              <w:right w:type="dxa" w:w="200"/>
            </w:tcMar>
          </w:tcPr>
          <w:p>
            <w:r>
              <w:rPr>
                <w:rFonts w:ascii="Arial" w:cs="Arial" w:eastAsia="Arial" w:hAnsi="Arial"/>
                <w:b/>
                <w:bCs/>
                <w:color w:val="FFFFFF"/>
                <w:sz w:val="24"/>
                <w:szCs w:val="24"/>
              </w:rPr>
              <w:t xml:space="preserve">Viaje Incentivo 2027 — Todo el ano</w:t>
            </w:r>
          </w:p>
        </w:tc>
      </w:tr>
      <w:tr>
        <w:tc>
          <w:tcPr>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1 plaza para el agente con mayor produccion sumando Salud + Contigo Senior</w:t>
            </w:r>
          </w:p>
        </w:tc>
      </w:tr>
      <w:tr>
        <w:tc>
          <w:tcPr>
            <w:tcBorders>
              <w:top w:val="single" w:color="DDDDDD" w:sz="1"/>
              <w:left w:val="single" w:color="DDDDDD" w:sz="1"/>
              <w:bottom w:val="single" w:color="DDDDDD" w:sz="1"/>
              <w:right w:val="single" w:color="DDDDDD" w:sz="1"/>
            </w:tcBorders>
            <w:shd w:fill="F5F5F5" w:val="clear"/>
            <w:tcMar>
              <w:top w:type="dxa" w:w="80"/>
              <w:left w:type="dxa" w:w="200"/>
              <w:bottom w:type="dxa" w:w="80"/>
              <w:right w:type="dxa" w:w="200"/>
            </w:tcMar>
          </w:tcPr>
          <w:p>
            <w:r>
              <w:rPr>
                <w:rFonts w:ascii="Arial" w:cs="Arial" w:eastAsia="Arial" w:hAnsi="Arial"/>
                <w:color w:val="1A1A1A"/>
                <w:sz w:val="20"/>
                <w:szCs w:val="20"/>
              </w:rPr>
              <w:t xml:space="preserve">Se contabilizan todas las polizas emitidas en 2026</w:t>
            </w:r>
          </w:p>
        </w:tc>
      </w:tr>
      <w:tr>
        <w:tc>
          <w:tcPr>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1A1A1A"/>
                <w:sz w:val="20"/>
                <w:szCs w:val="20"/>
              </w:rPr>
              <w:t xml:space="preserve">Sí entran polizas emitidas en 2026 con efecto 2027</w:t>
            </w:r>
          </w:p>
        </w:tc>
      </w:tr>
    </w:tbl>
    <w:p>
      <w:pPr>
        <w:spacing w:before="200"/>
      </w:pPr>
      <w:r>
        <w:br w:type="page"/>
      </w:r>
    </w:p>
    <w:p>
      <w:pPr>
        <w:pStyle w:val="Heading1"/>
        <w:spacing w:before="360" w:after="160"/>
      </w:pPr>
      <w:r>
        <w:rPr>
          <w:rFonts w:ascii="Arial" w:cs="Arial" w:eastAsia="Arial" w:hAnsi="Arial"/>
          <w:b/>
          <w:bCs/>
          <w:color w:val="E8450A"/>
          <w:sz w:val="36"/>
          <w:szCs w:val="36"/>
        </w:rPr>
        <w:t xml:space="preserve">9. RESUMEN EJECUTIVO — LO QUE TIENES QUE HACER HOY</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26"/>
        <w:gridCol w:w="3300"/>
      </w:tblGrid>
      <w:tr>
        <w:tc>
          <w:tcPr>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Accion</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Fecha limite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1</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Identificar top 20 contactos candidatos a Ahorro+Salud</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bCs/>
                <w:color w:val="1A7A3C"/>
                <w:sz w:val="22"/>
                <w:szCs w:val="22"/>
              </w:rPr>
              <w:t xml:space="preserve">HOY</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2</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Comenzar llamadas con mensaje campana 400 euros</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30-31 marzo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3</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Realizar AdN + cotizar SIALP y Salud en misma sesion</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01-02 abril</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4</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Cerrar expedientes antes del limite de la campana</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bCs/>
                <w:color w:val="C0392B"/>
                <w:sz w:val="19"/>
                <w:szCs w:val="19"/>
              </w:rPr>
              <w:t xml:space="preserve">6 abril — CRITICO</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5</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Activar proceso referenciadores con el nuevo sistema digital</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Esta semana</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6</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Estudiar argumentario Salud — 10 objeciones memorizadas</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Antes de cada visita</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7</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Localizar simulador cobro planes de pensiones en Portal Comercial</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Esta semana</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40"/>
            </w:tcMar>
          </w:tcPr>
          <w:p>
            <w:pPr>
              <w:jc w:val="center"/>
            </w:pPr>
            <w:r>
              <w:rPr>
                <w:rFonts w:ascii="Arial" w:cs="Arial" w:eastAsia="Arial" w:hAnsi="Arial"/>
                <w:b w:val="false"/>
                <w:bCs w:val="false"/>
                <w:color w:val="1A1A1A"/>
                <w:sz w:val="19"/>
                <w:szCs w:val="19"/>
              </w:rPr>
              <w:t xml:space="preserve">8</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Actualizar Instagram con guia nueva disponible</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left"/>
            </w:pPr>
            <w:r>
              <w:rPr>
                <w:rFonts w:ascii="Arial" w:cs="Arial" w:eastAsia="Arial" w:hAnsi="Arial"/>
                <w:b w:val="false"/>
                <w:bCs w:val="false"/>
                <w:color w:val="1A1A1A"/>
                <w:sz w:val="19"/>
                <w:szCs w:val="19"/>
              </w:rPr>
              <w:t xml:space="preserve">Cuando tengas 10 min</w:t>
            </w:r>
          </w:p>
        </w:tc>
      </w:tr>
    </w:tbl>
    <w:p>
      <w:pPr>
        <w:spacing w:before="300" w:after="0"/>
        <w:jc w:val="center"/>
      </w:pPr>
      <w:r>
        <w:rPr>
          <w:rFonts w:ascii="Arial" w:cs="Arial" w:eastAsia="Arial" w:hAnsi="Arial"/>
          <w:color w:val="AAAAAA"/>
          <w:sz w:val="18"/>
          <w:szCs w:val="18"/>
        </w:rPr>
        <w:t xml:space="preserve">NATIONALE-NEDERLANDEN  ·  Punto Naranja Xativa y Comarca La Costera  ·  Marzo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450A" w:sz="4" w:space="1"/>
      </w:pBdr>
      <w:spacing w:before="120"/>
    </w:pPr>
    <w:r>
      <w:rPr>
        <w:rFonts w:ascii="Arial" w:cs="Arial" w:eastAsia="Arial" w:hAnsi="Arial"/>
        <w:color w:val="888888"/>
        <w:sz w:val="16"/>
        <w:szCs w:val="16"/>
      </w:rPr>
      <w:t xml:space="preserve">Uso interno  |  Fede Fontanals  |  Documento generado: 29/03/2026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50A" w:sz="4" w:space="1"/>
      </w:pBdr>
      <w:spacing w:after="120"/>
    </w:pPr>
    <w:r>
      <w:rPr>
        <w:rFonts w:ascii="Arial" w:cs="Arial" w:eastAsia="Arial" w:hAnsi="Arial"/>
        <w:color w:val="888888"/>
        <w:sz w:val="16"/>
        <w:szCs w:val="16"/>
      </w:rPr>
      <w:t xml:space="preserve">NATIONALE-NEDERLANDEN  |  ESTRATEGIA COMERCIAL  |  Punto Naranja Xativa y Comarca La Costera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E8450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2026-03-29T19:04:26.329Z</dcterms:created>
  <dcterms:modified xsi:type="dcterms:W3CDTF">2026-03-29T19:04:26.330Z</dcterms:modified>
</cp:coreProperties>
</file>

<file path=docProps/custom.xml><?xml version="1.0" encoding="utf-8"?>
<Properties xmlns="http://schemas.openxmlformats.org/officeDocument/2006/custom-properties" xmlns:vt="http://schemas.openxmlformats.org/officeDocument/2006/docPropsVTypes"/>
</file>