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Este informe presenta una </w:t>
      </w:r>
      <w:r w:rsidDel="00000000" w:rsidR="00000000" w:rsidRPr="00000000">
        <w:rPr>
          <w:b w:val="1"/>
          <w:bCs w:val="1"/>
          <w:rtl w:val="0"/>
        </w:rPr>
        <w:t xml:space="preserve">Deconstrucción Técnica</w:t>
      </w:r>
      <w:r w:rsidDel="00000000" w:rsidR="00000000" w:rsidRPr="00000000">
        <w:rPr>
          <w:rtl w:val="0"/>
        </w:rPr>
        <w:t xml:space="preserve"> del producto </w:t>
      </w:r>
      <w:r w:rsidDel="00000000" w:rsidR="00000000" w:rsidRPr="00000000">
        <w:rPr>
          <w:b w:val="1"/>
          <w:bCs w:val="1"/>
          <w:rtl w:val="0"/>
        </w:rPr>
        <w:t xml:space="preserve">Contigo Futuro</w:t>
      </w:r>
      <w:r w:rsidDel="00000000" w:rsidR="00000000" w:rsidRPr="00000000">
        <w:rPr>
          <w:rtl w:val="0"/>
        </w:rPr>
        <w:t xml:space="preserve"> (denominado comercialmente como </w:t>
      </w:r>
      <w:r w:rsidDel="00000000" w:rsidR="00000000" w:rsidRPr="00000000">
        <w:rPr>
          <w:b w:val="1"/>
          <w:bCs w:val="1"/>
          <w:rtl w:val="0"/>
        </w:rPr>
        <w:t xml:space="preserve">Inversión Creciente Flexible</w:t>
      </w:r>
      <w:r w:rsidDel="00000000" w:rsidR="00000000" w:rsidRPr="00000000">
        <w:rPr>
          <w:rtl w:val="0"/>
        </w:rPr>
        <w:t xml:space="preserve">) de Nationale-Nederlanden, basándose en la documentación contractual y técnica proporcionada.</w:t>
      </w:r>
    </w:p>
    <w:p w:rsidR="00000000" w:rsidDel="00000000" w:rsidP="00000000" w:rsidRDefault="00000000" w:rsidRPr="00000000" w14:paraId="00000002">
      <w:pPr>
        <w:pStyle w:val="Heading3"/>
        <w:rPr/>
      </w:pPr>
      <w:bookmarkStart w:colFirst="0" w:colLast="0" w:name="_r8zpkmevyu2y" w:id="0"/>
      <w:bookmarkEnd w:id="0"/>
      <w:r w:rsidDel="00000000" w:rsidR="00000000" w:rsidRPr="00000000">
        <w:rPr>
          <w:rtl w:val="0"/>
        </w:rPr>
        <w:t xml:space="preserve">1. ARQUITECTURA DEL PRODUCTO (Technical Specs)</w:t>
      </w:r>
    </w:p>
    <w:p w:rsidR="00000000" w:rsidDel="00000000" w:rsidP="00000000" w:rsidRDefault="00000000" w:rsidRPr="00000000" w14:paraId="00000003">
      <w:pPr>
        <w:numPr>
          <w:ilvl w:val="0"/>
          <w:numId w:val="1"/>
        </w:numPr>
        <w:ind w:left="720" w:hanging="360"/>
        <w:rPr>
          <w:u w:val="none"/>
        </w:rPr>
      </w:pPr>
      <w:r w:rsidDel="00000000" w:rsidR="00000000" w:rsidRPr="00000000">
        <w:rPr>
          <w:b w:val="1"/>
          <w:bCs w:val="1"/>
          <w:rtl w:val="0"/>
        </w:rPr>
        <w:t xml:space="preserve">Naturaleza Jurídica:</w:t>
      </w:r>
      <w:r w:rsidDel="00000000" w:rsidR="00000000" w:rsidRPr="00000000">
        <w:rPr>
          <w:rtl w:val="0"/>
        </w:rPr>
        <w:t xml:space="preserve"> Se define contractualmente como un </w:t>
      </w:r>
      <w:r w:rsidDel="00000000" w:rsidR="00000000" w:rsidRPr="00000000">
        <w:rPr>
          <w:b w:val="1"/>
          <w:bCs w:val="1"/>
          <w:rtl w:val="0"/>
        </w:rPr>
        <w:t xml:space="preserve">Seguro de Vida-Ahorro bajo la modalidad de Unit Linked</w:t>
      </w:r>
      <w:r w:rsidDel="00000000" w:rsidR="00000000" w:rsidRPr="00000000">
        <w:rPr>
          <w:rtl w:val="0"/>
        </w:rPr>
        <w:t xml:space="preserve"> 1, 2. El tomador asume el riesgo de la inversión, aunque el producto incorpora una estructura de garantía parcial proporcionada por la aseguradora 2, 3. No debe confundirse con un SIALP, el cual es un producto distinto en el catálogo de la entidad 4.</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Motor de Inversión:</w:t>
      </w:r>
      <w:r w:rsidDel="00000000" w:rsidR="00000000" w:rsidRPr="00000000">
        <w:rPr>
          <w:rtl w:val="0"/>
        </w:rPr>
        <w:t xml:space="preserve"> Utiliza una técnica de gestión dinámica que distribuye el capital entre </w:t>
      </w:r>
      <w:r w:rsidDel="00000000" w:rsidR="00000000" w:rsidRPr="00000000">
        <w:rPr>
          <w:b w:val="1"/>
          <w:bCs w:val="1"/>
          <w:rtl w:val="0"/>
        </w:rPr>
        <w:t xml:space="preserve">Activos en fondos de inversión</w:t>
      </w:r>
      <w:r w:rsidDel="00000000" w:rsidR="00000000" w:rsidRPr="00000000">
        <w:rPr>
          <w:rtl w:val="0"/>
        </w:rPr>
        <w:t xml:space="preserve"> (enfocados 100% en renta variable para buscar rentabilidad) y </w:t>
      </w:r>
      <w:r w:rsidDel="00000000" w:rsidR="00000000" w:rsidRPr="00000000">
        <w:rPr>
          <w:b w:val="1"/>
          <w:bCs w:val="1"/>
          <w:rtl w:val="0"/>
        </w:rPr>
        <w:t xml:space="preserve">Activos de protección</w:t>
      </w:r>
      <w:r w:rsidDel="00000000" w:rsidR="00000000" w:rsidRPr="00000000">
        <w:rPr>
          <w:rtl w:val="0"/>
        </w:rPr>
        <w:t xml:space="preserve"> (activos líquidos de bajo riesgo para asegurar la garantía) 5-7. Los fondos subyacentes son de </w:t>
      </w:r>
      <w:r w:rsidDel="00000000" w:rsidR="00000000" w:rsidRPr="00000000">
        <w:rPr>
          <w:b w:val="1"/>
          <w:bCs w:val="1"/>
          <w:rtl w:val="0"/>
        </w:rPr>
        <w:t xml:space="preserve">gestión institucional y replicación de índices</w:t>
      </w:r>
      <w:r w:rsidDel="00000000" w:rsidR="00000000" w:rsidRPr="00000000">
        <w:rPr>
          <w:rtl w:val="0"/>
        </w:rPr>
        <w:t xml:space="preserve"> con criterios ASG (Ambientales, Sociales y de Gobernanza), destacando carteras de </w:t>
      </w:r>
      <w:r w:rsidDel="00000000" w:rsidR="00000000" w:rsidRPr="00000000">
        <w:rPr>
          <w:b w:val="1"/>
          <w:bCs w:val="1"/>
          <w:rtl w:val="0"/>
        </w:rPr>
        <w:t xml:space="preserve">Amundi</w:t>
      </w:r>
      <w:r w:rsidDel="00000000" w:rsidR="00000000" w:rsidRPr="00000000">
        <w:rPr>
          <w:rtl w:val="0"/>
        </w:rPr>
        <w:t xml:space="preserve"> (MSCI Europe SRI, MSCI EMU ESG, S&amp;P 500 Screened) y </w:t>
      </w:r>
      <w:r w:rsidDel="00000000" w:rsidR="00000000" w:rsidRPr="00000000">
        <w:rPr>
          <w:b w:val="1"/>
          <w:bCs w:val="1"/>
          <w:rtl w:val="0"/>
        </w:rPr>
        <w:t xml:space="preserve">Goldman Sachs</w:t>
      </w:r>
      <w:r w:rsidDel="00000000" w:rsidR="00000000" w:rsidRPr="00000000">
        <w:rPr>
          <w:rtl w:val="0"/>
        </w:rPr>
        <w:t xml:space="preserve"> (North America Enhanced Index) 8-11.</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Mecanismo de Garantía:</w:t>
      </w:r>
      <w:r w:rsidDel="00000000" w:rsidR="00000000" w:rsidRPr="00000000">
        <w:rPr>
          <w:rtl w:val="0"/>
        </w:rPr>
        <w:t xml:space="preserve"> El sistema es de tipo </w:t>
      </w:r>
      <w:r w:rsidDel="00000000" w:rsidR="00000000" w:rsidRPr="00000000">
        <w:rPr>
          <w:b w:val="1"/>
          <w:bCs w:val="1"/>
          <w:rtl w:val="0"/>
        </w:rPr>
        <w:t xml:space="preserve">"Lock-in" o consolidación diaria</w:t>
      </w:r>
      <w:r w:rsidDel="00000000" w:rsidR="00000000" w:rsidRPr="00000000">
        <w:rPr>
          <w:rtl w:val="0"/>
        </w:rPr>
        <w:t xml:space="preserve"> 12, 13. La aseguradora garantiza el mayor valor entre el </w:t>
      </w:r>
      <w:r w:rsidDel="00000000" w:rsidR="00000000" w:rsidRPr="00000000">
        <w:rPr>
          <w:b w:val="1"/>
          <w:bCs w:val="1"/>
          <w:rtl w:val="0"/>
        </w:rPr>
        <w:t xml:space="preserve">80% del valor más alto alcanzado</w:t>
      </w:r>
      <w:r w:rsidDel="00000000" w:rsidR="00000000" w:rsidRPr="00000000">
        <w:rPr>
          <w:rtl w:val="0"/>
        </w:rPr>
        <w:t xml:space="preserve"> por la inversión (máximo histórico consolidado) o el </w:t>
      </w:r>
      <w:r w:rsidDel="00000000" w:rsidR="00000000" w:rsidRPr="00000000">
        <w:rPr>
          <w:b w:val="1"/>
          <w:bCs w:val="1"/>
          <w:rtl w:val="0"/>
        </w:rPr>
        <w:t xml:space="preserve">80% de las primas invertidas</w:t>
      </w:r>
      <w:r w:rsidDel="00000000" w:rsidR="00000000" w:rsidRPr="00000000">
        <w:rPr>
          <w:rtl w:val="0"/>
        </w:rPr>
        <w:t xml:space="preserve"> 14-16. Esta garantía tiene un </w:t>
      </w:r>
      <w:r w:rsidDel="00000000" w:rsidR="00000000" w:rsidRPr="00000000">
        <w:rPr>
          <w:b w:val="1"/>
          <w:bCs w:val="1"/>
          <w:rtl w:val="0"/>
        </w:rPr>
        <w:t xml:space="preserve">coste explícito del 1,00% anual</w:t>
      </w:r>
      <w:r w:rsidDel="00000000" w:rsidR="00000000" w:rsidRPr="00000000">
        <w:rPr>
          <w:rtl w:val="0"/>
        </w:rPr>
        <w:t xml:space="preserve"> 17, 18. En escenarios de caídas drásticas, la Compañía puede trasladar el 100% de la inversión a activos de protección (remunerados al €STR+0,085%), bloqueando la exposición a renta variable para salvaguardar el suelo garantizado 19, 20.</w:t>
      </w:r>
    </w:p>
    <w:p w:rsidR="00000000" w:rsidDel="00000000" w:rsidP="00000000" w:rsidRDefault="00000000" w:rsidRPr="00000000" w14:paraId="00000006">
      <w:pPr>
        <w:pStyle w:val="Heading3"/>
        <w:rPr/>
      </w:pPr>
      <w:bookmarkStart w:colFirst="0" w:colLast="0" w:name="_lavljyncfckv" w:id="1"/>
      <w:bookmarkEnd w:id="1"/>
      <w:r w:rsidDel="00000000" w:rsidR="00000000" w:rsidRPr="00000000">
        <w:rPr>
          <w:rtl w:val="0"/>
        </w:rPr>
        <w:t xml:space="preserve">2. ESTRUCTURA DE COSTES (The "Black Box" Analysis)</w:t>
      </w:r>
    </w:p>
    <w:p w:rsidR="00000000" w:rsidDel="00000000" w:rsidP="00000000" w:rsidRDefault="00000000" w:rsidRPr="00000000" w14:paraId="00000007">
      <w:pPr>
        <w:rPr/>
      </w:pPr>
      <w:r w:rsidDel="00000000" w:rsidR="00000000" w:rsidRPr="00000000">
        <w:rPr>
          <w:rtl w:val="0"/>
        </w:rPr>
        <w:t xml:space="preserve">El impacto total de los costes es significativo y se desglosa en varias capas que detraen rentabilidad directamente del valor de la unidad de cuenta.</w:t>
      </w:r>
    </w:p>
    <w:p w:rsidR="00000000" w:rsidDel="00000000" w:rsidP="00000000" w:rsidRDefault="00000000" w:rsidRPr="00000000" w14:paraId="00000008">
      <w:pPr>
        <w:rPr/>
      </w:pPr>
      <w:r w:rsidDel="00000000" w:rsidR="00000000" w:rsidRPr="00000000">
        <w:rPr>
          <w:rtl w:val="0"/>
        </w:rPr>
        <w:t xml:space="preserve">Capa de Coste,Porcentaje / Concepto,Referencia</w:t>
      </w:r>
    </w:p>
    <w:p w:rsidR="00000000" w:rsidDel="00000000" w:rsidP="00000000" w:rsidRDefault="00000000" w:rsidRPr="00000000" w14:paraId="00000009">
      <w:pPr>
        <w:rPr/>
      </w:pPr>
      <w:r w:rsidDel="00000000" w:rsidR="00000000" w:rsidRPr="00000000">
        <w:rPr>
          <w:rtl w:val="0"/>
        </w:rPr>
        <w:t xml:space="preserve">Gestión y Administración,"1,50% anual sobre el valor de la inversión","17, 18, 21"</w:t>
      </w:r>
    </w:p>
    <w:p w:rsidR="00000000" w:rsidDel="00000000" w:rsidP="00000000" w:rsidRDefault="00000000" w:rsidRPr="00000000" w14:paraId="0000000A">
      <w:pPr>
        <w:rPr/>
      </w:pPr>
      <w:r w:rsidDel="00000000" w:rsidR="00000000" w:rsidRPr="00000000">
        <w:rPr>
          <w:rtl w:val="0"/>
        </w:rPr>
        <w:t xml:space="preserve">Garantía y Fallecimiento Básico,"1,00% anual (0,95% garantía + 0,05% seguro vida)","17, 18"</w:t>
      </w:r>
    </w:p>
    <w:p w:rsidR="00000000" w:rsidDel="00000000" w:rsidP="00000000" w:rsidRDefault="00000000" w:rsidRPr="00000000" w14:paraId="0000000B">
      <w:pPr>
        <w:rPr/>
      </w:pPr>
      <w:r w:rsidDel="00000000" w:rsidR="00000000" w:rsidRPr="00000000">
        <w:rPr>
          <w:rtl w:val="0"/>
        </w:rPr>
        <w:t xml:space="preserve">Prima de Riesgo IPA (Invalidez),"4,00% de la prima periódica mínima","17, 22, 23"</w:t>
      </w:r>
    </w:p>
    <w:p w:rsidR="00000000" w:rsidDel="00000000" w:rsidP="00000000" w:rsidRDefault="00000000" w:rsidRPr="00000000" w14:paraId="0000000C">
      <w:pPr>
        <w:rPr/>
      </w:pPr>
      <w:r w:rsidDel="00000000" w:rsidR="00000000" w:rsidRPr="00000000">
        <w:rPr>
          <w:rtl w:val="0"/>
        </w:rPr>
        <w:t xml:space="preserve">Fondos Subyacentes (TER),"0,029% anual (estimación de costes de operación)","24, 25"</w:t>
      </w:r>
    </w:p>
    <w:p w:rsidR="00000000" w:rsidDel="00000000" w:rsidP="00000000" w:rsidRDefault="00000000" w:rsidRPr="00000000" w14:paraId="0000000D">
      <w:pPr>
        <w:rPr/>
      </w:pPr>
      <w:r w:rsidDel="00000000" w:rsidR="00000000" w:rsidRPr="00000000">
        <w:rPr>
          <w:rtl w:val="0"/>
        </w:rPr>
        <w:t xml:space="preserve">Comisión de Gestión Fondos,"Entre 0,15% y 0,21% (según el fondo elegido)",26-28</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Impacto en la Rentabilidad (RIY):</w:t>
      </w:r>
      <w:r w:rsidDel="00000000" w:rsidR="00000000" w:rsidRPr="00000000">
        <w:rPr>
          <w:rtl w:val="0"/>
        </w:rPr>
        <w:t xml:space="preserve"> Según el Documento de Datos Fundamentales (KID), para un periodo de 10 años, los costes totales reducen la rentabilidad anual prevista del </w:t>
      </w:r>
      <w:r w:rsidDel="00000000" w:rsidR="00000000" w:rsidRPr="00000000">
        <w:rPr>
          <w:b w:val="1"/>
          <w:bCs w:val="1"/>
          <w:rtl w:val="0"/>
        </w:rPr>
        <w:t xml:space="preserve">6,7% (bruto) al 4,2% (neto)</w:t>
      </w:r>
      <w:r w:rsidDel="00000000" w:rsidR="00000000" w:rsidRPr="00000000">
        <w:rPr>
          <w:rtl w:val="0"/>
        </w:rPr>
        <w:t xml:space="preserve">, lo que supone un </w:t>
      </w:r>
      <w:r w:rsidDel="00000000" w:rsidR="00000000" w:rsidRPr="00000000">
        <w:rPr>
          <w:b w:val="1"/>
          <w:bCs w:val="1"/>
          <w:rtl w:val="0"/>
        </w:rPr>
        <w:t xml:space="preserve">RIY de 2,5% anual</w:t>
      </w:r>
      <w:r w:rsidDel="00000000" w:rsidR="00000000" w:rsidRPr="00000000">
        <w:rPr>
          <w:rtl w:val="0"/>
        </w:rPr>
        <w:t xml:space="preserve"> 25, 29.</w:t>
      </w:r>
    </w:p>
    <w:p w:rsidR="00000000" w:rsidDel="00000000" w:rsidP="00000000" w:rsidRDefault="00000000" w:rsidRPr="00000000" w14:paraId="0000000F">
      <w:pPr>
        <w:pStyle w:val="Heading3"/>
        <w:rPr/>
      </w:pPr>
      <w:bookmarkStart w:colFirst="0" w:colLast="0" w:name="_2n0ewsnra0vg" w:id="2"/>
      <w:bookmarkEnd w:id="2"/>
      <w:r w:rsidDel="00000000" w:rsidR="00000000" w:rsidRPr="00000000">
        <w:rPr>
          <w:rtl w:val="0"/>
        </w:rPr>
        <w:t xml:space="preserve">3. LIQUIDEZ Y PENALIZACIONES (Stress Test)</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Ventanas de Salida:</w:t>
      </w:r>
      <w:r w:rsidDel="00000000" w:rsidR="00000000" w:rsidRPr="00000000">
        <w:rPr>
          <w:rtl w:val="0"/>
        </w:rPr>
        <w:t xml:space="preserve"> El producto es totalmente </w:t>
      </w:r>
      <w:r w:rsidDel="00000000" w:rsidR="00000000" w:rsidRPr="00000000">
        <w:rPr>
          <w:b w:val="1"/>
          <w:bCs w:val="1"/>
          <w:rtl w:val="0"/>
        </w:rPr>
        <w:t xml:space="preserve">ilíquido durante la primera anualidad</w:t>
      </w:r>
      <w:r w:rsidDel="00000000" w:rsidR="00000000" w:rsidRPr="00000000">
        <w:rPr>
          <w:rtl w:val="0"/>
        </w:rPr>
        <w:t xml:space="preserve"> (no se admite rescate) 14, 30, 31. A partir del segundo año, se permite el rescate total o parcial 31.</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Valores de Rescate:</w:t>
      </w:r>
      <w:r w:rsidDel="00000000" w:rsidR="00000000" w:rsidRPr="00000000">
        <w:rPr>
          <w:rtl w:val="0"/>
        </w:rPr>
        <w:t xml:space="preserve"> En caso de salida anticipada, se aplican las siguientes penalizaciones sobre el valor de la inversión rescatado 31, 32:</w:t>
      </w:r>
    </w:p>
    <w:p w:rsidR="00000000" w:rsidDel="00000000" w:rsidP="00000000" w:rsidRDefault="00000000" w:rsidRPr="00000000" w14:paraId="00000012">
      <w:pPr>
        <w:rPr/>
      </w:pPr>
      <w:r w:rsidDel="00000000" w:rsidR="00000000" w:rsidRPr="00000000">
        <w:rPr>
          <w:rtl w:val="0"/>
        </w:rPr>
        <w:t xml:space="preserve">Momento del Rescate,Penalización Aplicada</w:t>
      </w:r>
    </w:p>
    <w:p w:rsidR="00000000" w:rsidDel="00000000" w:rsidP="00000000" w:rsidRDefault="00000000" w:rsidRPr="00000000" w14:paraId="00000013">
      <w:pPr>
        <w:rPr/>
      </w:pPr>
      <w:r w:rsidDel="00000000" w:rsidR="00000000" w:rsidRPr="00000000">
        <w:rPr>
          <w:rtl w:val="0"/>
        </w:rPr>
        <w:t xml:space="preserve">Año 1,No permitido</w:t>
      </w:r>
    </w:p>
    <w:p w:rsidR="00000000" w:rsidDel="00000000" w:rsidP="00000000" w:rsidRDefault="00000000" w:rsidRPr="00000000" w14:paraId="00000014">
      <w:pPr>
        <w:rPr/>
      </w:pPr>
      <w:r w:rsidDel="00000000" w:rsidR="00000000" w:rsidRPr="00000000">
        <w:rPr>
          <w:rtl w:val="0"/>
        </w:rPr>
        <w:t xml:space="preserve">Año 2,2%</w:t>
      </w:r>
    </w:p>
    <w:p w:rsidR="00000000" w:rsidDel="00000000" w:rsidP="00000000" w:rsidRDefault="00000000" w:rsidRPr="00000000" w14:paraId="00000015">
      <w:pPr>
        <w:rPr/>
      </w:pPr>
      <w:r w:rsidDel="00000000" w:rsidR="00000000" w:rsidRPr="00000000">
        <w:rPr>
          <w:rtl w:val="0"/>
        </w:rPr>
        <w:t xml:space="preserve">Año 3,2%</w:t>
      </w:r>
    </w:p>
    <w:p w:rsidR="00000000" w:rsidDel="00000000" w:rsidP="00000000" w:rsidRDefault="00000000" w:rsidRPr="00000000" w14:paraId="00000016">
      <w:pPr>
        <w:rPr/>
      </w:pPr>
      <w:r w:rsidDel="00000000" w:rsidR="00000000" w:rsidRPr="00000000">
        <w:rPr>
          <w:rtl w:val="0"/>
        </w:rPr>
        <w:t xml:space="preserve">Año 4,1%</w:t>
      </w:r>
    </w:p>
    <w:p w:rsidR="00000000" w:rsidDel="00000000" w:rsidP="00000000" w:rsidRDefault="00000000" w:rsidRPr="00000000" w14:paraId="00000017">
      <w:pPr>
        <w:rPr/>
      </w:pPr>
      <w:r w:rsidDel="00000000" w:rsidR="00000000" w:rsidRPr="00000000">
        <w:rPr>
          <w:rtl w:val="0"/>
        </w:rPr>
        <w:t xml:space="preserve">Año 5 en adelante,0%</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Riesgo de Capital:</w:t>
      </w:r>
      <w:r w:rsidDel="00000000" w:rsidR="00000000" w:rsidRPr="00000000">
        <w:rPr>
          <w:rtl w:val="0"/>
        </w:rPr>
        <w:t xml:space="preserve"> Existe un riesgo real de pérdida de hasta el </w:t>
      </w:r>
      <w:r w:rsidDel="00000000" w:rsidR="00000000" w:rsidRPr="00000000">
        <w:rPr>
          <w:b w:val="1"/>
          <w:bCs w:val="1"/>
          <w:rtl w:val="0"/>
        </w:rPr>
        <w:t xml:space="preserve">20% de las primas pagadas</w:t>
      </w:r>
      <w:r w:rsidDel="00000000" w:rsidR="00000000" w:rsidRPr="00000000">
        <w:rPr>
          <w:rtl w:val="0"/>
        </w:rPr>
        <w:t xml:space="preserve"> (debido a que la garantía es solo del 80%), especialmente si el rescate se produce tras una caída de mercado o antes de consolidar beneficios 12, 33.</w:t>
      </w:r>
    </w:p>
    <w:p w:rsidR="00000000" w:rsidDel="00000000" w:rsidP="00000000" w:rsidRDefault="00000000" w:rsidRPr="00000000" w14:paraId="00000019">
      <w:pPr>
        <w:pStyle w:val="Heading3"/>
        <w:rPr/>
      </w:pPr>
      <w:bookmarkStart w:colFirst="0" w:colLast="0" w:name="_ht1cvmckzldq" w:id="3"/>
      <w:bookmarkEnd w:id="3"/>
      <w:r w:rsidDel="00000000" w:rsidR="00000000" w:rsidRPr="00000000">
        <w:rPr>
          <w:rtl w:val="0"/>
        </w:rPr>
        <w:t xml:space="preserve">4. ANÁLISIS DE RIESGOS (SWOT Técnico)</w:t>
      </w:r>
    </w:p>
    <w:p w:rsidR="00000000" w:rsidDel="00000000" w:rsidP="00000000" w:rsidRDefault="00000000" w:rsidRPr="00000000" w14:paraId="0000001A">
      <w:pPr>
        <w:numPr>
          <w:ilvl w:val="0"/>
          <w:numId w:val="5"/>
        </w:numPr>
        <w:ind w:left="720" w:hanging="360"/>
        <w:rPr>
          <w:u w:val="none"/>
        </w:rPr>
      </w:pPr>
      <w:r w:rsidDel="00000000" w:rsidR="00000000" w:rsidRPr="00000000">
        <w:rPr>
          <w:b w:val="1"/>
          <w:bCs w:val="1"/>
          <w:rtl w:val="0"/>
        </w:rPr>
        <w:t xml:space="preserve">Indicador de Riesgo (SRI):</w:t>
      </w:r>
      <w:r w:rsidDel="00000000" w:rsidR="00000000" w:rsidRPr="00000000">
        <w:rPr>
          <w:rtl w:val="0"/>
        </w:rPr>
        <w:t xml:space="preserve"> Clasificado como </w:t>
      </w:r>
      <w:r w:rsidDel="00000000" w:rsidR="00000000" w:rsidRPr="00000000">
        <w:rPr>
          <w:b w:val="1"/>
          <w:bCs w:val="1"/>
          <w:rtl w:val="0"/>
        </w:rPr>
        <w:t xml:space="preserve">3 sobre 7</w:t>
      </w:r>
      <w:r w:rsidDel="00000000" w:rsidR="00000000" w:rsidRPr="00000000">
        <w:rPr>
          <w:rtl w:val="0"/>
        </w:rPr>
        <w:t xml:space="preserve"> 17. Esta puntuación "medio-bajo" se justifica por la existencia de la garantía del 80% que actúa como cortafuegos, a pesar de que la inversión subyacente sea 100% renta variable 30.</w:t>
      </w:r>
    </w:p>
    <w:p w:rsidR="00000000" w:rsidDel="00000000" w:rsidP="00000000" w:rsidRDefault="00000000" w:rsidRPr="00000000" w14:paraId="0000001B">
      <w:pPr>
        <w:numPr>
          <w:ilvl w:val="0"/>
          <w:numId w:val="5"/>
        </w:numPr>
        <w:ind w:left="720" w:hanging="360"/>
        <w:rPr>
          <w:b w:val="1"/>
          <w:bCs w:val="1"/>
        </w:rPr>
      </w:pPr>
      <w:r w:rsidDel="00000000" w:rsidR="00000000" w:rsidRPr="00000000">
        <w:rPr>
          <w:b w:val="1"/>
          <w:bCs w:val="1"/>
          <w:rtl w:val="0"/>
        </w:rPr>
        <w:t xml:space="preserve">Escenarios de Rendimiento (a 10 años):</w:t>
      </w:r>
    </w:p>
    <w:p w:rsidR="00000000" w:rsidDel="00000000" w:rsidP="00000000" w:rsidRDefault="00000000" w:rsidRPr="00000000" w14:paraId="0000001C">
      <w:pPr>
        <w:numPr>
          <w:ilvl w:val="0"/>
          <w:numId w:val="5"/>
        </w:numPr>
        <w:ind w:left="720" w:hanging="360"/>
        <w:rPr>
          <w:u w:val="none"/>
        </w:rPr>
      </w:pPr>
      <w:r w:rsidDel="00000000" w:rsidR="00000000" w:rsidRPr="00000000">
        <w:rPr>
          <w:b w:val="1"/>
          <w:bCs w:val="1"/>
          <w:rtl w:val="0"/>
        </w:rPr>
        <w:t xml:space="preserve">Tensión:</w:t>
      </w:r>
      <w:r w:rsidDel="00000000" w:rsidR="00000000" w:rsidRPr="00000000">
        <w:rPr>
          <w:rtl w:val="0"/>
        </w:rPr>
        <w:t xml:space="preserve"> </w:t>
      </w:r>
      <w:r w:rsidDel="00000000" w:rsidR="00000000" w:rsidRPr="00000000">
        <w:rPr>
          <w:b w:val="1"/>
          <w:bCs w:val="1"/>
          <w:rtl w:val="0"/>
        </w:rPr>
        <w:t xml:space="preserve">-4% anual</w:t>
      </w:r>
      <w:r w:rsidDel="00000000" w:rsidR="00000000" w:rsidRPr="00000000">
        <w:rPr>
          <w:rtl w:val="0"/>
        </w:rPr>
        <w:t xml:space="preserve"> (Finaliza en el suelo garantizado de ~€7.680) 34.</w:t>
      </w:r>
    </w:p>
    <w:p w:rsidR="00000000" w:rsidDel="00000000" w:rsidP="00000000" w:rsidRDefault="00000000" w:rsidRPr="00000000" w14:paraId="0000001D">
      <w:pPr>
        <w:numPr>
          <w:ilvl w:val="0"/>
          <w:numId w:val="5"/>
        </w:numPr>
        <w:ind w:left="720" w:hanging="360"/>
        <w:rPr>
          <w:u w:val="none"/>
        </w:rPr>
      </w:pPr>
      <w:r w:rsidDel="00000000" w:rsidR="00000000" w:rsidRPr="00000000">
        <w:rPr>
          <w:b w:val="1"/>
          <w:bCs w:val="1"/>
          <w:rtl w:val="0"/>
        </w:rPr>
        <w:t xml:space="preserve">Desfavorable:</w:t>
      </w:r>
      <w:r w:rsidDel="00000000" w:rsidR="00000000" w:rsidRPr="00000000">
        <w:rPr>
          <w:rtl w:val="0"/>
        </w:rPr>
        <w:t xml:space="preserve"> </w:t>
      </w:r>
      <w:r w:rsidDel="00000000" w:rsidR="00000000" w:rsidRPr="00000000">
        <w:rPr>
          <w:b w:val="1"/>
          <w:bCs w:val="1"/>
          <w:rtl w:val="0"/>
        </w:rPr>
        <w:t xml:space="preserve">-4% anual</w:t>
      </w:r>
      <w:r w:rsidDel="00000000" w:rsidR="00000000" w:rsidRPr="00000000">
        <w:rPr>
          <w:rtl w:val="0"/>
        </w:rPr>
        <w:t xml:space="preserve"> (€7.840) 34.</w:t>
      </w:r>
    </w:p>
    <w:p w:rsidR="00000000" w:rsidDel="00000000" w:rsidP="00000000" w:rsidRDefault="00000000" w:rsidRPr="00000000" w14:paraId="0000001E">
      <w:pPr>
        <w:numPr>
          <w:ilvl w:val="0"/>
          <w:numId w:val="5"/>
        </w:numPr>
        <w:ind w:left="720" w:hanging="360"/>
        <w:rPr>
          <w:u w:val="none"/>
        </w:rPr>
      </w:pPr>
      <w:r w:rsidDel="00000000" w:rsidR="00000000" w:rsidRPr="00000000">
        <w:rPr>
          <w:b w:val="1"/>
          <w:bCs w:val="1"/>
          <w:rtl w:val="0"/>
        </w:rPr>
        <w:t xml:space="preserve">Moderado:</w:t>
      </w:r>
      <w:r w:rsidDel="00000000" w:rsidR="00000000" w:rsidRPr="00000000">
        <w:rPr>
          <w:rtl w:val="0"/>
        </w:rPr>
        <w:t xml:space="preserve"> </w:t>
      </w:r>
      <w:r w:rsidDel="00000000" w:rsidR="00000000" w:rsidRPr="00000000">
        <w:rPr>
          <w:b w:val="1"/>
          <w:bCs w:val="1"/>
          <w:rtl w:val="0"/>
        </w:rPr>
        <w:t xml:space="preserve">+4% anual</w:t>
      </w:r>
      <w:r w:rsidDel="00000000" w:rsidR="00000000" w:rsidRPr="00000000">
        <w:rPr>
          <w:rtl w:val="0"/>
        </w:rPr>
        <w:t xml:space="preserve"> (€12.100) 35.</w:t>
      </w:r>
    </w:p>
    <w:p w:rsidR="00000000" w:rsidDel="00000000" w:rsidP="00000000" w:rsidRDefault="00000000" w:rsidRPr="00000000" w14:paraId="0000001F">
      <w:pPr>
        <w:numPr>
          <w:ilvl w:val="0"/>
          <w:numId w:val="5"/>
        </w:numPr>
        <w:ind w:left="720" w:hanging="360"/>
        <w:rPr>
          <w:u w:val="none"/>
        </w:rPr>
      </w:pPr>
      <w:r w:rsidDel="00000000" w:rsidR="00000000" w:rsidRPr="00000000">
        <w:rPr>
          <w:b w:val="1"/>
          <w:bCs w:val="1"/>
          <w:rtl w:val="0"/>
        </w:rPr>
        <w:t xml:space="preserve">Favorable:</w:t>
      </w:r>
      <w:r w:rsidDel="00000000" w:rsidR="00000000" w:rsidRPr="00000000">
        <w:rPr>
          <w:rtl w:val="0"/>
        </w:rPr>
        <w:t xml:space="preserve"> </w:t>
      </w:r>
      <w:r w:rsidDel="00000000" w:rsidR="00000000" w:rsidRPr="00000000">
        <w:rPr>
          <w:b w:val="1"/>
          <w:bCs w:val="1"/>
          <w:rtl w:val="0"/>
        </w:rPr>
        <w:t xml:space="preserve">+12% anual</w:t>
      </w:r>
      <w:r w:rsidDel="00000000" w:rsidR="00000000" w:rsidRPr="00000000">
        <w:rPr>
          <w:rtl w:val="0"/>
        </w:rPr>
        <w:t xml:space="preserve"> (€18.980) 35.</w:t>
      </w:r>
    </w:p>
    <w:p w:rsidR="00000000" w:rsidDel="00000000" w:rsidP="00000000" w:rsidRDefault="00000000" w:rsidRPr="00000000" w14:paraId="00000020">
      <w:pPr>
        <w:pStyle w:val="Heading3"/>
        <w:rPr/>
      </w:pPr>
      <w:bookmarkStart w:colFirst="0" w:colLast="0" w:name="_do5fey74przo" w:id="4"/>
      <w:bookmarkEnd w:id="4"/>
      <w:r w:rsidDel="00000000" w:rsidR="00000000" w:rsidRPr="00000000">
        <w:rPr>
          <w:rtl w:val="0"/>
        </w:rPr>
        <w:t xml:space="preserve">5. CONCLUSIÓN DEL INGENIERO</w:t>
      </w:r>
    </w:p>
    <w:p w:rsidR="00000000" w:rsidDel="00000000" w:rsidP="00000000" w:rsidRDefault="00000000" w:rsidRPr="00000000" w14:paraId="00000021">
      <w:pPr>
        <w:rPr/>
      </w:pPr>
      <w:r w:rsidDel="00000000" w:rsidR="00000000" w:rsidRPr="00000000">
        <w:rPr>
          <w:b w:val="1"/>
          <w:bCs w:val="1"/>
          <w:rtl w:val="0"/>
        </w:rPr>
        <w:t xml:space="preserve">Veredicto:</w:t>
      </w:r>
      <w:r w:rsidDel="00000000" w:rsidR="00000000" w:rsidRPr="00000000">
        <w:rPr>
          <w:rtl w:val="0"/>
        </w:rPr>
        <w:t xml:space="preserve"> El producto </w:t>
      </w:r>
      <w:r w:rsidDel="00000000" w:rsidR="00000000" w:rsidRPr="00000000">
        <w:rPr>
          <w:b w:val="1"/>
          <w:bCs w:val="1"/>
          <w:rtl w:val="0"/>
        </w:rPr>
        <w:t xml:space="preserve">Contigo Futuro</w:t>
      </w:r>
      <w:r w:rsidDel="00000000" w:rsidR="00000000" w:rsidRPr="00000000">
        <w:rPr>
          <w:rtl w:val="0"/>
        </w:rPr>
        <w:t xml:space="preserve"> está matemáticamente diseñado para un perfil de </w:t>
      </w:r>
      <w:r w:rsidDel="00000000" w:rsidR="00000000" w:rsidRPr="00000000">
        <w:rPr>
          <w:b w:val="1"/>
          <w:bCs w:val="1"/>
          <w:rtl w:val="0"/>
        </w:rPr>
        <w:t xml:space="preserve">inversor minorista con aversión al riesgo extremo pero que desea exposición a renta variable</w:t>
      </w:r>
      <w:r w:rsidDel="00000000" w:rsidR="00000000" w:rsidRPr="00000000">
        <w:rPr>
          <w:rtl w:val="0"/>
        </w:rPr>
        <w:t xml:space="preserve">, con un horizonte temporal </w:t>
      </w:r>
      <w:r w:rsidDel="00000000" w:rsidR="00000000" w:rsidRPr="00000000">
        <w:rPr>
          <w:b w:val="1"/>
          <w:bCs w:val="1"/>
          <w:rtl w:val="0"/>
        </w:rPr>
        <w:t xml:space="preserve">estrictamente superior a 10 años</w:t>
      </w:r>
      <w:r w:rsidDel="00000000" w:rsidR="00000000" w:rsidRPr="00000000">
        <w:rPr>
          <w:rtl w:val="0"/>
        </w:rPr>
        <w:t xml:space="preserve"> 12, 36.</w:t>
      </w:r>
    </w:p>
    <w:p w:rsidR="00000000" w:rsidDel="00000000" w:rsidP="00000000" w:rsidRDefault="00000000" w:rsidRPr="00000000" w14:paraId="00000022">
      <w:pPr>
        <w:rPr/>
      </w:pPr>
      <w:r w:rsidDel="00000000" w:rsidR="00000000" w:rsidRPr="00000000">
        <w:rPr>
          <w:rtl w:val="0"/>
        </w:rPr>
        <w:t xml:space="preserve">Es </w:t>
      </w:r>
      <w:r w:rsidDel="00000000" w:rsidR="00000000" w:rsidRPr="00000000">
        <w:rPr>
          <w:b w:val="1"/>
          <w:bCs w:val="1"/>
          <w:rtl w:val="0"/>
        </w:rPr>
        <w:t xml:space="preserve">técnicamente ineficiente para el corto plazo</w:t>
      </w:r>
      <w:r w:rsidDel="00000000" w:rsidR="00000000" w:rsidRPr="00000000">
        <w:rPr>
          <w:rtl w:val="0"/>
        </w:rPr>
        <w:t xml:space="preserve"> debido a la prohibición de rescate en el año 1 y las penalizaciones hasta el año 5 14, 31. La estructura de costes (RIY del 2,5%) es elevada en comparación con una inversión directa en fondos indexados; sin embargo, el inversor paga ese "sobrecoste" por el </w:t>
      </w:r>
      <w:r w:rsidDel="00000000" w:rsidR="00000000" w:rsidRPr="00000000">
        <w:rPr>
          <w:b w:val="1"/>
          <w:bCs w:val="1"/>
          <w:rtl w:val="0"/>
        </w:rPr>
        <w:t xml:space="preserve">mecanismo de consolidación de beneficios (lock-in)</w:t>
      </w:r>
      <w:r w:rsidDel="00000000" w:rsidR="00000000" w:rsidRPr="00000000">
        <w:rPr>
          <w:rtl w:val="0"/>
        </w:rPr>
        <w:t xml:space="preserve"> y la garantía del 80%, que no existen en productos de inversión pura 13, 37. El mayor riesgo técnico identificado es el </w:t>
      </w:r>
      <w:r w:rsidDel="00000000" w:rsidR="00000000" w:rsidRPr="00000000">
        <w:rPr>
          <w:b w:val="1"/>
          <w:bCs w:val="1"/>
          <w:rtl w:val="0"/>
        </w:rPr>
        <w:t xml:space="preserve">bloqueo de la inversión en activos de protección</w:t>
      </w:r>
      <w:r w:rsidDel="00000000" w:rsidR="00000000" w:rsidRPr="00000000">
        <w:rPr>
          <w:rtl w:val="0"/>
        </w:rPr>
        <w:t xml:space="preserve"> tras una caída (cash-lock), lo que podría impedir la recuperación si el cliente deja de aportar primas en el momento de rebote del mercado 38, 39.</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