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B00FC" w:rsidRDefault="00000000">
      <w:r>
        <w:t xml:space="preserve">Como </w:t>
      </w:r>
      <w:r>
        <w:rPr>
          <w:b/>
          <w:bCs/>
        </w:rPr>
        <w:t>Ingeniero de Producto Financiero Senior</w:t>
      </w:r>
      <w:r>
        <w:t xml:space="preserve">, he analizado la documentación proporcionada. Es imperativo puntualizar que, si bien su consulta solicita un análisis del "Plan Garantizado de Inversión" (PGI), las fuentes técnicas suministradas (Condiciones Generales, Folleto y Presentación) corresponden íntegramente a la </w:t>
      </w:r>
      <w:proofErr w:type="spellStart"/>
      <w:r>
        <w:rPr>
          <w:b/>
          <w:bCs/>
        </w:rPr>
        <w:t>FlexiCuenta</w:t>
      </w:r>
      <w:proofErr w:type="spellEnd"/>
      <w:r>
        <w:rPr>
          <w:b/>
          <w:bCs/>
        </w:rPr>
        <w:t xml:space="preserve"> Asegurada</w:t>
      </w:r>
      <w:r>
        <w:t xml:space="preserve"> 1-3. El PGI solo aparece mencionado como un producto de "Inversión internacional" en el índice web, pero sus especificaciones técnicas (como matrices de 5/10/20 años o capitales al 110%) </w:t>
      </w:r>
      <w:r>
        <w:rPr>
          <w:b/>
          <w:bCs/>
        </w:rPr>
        <w:t>no figuran en estas fuentes</w:t>
      </w:r>
      <w:r>
        <w:t xml:space="preserve"> 4, 5.</w:t>
      </w:r>
    </w:p>
    <w:p w14:paraId="00000002" w14:textId="77777777" w:rsidR="004B00FC" w:rsidRDefault="00000000">
      <w:r>
        <w:t xml:space="preserve">Por tanto, el siguiente análisis técnico se basa en la </w:t>
      </w:r>
      <w:proofErr w:type="spellStart"/>
      <w:r>
        <w:rPr>
          <w:b/>
          <w:bCs/>
        </w:rPr>
        <w:t>FlexiCuenta</w:t>
      </w:r>
      <w:proofErr w:type="spellEnd"/>
      <w:r>
        <w:rPr>
          <w:b/>
          <w:bCs/>
        </w:rPr>
        <w:t xml:space="preserve"> Asegurada</w:t>
      </w:r>
      <w:r>
        <w:t>, que es el vehículo de ahorro garantizado detallado en sus fuentes:</w:t>
      </w:r>
    </w:p>
    <w:p w14:paraId="00000003" w14:textId="77777777" w:rsidR="004B00FC" w:rsidRDefault="00000000">
      <w:pPr>
        <w:pStyle w:val="Ttulo3"/>
      </w:pPr>
      <w:bookmarkStart w:id="0" w:name="_xlerrn8mtmyn" w:colFirst="0" w:colLast="0"/>
      <w:bookmarkEnd w:id="0"/>
      <w:r>
        <w:t>1. Arquitectura del Producto y Garantías</w:t>
      </w:r>
    </w:p>
    <w:p w14:paraId="00000004" w14:textId="77777777" w:rsidR="004B00FC" w:rsidRDefault="00000000">
      <w:pPr>
        <w:numPr>
          <w:ilvl w:val="0"/>
          <w:numId w:val="4"/>
        </w:numPr>
      </w:pPr>
      <w:r>
        <w:rPr>
          <w:b/>
          <w:bCs/>
        </w:rPr>
        <w:t>Matriz de Garantía vs. Plazo:</w:t>
      </w:r>
      <w:r>
        <w:t xml:space="preserve"> A diferencia de los productos estructurados con vencimiento fijo, este producto se define por una </w:t>
      </w:r>
      <w:r>
        <w:rPr>
          <w:b/>
          <w:bCs/>
        </w:rPr>
        <w:t>"flexibilidad radical" sin plazos de vencimiento</w:t>
      </w:r>
      <w:r>
        <w:t xml:space="preserve"> 2, 6-8. Por consiguiente, no existe una tabla de permanencia; la compañía </w:t>
      </w:r>
      <w:r>
        <w:rPr>
          <w:b/>
          <w:bCs/>
        </w:rPr>
        <w:t>garantiza el 100% de las primas pagadas</w:t>
      </w:r>
      <w:r>
        <w:t xml:space="preserve"> más los intereses generados desde el primer momento 9-12.</w:t>
      </w:r>
    </w:p>
    <w:p w14:paraId="00000005" w14:textId="77777777" w:rsidR="004B00FC" w:rsidRDefault="00000000">
      <w:pPr>
        <w:numPr>
          <w:ilvl w:val="0"/>
          <w:numId w:val="4"/>
        </w:numPr>
      </w:pPr>
      <w:r>
        <w:rPr>
          <w:b/>
          <w:bCs/>
        </w:rPr>
        <w:t>Mecanismo de Liquidación:</w:t>
      </w:r>
      <w:r>
        <w:t xml:space="preserve"> No utiliza una fórmula de "el mayor entre valor de mercado o garantía" típica de los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garantizados. El valor de liquidación (valor de rescate) se basa en la </w:t>
      </w:r>
      <w:r>
        <w:rPr>
          <w:b/>
          <w:bCs/>
        </w:rPr>
        <w:t>Provisión Matemática</w:t>
      </w:r>
      <w:r>
        <w:t xml:space="preserve">, que es el ahorro acumulado capitalizado al tipo de interés técnico vigente hasta el día anterior a la solicitud 8, 13-15. </w:t>
      </w:r>
      <w:r>
        <w:rPr>
          <w:b/>
          <w:bCs/>
        </w:rPr>
        <w:t>No se mencionan límites (</w:t>
      </w:r>
      <w:proofErr w:type="spellStart"/>
      <w:r>
        <w:rPr>
          <w:b/>
          <w:bCs/>
        </w:rPr>
        <w:t>caps</w:t>
      </w:r>
      <w:proofErr w:type="spellEnd"/>
      <w:r>
        <w:rPr>
          <w:b/>
          <w:bCs/>
        </w:rPr>
        <w:t>)</w:t>
      </w:r>
      <w:r>
        <w:t xml:space="preserve"> a la revalorización, ya que el interés se ajusta dinámicamente a las condiciones del mercado 3, 9, 10, 16.</w:t>
      </w:r>
    </w:p>
    <w:p w14:paraId="00000006" w14:textId="77777777" w:rsidR="004B00FC" w:rsidRDefault="00000000">
      <w:pPr>
        <w:numPr>
          <w:ilvl w:val="0"/>
          <w:numId w:val="4"/>
        </w:numPr>
      </w:pPr>
      <w:r>
        <w:rPr>
          <w:b/>
          <w:bCs/>
        </w:rPr>
        <w:t>Naturaleza Jurídica:</w:t>
      </w:r>
      <w:r>
        <w:t xml:space="preserve"> Se estructura formalmente como un </w:t>
      </w:r>
      <w:r>
        <w:rPr>
          <w:b/>
          <w:bCs/>
        </w:rPr>
        <w:t>Seguro de Vida-Ahorro</w:t>
      </w:r>
      <w:r>
        <w:t xml:space="preserve"> 2, 7, 17. Esto otorga ventajas legales específicas:</w:t>
      </w:r>
    </w:p>
    <w:p w14:paraId="00000007" w14:textId="77777777" w:rsidR="004B00FC" w:rsidRDefault="00000000">
      <w:pPr>
        <w:numPr>
          <w:ilvl w:val="0"/>
          <w:numId w:val="4"/>
        </w:numPr>
      </w:pPr>
      <w:r>
        <w:rPr>
          <w:b/>
          <w:bCs/>
        </w:rPr>
        <w:t>Inembargabilidad:</w:t>
      </w:r>
      <w:r>
        <w:t xml:space="preserve"> La compañía paga las prestaciones a los beneficiarios incluso frente a reclamaciones de acreedores del tomador 18.</w:t>
      </w:r>
    </w:p>
    <w:p w14:paraId="00000008" w14:textId="77777777" w:rsidR="004B00FC" w:rsidRDefault="00000000">
      <w:pPr>
        <w:numPr>
          <w:ilvl w:val="0"/>
          <w:numId w:val="4"/>
        </w:numPr>
      </w:pPr>
      <w:r>
        <w:rPr>
          <w:b/>
          <w:bCs/>
        </w:rPr>
        <w:t>Designación de Beneficiarios:</w:t>
      </w:r>
      <w:r>
        <w:t xml:space="preserve"> El tomador tiene plena libertad para designar beneficiarios, existiendo un orden de prelación en su defecto (Cónyuge, Hijos, Padres, etc.) 15, 18, 19.</w:t>
      </w:r>
    </w:p>
    <w:p w14:paraId="00000009" w14:textId="77777777" w:rsidR="004B00FC" w:rsidRDefault="00000000">
      <w:pPr>
        <w:pStyle w:val="Ttulo3"/>
      </w:pPr>
      <w:bookmarkStart w:id="1" w:name="_ieygkw2sqbcc" w:colFirst="0" w:colLast="0"/>
      <w:bookmarkEnd w:id="1"/>
      <w:r>
        <w:t>2. Estrategia de Inversión y Activos (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Assets</w:t>
      </w:r>
      <w:proofErr w:type="spellEnd"/>
      <w:r>
        <w:t>)</w:t>
      </w:r>
    </w:p>
    <w:p w14:paraId="0000000A" w14:textId="77777777" w:rsidR="004B00FC" w:rsidRDefault="00000000">
      <w:pPr>
        <w:numPr>
          <w:ilvl w:val="0"/>
          <w:numId w:val="2"/>
        </w:numPr>
      </w:pPr>
      <w:proofErr w:type="spellStart"/>
      <w:r>
        <w:rPr>
          <w:b/>
          <w:bCs/>
        </w:rPr>
        <w:t>Asset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Allocation</w:t>
      </w:r>
      <w:proofErr w:type="spellEnd"/>
      <w:r>
        <w:rPr>
          <w:b/>
          <w:bCs/>
        </w:rPr>
        <w:t>:</w:t>
      </w:r>
      <w:r>
        <w:t xml:space="preserve"> El folleto y las condiciones </w:t>
      </w:r>
      <w:r>
        <w:rPr>
          <w:b/>
          <w:bCs/>
        </w:rPr>
        <w:t>no detallan límites específicos</w:t>
      </w:r>
      <w:r>
        <w:t xml:space="preserve"> de inversión en Renta Fija o Variable. El producto opera bajo un modelo de </w:t>
      </w:r>
      <w:r>
        <w:rPr>
          <w:b/>
          <w:bCs/>
        </w:rPr>
        <w:t>interés técnico garantizado</w:t>
      </w:r>
      <w:r>
        <w:t xml:space="preserve"> por la aseguradora, donde </w:t>
      </w:r>
      <w:proofErr w:type="spellStart"/>
      <w:r>
        <w:t>Nationale-Nederlanden</w:t>
      </w:r>
      <w:proofErr w:type="spellEnd"/>
      <w:r>
        <w:t xml:space="preserve"> Vida asume el riesgo de inversión para ofrecer un tipo que se "ajusta constantemente a las mejores condiciones del mercado" 3, 9, 10, 16.</w:t>
      </w:r>
    </w:p>
    <w:p w14:paraId="0000000B" w14:textId="77777777" w:rsidR="004B00FC" w:rsidRDefault="00000000">
      <w:pPr>
        <w:numPr>
          <w:ilvl w:val="0"/>
          <w:numId w:val="2"/>
        </w:numPr>
      </w:pPr>
      <w:r>
        <w:rPr>
          <w:b/>
          <w:bCs/>
        </w:rPr>
        <w:t>Unidades de Cuenta:</w:t>
      </w:r>
      <w:r>
        <w:t xml:space="preserve"> No se trata de un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de gestión libre; </w:t>
      </w:r>
      <w:r>
        <w:rPr>
          <w:b/>
          <w:bCs/>
        </w:rPr>
        <w:t>no hay elección de fondos</w:t>
      </w:r>
      <w:r>
        <w:t xml:space="preserve"> por parte del cliente ni switches 2, 6, 9. La gestión es totalmente delegada en la aseguradora para garantizar la integridad del capital.</w:t>
      </w:r>
    </w:p>
    <w:p w14:paraId="0000000C" w14:textId="77777777" w:rsidR="004B00FC" w:rsidRDefault="00000000">
      <w:pPr>
        <w:numPr>
          <w:ilvl w:val="0"/>
          <w:numId w:val="2"/>
        </w:numPr>
      </w:pPr>
      <w:r>
        <w:rPr>
          <w:b/>
          <w:bCs/>
        </w:rPr>
        <w:t>Criterios ASG:</w:t>
      </w:r>
      <w:r>
        <w:t xml:space="preserve"> La documentación proporcionada </w:t>
      </w:r>
      <w:r>
        <w:rPr>
          <w:b/>
          <w:bCs/>
        </w:rPr>
        <w:t>no hace mención explícita</w:t>
      </w:r>
      <w:r>
        <w:t xml:space="preserve"> a la integración de criterios Ambientales, Sociales y de Gobernanza (ASG) en la estrategia de inversión de este producto específico.</w:t>
      </w:r>
    </w:p>
    <w:p w14:paraId="0000000D" w14:textId="77777777" w:rsidR="004B00FC" w:rsidRDefault="00000000">
      <w:pPr>
        <w:pStyle w:val="Ttulo3"/>
      </w:pPr>
      <w:bookmarkStart w:id="2" w:name="_9lqvvk7a4o1" w:colFirst="0" w:colLast="0"/>
      <w:bookmarkEnd w:id="2"/>
      <w:r>
        <w:t>3. Análisis de Liquidez y Costes</w:t>
      </w:r>
    </w:p>
    <w:p w14:paraId="0000000E" w14:textId="77777777" w:rsidR="004B00FC" w:rsidRDefault="00000000">
      <w:pPr>
        <w:numPr>
          <w:ilvl w:val="0"/>
          <w:numId w:val="3"/>
        </w:numPr>
      </w:pPr>
      <w:r>
        <w:rPr>
          <w:b/>
          <w:bCs/>
        </w:rPr>
        <w:t>Ventana de Rescate:</w:t>
      </w:r>
      <w:r>
        <w:t xml:space="preserve"> Existe </w:t>
      </w:r>
      <w:r>
        <w:rPr>
          <w:b/>
          <w:bCs/>
        </w:rPr>
        <w:t>disponibilidad total e inmediata</w:t>
      </w:r>
      <w:r>
        <w:t xml:space="preserve"> 2, 8, 9, 11. No hay ventanas temporales; el tomador puede solicitar el rescate total o parcial (mínimo </w:t>
      </w:r>
      <w:r>
        <w:lastRenderedPageBreak/>
        <w:t xml:space="preserve">150 €) en cualquier momento 20-22. </w:t>
      </w:r>
      <w:r>
        <w:rPr>
          <w:b/>
          <w:bCs/>
        </w:rPr>
        <w:t>No se aplican penalizaciones ni ajustes de mercado (MVA)</w:t>
      </w:r>
      <w:r>
        <w:t xml:space="preserve"> por rescate anticipado en este producto 2, 8, 9, 11.</w:t>
      </w:r>
    </w:p>
    <w:p w14:paraId="0000000F" w14:textId="77777777" w:rsidR="004B00FC" w:rsidRDefault="00000000">
      <w:pPr>
        <w:numPr>
          <w:ilvl w:val="0"/>
          <w:numId w:val="3"/>
        </w:numPr>
      </w:pPr>
      <w:r>
        <w:rPr>
          <w:b/>
          <w:bCs/>
        </w:rPr>
        <w:t>Estructura de Comisiones:</w:t>
      </w:r>
      <w:r>
        <w:t xml:space="preserve"> El producto destaca por una estructura de </w:t>
      </w:r>
      <w:r>
        <w:rPr>
          <w:b/>
          <w:bCs/>
        </w:rPr>
        <w:t>coste cero</w:t>
      </w:r>
      <w:r>
        <w:t xml:space="preserve"> para el cliente:</w:t>
      </w:r>
    </w:p>
    <w:p w14:paraId="00000010" w14:textId="77777777" w:rsidR="004B00FC" w:rsidRDefault="00000000">
      <w:pPr>
        <w:numPr>
          <w:ilvl w:val="0"/>
          <w:numId w:val="3"/>
        </w:numPr>
      </w:pPr>
      <w:r>
        <w:rPr>
          <w:b/>
          <w:bCs/>
        </w:rPr>
        <w:t>Gestión y Administración:</w:t>
      </w:r>
      <w:r>
        <w:t xml:space="preserve"> Sin comisiones que resten capital ("su dinero sólo suma") 16, 20, 23, 24.</w:t>
      </w:r>
    </w:p>
    <w:p w14:paraId="00000011" w14:textId="77777777" w:rsidR="004B00FC" w:rsidRDefault="00000000">
      <w:pPr>
        <w:numPr>
          <w:ilvl w:val="0"/>
          <w:numId w:val="3"/>
        </w:numPr>
      </w:pPr>
      <w:r>
        <w:rPr>
          <w:b/>
          <w:bCs/>
        </w:rPr>
        <w:t>Garantía Biométrica:</w:t>
      </w:r>
      <w:r>
        <w:t xml:space="preserve"> El coste del capital en riesgo del seguro de vida se deduce antes de fijar el tipo de interés neto comunicado, o se soporta con la provisión si el rendimiento no es suficiente 13.</w:t>
      </w:r>
    </w:p>
    <w:p w14:paraId="00000012" w14:textId="77777777" w:rsidR="004B00FC" w:rsidRDefault="00000000">
      <w:pPr>
        <w:numPr>
          <w:ilvl w:val="0"/>
          <w:numId w:val="3"/>
        </w:numPr>
      </w:pPr>
      <w:r>
        <w:rPr>
          <w:b/>
          <w:bCs/>
        </w:rPr>
        <w:t>Flexibilidad:</w:t>
      </w:r>
      <w:r>
        <w:t xml:space="preserve"> Permite aportaciones únicas o sucesivas (mínimo 150 €, máximo 200.000 €) sin costes de cambio o alteración del plan 2, 9, 11, 25, 26.</w:t>
      </w:r>
    </w:p>
    <w:p w14:paraId="00000013" w14:textId="77777777" w:rsidR="004B00FC" w:rsidRDefault="00000000">
      <w:pPr>
        <w:pStyle w:val="Ttulo3"/>
      </w:pPr>
      <w:bookmarkStart w:id="3" w:name="_gvud7fusv29r" w:colFirst="0" w:colLast="0"/>
      <w:bookmarkEnd w:id="3"/>
      <w:r>
        <w:t>4. Gestión de Riesgos y Coberturas</w:t>
      </w:r>
    </w:p>
    <w:p w14:paraId="00000014" w14:textId="77777777" w:rsidR="004B00FC" w:rsidRDefault="00000000">
      <w:pPr>
        <w:numPr>
          <w:ilvl w:val="0"/>
          <w:numId w:val="1"/>
        </w:numPr>
      </w:pPr>
      <w:r>
        <w:rPr>
          <w:b/>
          <w:bCs/>
        </w:rPr>
        <w:t>Riesgo de Crédito/Contraparte:</w:t>
      </w:r>
      <w:r>
        <w:t xml:space="preserve"> El capital está garantizado por </w:t>
      </w:r>
      <w:proofErr w:type="spellStart"/>
      <w:r>
        <w:rPr>
          <w:b/>
          <w:bCs/>
        </w:rPr>
        <w:t>Nationale-Nederlanden</w:t>
      </w:r>
      <w:proofErr w:type="spellEnd"/>
      <w:r>
        <w:rPr>
          <w:b/>
          <w:bCs/>
        </w:rPr>
        <w:t xml:space="preserve"> Vida</w:t>
      </w:r>
      <w:r>
        <w:t xml:space="preserve">, entidad con 175 años de historia 9, 11, 12, 27. En caso de insolvencia extrema de la aseguradora en España, la protección recae bajo el marco legal del </w:t>
      </w:r>
      <w:r>
        <w:rPr>
          <w:b/>
          <w:bCs/>
        </w:rPr>
        <w:t>Consorcio de Compensación de Seguros</w:t>
      </w:r>
      <w:r>
        <w:t>, aunque esto último es información externa general del sector no detallada en los folletos.</w:t>
      </w:r>
    </w:p>
    <w:p w14:paraId="00000015" w14:textId="77777777" w:rsidR="004B00FC" w:rsidRDefault="00000000">
      <w:pPr>
        <w:numPr>
          <w:ilvl w:val="0"/>
          <w:numId w:val="1"/>
        </w:numPr>
      </w:pPr>
      <w:r>
        <w:rPr>
          <w:b/>
          <w:bCs/>
        </w:rPr>
        <w:t>Cobertura por Fallecimiento:</w:t>
      </w:r>
      <w:r>
        <w:t xml:space="preserve"> Incluye una prestación adicional al ahorro acumulado (si este es &gt;500 €) basada en la </w:t>
      </w:r>
      <w:r>
        <w:rPr>
          <w:b/>
          <w:bCs/>
        </w:rPr>
        <w:t>edad actuarial</w:t>
      </w:r>
      <w:r>
        <w:t xml:space="preserve"> 10, 12, 28, 29:</w:t>
      </w:r>
    </w:p>
    <w:p w14:paraId="00000016" w14:textId="77777777" w:rsidR="004B00FC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≤ 40 años:</w:t>
      </w:r>
      <w:r>
        <w:t xml:space="preserve"> +600 €</w:t>
      </w:r>
    </w:p>
    <w:p w14:paraId="00000017" w14:textId="77777777" w:rsidR="004B00FC" w:rsidRDefault="00000000">
      <w:pPr>
        <w:numPr>
          <w:ilvl w:val="0"/>
          <w:numId w:val="1"/>
        </w:numPr>
      </w:pPr>
      <w:r>
        <w:rPr>
          <w:b/>
          <w:bCs/>
        </w:rPr>
        <w:t>41-55 años:</w:t>
      </w:r>
      <w:r>
        <w:t xml:space="preserve"> +400 €</w:t>
      </w:r>
    </w:p>
    <w:p w14:paraId="00000018" w14:textId="77777777" w:rsidR="004B00FC" w:rsidRDefault="00000000">
      <w:pPr>
        <w:numPr>
          <w:ilvl w:val="0"/>
          <w:numId w:val="1"/>
        </w:numPr>
      </w:pPr>
      <w:r>
        <w:rPr>
          <w:b/>
          <w:bCs/>
        </w:rPr>
        <w:t>56-70 años:</w:t>
      </w:r>
      <w:r>
        <w:t xml:space="preserve"> +200 €</w:t>
      </w:r>
    </w:p>
    <w:p w14:paraId="00000019" w14:textId="77777777" w:rsidR="004B00FC" w:rsidRDefault="00000000">
      <w:pPr>
        <w:numPr>
          <w:ilvl w:val="0"/>
          <w:numId w:val="1"/>
        </w:numPr>
      </w:pPr>
      <w:r>
        <w:rPr>
          <w:b/>
          <w:bCs/>
        </w:rPr>
        <w:t>&gt; 70 años:</w:t>
      </w:r>
      <w:r>
        <w:t xml:space="preserve"> +100 € 12, 28-30.</w:t>
      </w:r>
    </w:p>
    <w:p w14:paraId="0000001A" w14:textId="77777777" w:rsidR="004B00FC" w:rsidRDefault="00000000">
      <w:pPr>
        <w:pStyle w:val="Ttulo3"/>
      </w:pPr>
      <w:bookmarkStart w:id="4" w:name="_bt28tlraxqjw" w:colFirst="0" w:colLast="0"/>
      <w:bookmarkEnd w:id="4"/>
      <w:r>
        <w:t xml:space="preserve">5. Ficha Técnica de Síntesis: </w:t>
      </w:r>
      <w:proofErr w:type="spellStart"/>
      <w:r>
        <w:t>FlexiCuenta</w:t>
      </w:r>
      <w:proofErr w:type="spellEnd"/>
      <w:r>
        <w:t xml:space="preserve"> Asegurada</w:t>
      </w:r>
    </w:p>
    <w:p w14:paraId="0000001B" w14:textId="68DA40B3" w:rsidR="004B00FC" w:rsidRDefault="00000000">
      <w:r>
        <w:t>Parámetro,</w:t>
      </w:r>
      <w:r w:rsidR="0021734D">
        <w:t xml:space="preserve"> </w:t>
      </w:r>
      <w:r>
        <w:t>Detalle Técnico</w:t>
      </w:r>
    </w:p>
    <w:p w14:paraId="0000001C" w14:textId="77777777" w:rsidR="004B00FC" w:rsidRDefault="00000000">
      <w:r>
        <w:t>Prima Mínima,"150 € (inicial o sucesiva) 2, 9, 11, 25, 26"</w:t>
      </w:r>
    </w:p>
    <w:p w14:paraId="0000001D" w14:textId="77777777" w:rsidR="004B00FC" w:rsidRDefault="00000000">
      <w:r>
        <w:t>Prima Máxima,"200.000 € (total acumulado) 2, 9, 11, 26"</w:t>
      </w:r>
    </w:p>
    <w:p w14:paraId="0000001E" w14:textId="2B40032E" w:rsidR="004B00FC" w:rsidRDefault="00000000">
      <w:r>
        <w:t>Edad de Contratación</w:t>
      </w:r>
      <w:r w:rsidR="0021734D">
        <w:t xml:space="preserve"> </w:t>
      </w:r>
      <w:r>
        <w:t>Basada en edad actuarial (sin límite máximo explícito en fuentes) 10, 20, 22, 26"</w:t>
      </w:r>
    </w:p>
    <w:p w14:paraId="0000001F" w14:textId="799B0274" w:rsidR="004B00FC" w:rsidRDefault="00000000">
      <w:r>
        <w:t>Plazos Disponibles</w:t>
      </w:r>
      <w:r w:rsidR="0021734D">
        <w:t xml:space="preserve"> </w:t>
      </w:r>
      <w:r>
        <w:t>Sin vencimiento (disponibilidad diaria) 2, 6-8"</w:t>
      </w:r>
    </w:p>
    <w:p w14:paraId="00000020" w14:textId="77777777" w:rsidR="004B00FC" w:rsidRDefault="00000000">
      <w:r>
        <w:t>Garantía Mínima,100% del capital más intereses generados 9-12</w:t>
      </w:r>
    </w:p>
    <w:p w14:paraId="00000021" w14:textId="5EADA6DC" w:rsidR="004B00FC" w:rsidRDefault="00000000">
      <w:r>
        <w:t>Perfil de Riesgo,</w:t>
      </w:r>
      <w:r w:rsidR="0021734D">
        <w:t xml:space="preserve"> </w:t>
      </w:r>
      <w:r>
        <w:t>Nivel Bajo (Riesgo 1 en escala estándar, implícito por ""riesgo cero"") 16, 31, 32"</w:t>
      </w:r>
    </w:p>
    <w:p w14:paraId="00000022" w14:textId="77777777" w:rsidR="004B00FC" w:rsidRDefault="00000000">
      <w:pPr>
        <w:rPr>
          <w:i/>
          <w:iCs/>
        </w:rPr>
      </w:pPr>
      <w:r>
        <w:rPr>
          <w:i/>
          <w:iCs/>
        </w:rPr>
        <w:t>Nota: Para el análisis de las matrices de garantía de 5, 10 y 20 años específicas del Plan Garantizado de Inversión (PGI), se requeriría el Folleto de Emisión o las Condiciones Particulares de ese producto específico, los cuales no están incluidos en el set de fuentes actual.</w:t>
      </w:r>
    </w:p>
    <w:p w14:paraId="00000023" w14:textId="77777777" w:rsidR="004B00FC" w:rsidRDefault="004B00FC"/>
    <w:sectPr w:rsidR="004B00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50FB24-3BB8-471F-91D0-9293E67722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8A1BEC-BACC-4EA3-BCEC-39C5A64248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722BA"/>
    <w:multiLevelType w:val="multilevel"/>
    <w:tmpl w:val="F8161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0B2275"/>
    <w:multiLevelType w:val="multilevel"/>
    <w:tmpl w:val="48C63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340CFC"/>
    <w:multiLevelType w:val="multilevel"/>
    <w:tmpl w:val="9F6C6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7B03CCD"/>
    <w:multiLevelType w:val="multilevel"/>
    <w:tmpl w:val="76F89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5241856">
    <w:abstractNumId w:val="2"/>
  </w:num>
  <w:num w:numId="2" w16cid:durableId="500851996">
    <w:abstractNumId w:val="0"/>
  </w:num>
  <w:num w:numId="3" w16cid:durableId="424348285">
    <w:abstractNumId w:val="1"/>
  </w:num>
  <w:num w:numId="4" w16cid:durableId="1126192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0FC"/>
    <w:rsid w:val="0021734D"/>
    <w:rsid w:val="004B00FC"/>
    <w:rsid w:val="009B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15CF4"/>
  <w15:docId w15:val="{8FC1AD85-9C0F-4978-9172-70F3C38D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801</Words>
  <Characters>4408</Characters>
  <Application>Microsoft Office Word</Application>
  <DocSecurity>0</DocSecurity>
  <Lines>36</Lines>
  <Paragraphs>10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Federico E. Fontanals Serra</cp:lastModifiedBy>
  <cp:revision>2</cp:revision>
  <dcterms:created xsi:type="dcterms:W3CDTF">2026-02-22T08:54:00Z</dcterms:created>
  <dcterms:modified xsi:type="dcterms:W3CDTF">2026-02-22T09:02:00Z</dcterms:modified>
</cp:coreProperties>
</file>