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Como Ingeniero de Producto Senior, presento el análisis técnico de "ingeniería inversa" del </w:t>
      </w:r>
      <w:r w:rsidDel="00000000" w:rsidR="00000000" w:rsidRPr="00000000">
        <w:rPr>
          <w:b w:val="1"/>
          <w:bCs w:val="1"/>
          <w:rtl w:val="0"/>
        </w:rPr>
        <w:t xml:space="preserve">Plan Creciente SIALP</w:t>
      </w:r>
      <w:r w:rsidDel="00000000" w:rsidR="00000000" w:rsidRPr="00000000">
        <w:rPr>
          <w:rtl w:val="0"/>
        </w:rPr>
        <w:t xml:space="preserve"> de Nationale-Nederlanden, desglosando su estructura técnica, financiera y operativa.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zes33ycjz0vv" w:id="0"/>
      <w:bookmarkEnd w:id="0"/>
      <w:r w:rsidDel="00000000" w:rsidR="00000000" w:rsidRPr="00000000">
        <w:rPr>
          <w:rtl w:val="0"/>
        </w:rPr>
        <w:t xml:space="preserve">1. Arquitectura de Garantía y Riesgo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producto utiliza una estructura de </w:t>
      </w:r>
      <w:r w:rsidDel="00000000" w:rsidR="00000000" w:rsidRPr="00000000">
        <w:rPr>
          <w:b w:val="1"/>
          <w:bCs w:val="1"/>
          <w:rtl w:val="0"/>
        </w:rPr>
        <w:t xml:space="preserve">garantía dinámica</w:t>
      </w:r>
      <w:r w:rsidDel="00000000" w:rsidR="00000000" w:rsidRPr="00000000">
        <w:rPr>
          <w:rtl w:val="0"/>
        </w:rPr>
        <w:t xml:space="preserve"> basada en el valor liquidativo más alto alcanzado.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Mecanismo del 85%:</w:t>
      </w:r>
      <w:r w:rsidDel="00000000" w:rsidR="00000000" w:rsidRPr="00000000">
        <w:rPr>
          <w:rtl w:val="0"/>
        </w:rPr>
        <w:t xml:space="preserve"> No se limita a las primas aportadas. La garantía es el valor máximo entre el </w:t>
      </w:r>
      <w:r w:rsidDel="00000000" w:rsidR="00000000" w:rsidRPr="00000000">
        <w:rPr>
          <w:b w:val="1"/>
          <w:bCs w:val="1"/>
          <w:rtl w:val="0"/>
        </w:rPr>
        <w:t xml:space="preserve">85% de las primas pagadas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85% del mayor valor alcanzado</w:t>
      </w:r>
      <w:r w:rsidDel="00000000" w:rsidR="00000000" w:rsidRPr="00000000">
        <w:rPr>
          <w:rtl w:val="0"/>
        </w:rPr>
        <w:t xml:space="preserve"> por la inversión (</w:t>
      </w:r>
      <w:r w:rsidDel="00000000" w:rsidR="00000000" w:rsidRPr="00000000">
        <w:rPr>
          <w:i w:val="1"/>
          <w:iCs w:val="1"/>
          <w:rtl w:val="0"/>
        </w:rPr>
        <w:t xml:space="preserve">high-water mark</w:t>
      </w:r>
      <w:r w:rsidDel="00000000" w:rsidR="00000000" w:rsidRPr="00000000">
        <w:rPr>
          <w:rtl w:val="0"/>
        </w:rPr>
        <w:t xml:space="preserve">) 1-4. Esta garantía se calcula diariamente 4.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Indicador de Riesgo (SRI):</w:t>
      </w:r>
      <w:r w:rsidDel="00000000" w:rsidR="00000000" w:rsidRPr="00000000">
        <w:rPr>
          <w:rtl w:val="0"/>
        </w:rPr>
        <w:t xml:space="preserve"> Clasificado como </w:t>
      </w:r>
      <w:r w:rsidDel="00000000" w:rsidR="00000000" w:rsidRPr="00000000">
        <w:rPr>
          <w:b w:val="1"/>
          <w:bCs w:val="1"/>
          <w:rtl w:val="0"/>
        </w:rPr>
        <w:t xml:space="preserve">3 sobre 7</w:t>
      </w:r>
      <w:r w:rsidDel="00000000" w:rsidR="00000000" w:rsidRPr="00000000">
        <w:rPr>
          <w:rtl w:val="0"/>
        </w:rPr>
        <w:t xml:space="preserve">, lo que representa un riesgo medio-bajo 5, 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Escenarios de pérdida del 15%:</w:t>
      </w:r>
      <w:r w:rsidDel="00000000" w:rsidR="00000000" w:rsidRPr="00000000">
        <w:rPr>
          <w:rtl w:val="0"/>
        </w:rPr>
        <w:t xml:space="preserve"> Esta pérdida ocurre cuando el mercado sufre una corrección severa y el valor de la inversión cae hasta el suelo de la garantía (el 85% mencionado). En escenarios de "Tensión" o "Desfavorable", el capital recuperado tras 1 o 5 años refleja rendimientos negativos que se aproximan a ese límite del 15% de pérdida sobre el principal 7, 8.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aep27vnns9x" w:id="1"/>
      <w:bookmarkEnd w:id="1"/>
      <w:r w:rsidDel="00000000" w:rsidR="00000000" w:rsidRPr="00000000">
        <w:rPr>
          <w:rtl w:val="0"/>
        </w:rPr>
        <w:t xml:space="preserve">2. Motor de Inversión (Subyacentes)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motor de inversión es un modelo de gestión dinámica que alterna entre activos de crecimiento y de protección.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Activos en Fondos de Inversión:</w:t>
      </w:r>
      <w:r w:rsidDel="00000000" w:rsidR="00000000" w:rsidRPr="00000000">
        <w:rPr>
          <w:rtl w:val="0"/>
        </w:rPr>
        <w:t xml:space="preserve"> El objetivo de distribución es del </w:t>
      </w:r>
      <w:r w:rsidDel="00000000" w:rsidR="00000000" w:rsidRPr="00000000">
        <w:rPr>
          <w:b w:val="1"/>
          <w:bCs w:val="1"/>
          <w:rtl w:val="0"/>
        </w:rPr>
        <w:t xml:space="preserve">100% en renta variable</w:t>
      </w:r>
      <w:r w:rsidDel="00000000" w:rsidR="00000000" w:rsidRPr="00000000">
        <w:rPr>
          <w:rtl w:val="0"/>
        </w:rPr>
        <w:t xml:space="preserve"> para la parte destinada a fondos, buscando maximizar el crecimiento en tendencias positivas de mercado 9.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Activos de Protección:</w:t>
      </w:r>
      <w:r w:rsidDel="00000000" w:rsidR="00000000" w:rsidRPr="00000000">
        <w:rPr>
          <w:rtl w:val="0"/>
        </w:rPr>
        <w:t xml:space="preserve"> Instrumentos líquidos de bajo riesgo (depósitos, cuentas corrientes, bonos) remunerados al tipo de interés </w:t>
      </w:r>
      <w:r w:rsidDel="00000000" w:rsidR="00000000" w:rsidRPr="00000000">
        <w:rPr>
          <w:b w:val="1"/>
          <w:bCs w:val="1"/>
          <w:rtl w:val="0"/>
        </w:rPr>
        <w:t xml:space="preserve">€STR + 0,085%</w:t>
      </w:r>
      <w:r w:rsidDel="00000000" w:rsidR="00000000" w:rsidRPr="00000000">
        <w:rPr>
          <w:rtl w:val="0"/>
        </w:rPr>
        <w:t xml:space="preserve"> 10, 11.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ASG:</w:t>
      </w:r>
      <w:r w:rsidDel="00000000" w:rsidR="00000000" w:rsidRPr="00000000">
        <w:rPr>
          <w:rtl w:val="0"/>
        </w:rPr>
        <w:t xml:space="preserve"> Aunque el folleto comercial enfatiza soluciones personalizadas e innovadoras del Grupo NN 12, la documentación técnica se centra en el cumplimiento de la garantía y la gestión de liquidez. La Compañía se reserva el derecho de modificar la relación y política de los fondos subyacentes, comunicándolo previamente al tomador 9.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chugbq12xtnl" w:id="2"/>
      <w:bookmarkEnd w:id="2"/>
      <w:r w:rsidDel="00000000" w:rsidR="00000000" w:rsidRPr="00000000">
        <w:rPr>
          <w:rtl w:val="0"/>
        </w:rPr>
        <w:t xml:space="preserve">3. Estructura de Costes (Eficiencia Financiera)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Los costes se detraen directamente del valor de la inversión, afectando la rentabilidad neta.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Concepto de Coste,Porcentaje / Importe,Observaciones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Gestión y administración,"1,50% anual 2, 13",Sobre el valor de la inversión.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Garantía e inversión/fallecimiento,"1,00% anual 2, 13","Incluye 0,05% para coberturas de riesgo."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Operación,"0,02% anual 14",Costes implícitos de compra/venta de activos.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Rescate (Salida),"2% (año 2 y 3), 1% (año 4), 0% (año 5+) 2, 15",No se admite rescate el primer año.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en rentabilidad (Escenario Moderado):</w:t>
      </w:r>
      <w:r w:rsidDel="00000000" w:rsidR="00000000" w:rsidRPr="00000000">
        <w:rPr>
          <w:rtl w:val="0"/>
        </w:rPr>
        <w:t xml:space="preserve">En un horizonte de 10 años, la incidencia anual de los costes se estima en un </w:t>
      </w:r>
      <w:r w:rsidDel="00000000" w:rsidR="00000000" w:rsidRPr="00000000">
        <w:rPr>
          <w:b w:val="1"/>
          <w:bCs w:val="1"/>
          <w:rtl w:val="0"/>
        </w:rPr>
        <w:t xml:space="preserve">3,0%</w:t>
      </w:r>
      <w:r w:rsidDel="00000000" w:rsidR="00000000" w:rsidRPr="00000000">
        <w:rPr>
          <w:rtl w:val="0"/>
        </w:rPr>
        <w:t xml:space="preserve"> (1,2% por el contrato de seguro y 1,8% por las opciones de inversión) 16, 17. Esto significa que, si el activo rinde un 5,8% bruto, el cliente recibe un 2,8% neto 16.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7yc5m94nb37w" w:id="3"/>
      <w:bookmarkEnd w:id="3"/>
      <w:r w:rsidDel="00000000" w:rsidR="00000000" w:rsidRPr="00000000">
        <w:rPr>
          <w:rtl w:val="0"/>
        </w:rPr>
        <w:t xml:space="preserve">4. Optimización Fiscal y Liquidez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Como SIALP (Seguro Individual de Ahorro a Largo Plazo), está diseñado bajo el marco del "Plan Ahorro 5".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Cumplimiento Plan Ahorro 5:</w:t>
      </w:r>
      <w:r w:rsidDel="00000000" w:rsidR="00000000" w:rsidRPr="00000000">
        <w:rPr>
          <w:rtl w:val="0"/>
        </w:rPr>
        <w:t xml:space="preserve"> Respeta el límite de </w:t>
      </w:r>
      <w:r w:rsidDel="00000000" w:rsidR="00000000" w:rsidRPr="00000000">
        <w:rPr>
          <w:b w:val="1"/>
          <w:bCs w:val="1"/>
          <w:rtl w:val="0"/>
        </w:rPr>
        <w:t xml:space="preserve">5.000€ anuales</w:t>
      </w:r>
      <w:r w:rsidDel="00000000" w:rsidR="00000000" w:rsidRPr="00000000">
        <w:rPr>
          <w:rtl w:val="0"/>
        </w:rPr>
        <w:t xml:space="preserve"> de aportación y la exención fiscal de los rendimientos si se mantiene al menos </w:t>
      </w:r>
      <w:r w:rsidDel="00000000" w:rsidR="00000000" w:rsidRPr="00000000">
        <w:rPr>
          <w:b w:val="1"/>
          <w:bCs w:val="1"/>
          <w:rtl w:val="0"/>
        </w:rPr>
        <w:t xml:space="preserve">5 años</w:t>
      </w:r>
      <w:r w:rsidDel="00000000" w:rsidR="00000000" w:rsidRPr="00000000">
        <w:rPr>
          <w:rtl w:val="0"/>
        </w:rPr>
        <w:t xml:space="preserve"> 18-20.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Liquidez: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admite rescates parciales</w:t>
      </w:r>
      <w:r w:rsidDel="00000000" w:rsidR="00000000" w:rsidRPr="00000000">
        <w:rPr>
          <w:rtl w:val="0"/>
        </w:rPr>
        <w:t xml:space="preserve"> 18, 21. La única vía de liquidez es el rescate total.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Penalizaciones por rescate:</w:t>
      </w:r>
      <w:r w:rsidDel="00000000" w:rsidR="00000000" w:rsidRPr="00000000">
        <w:rPr>
          <w:rtl w:val="0"/>
        </w:rPr>
        <w:t xml:space="preserve"> Antes de los 5 años, además de perder la exención fiscal (tributando el rendimiento en el IRPF), se aplican los costes de salida del </w:t>
      </w:r>
      <w:r w:rsidDel="00000000" w:rsidR="00000000" w:rsidRPr="00000000">
        <w:rPr>
          <w:b w:val="1"/>
          <w:bCs w:val="1"/>
          <w:rtl w:val="0"/>
        </w:rPr>
        <w:t xml:space="preserve">1% al 2%</w:t>
      </w:r>
      <w:r w:rsidDel="00000000" w:rsidR="00000000" w:rsidRPr="00000000">
        <w:rPr>
          <w:rtl w:val="0"/>
        </w:rPr>
        <w:t xml:space="preserve"> sobre el valor total 8, 15, 22.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piq13aul4txo" w:id="4"/>
      <w:bookmarkEnd w:id="4"/>
      <w:r w:rsidDel="00000000" w:rsidR="00000000" w:rsidRPr="00000000">
        <w:rPr>
          <w:rtl w:val="0"/>
        </w:rPr>
        <w:t xml:space="preserve">5. Benchmarking y Propuesta de Valor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Comparativa: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vs. CIALP bancario:</w:t>
      </w:r>
      <w:r w:rsidDel="00000000" w:rsidR="00000000" w:rsidRPr="00000000">
        <w:rPr>
          <w:rtl w:val="0"/>
        </w:rPr>
        <w:t xml:space="preserve"> El SIALP de NN ofrece mayor potencial de subida al invertir hasta el 100% en renta variable, mientras que muchos CIALP se basan en depósitos con tipos fijos bajos.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vs. Fondos/Roboadvisors:</w:t>
      </w:r>
      <w:r w:rsidDel="00000000" w:rsidR="00000000" w:rsidRPr="00000000">
        <w:rPr>
          <w:rtl w:val="0"/>
        </w:rPr>
        <w:t xml:space="preserve"> Estos últimos no ofrecen garantía de capital (pérdida potencial &gt;15%) y sus rendimientos tributan siempre al reembolsar (entre 19%-28%). El SIALP gana en seguridad y fiscalidad (0%), pero pierde en flexibilidad y costes de gestión, que suelen ser más altos en el seguro (2,5% total recurrente).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Perfil Óptimo:</w:t>
      </w:r>
      <w:r w:rsidDel="00000000" w:rsidR="00000000" w:rsidRPr="00000000">
        <w:rPr>
          <w:rtl w:val="0"/>
        </w:rPr>
        <w:t xml:space="preserve"> Inversor con perfil </w:t>
      </w:r>
      <w:r w:rsidDel="00000000" w:rsidR="00000000" w:rsidRPr="00000000">
        <w:rPr>
          <w:b w:val="1"/>
          <w:bCs w:val="1"/>
          <w:rtl w:val="0"/>
        </w:rPr>
        <w:t xml:space="preserve">conservador-moderado</w:t>
      </w:r>
      <w:r w:rsidDel="00000000" w:rsidR="00000000" w:rsidRPr="00000000">
        <w:rPr>
          <w:rtl w:val="0"/>
        </w:rPr>
        <w:t xml:space="preserve"> que tiene cubierto su fondo de emergencia, no prevé necesitar el dinero en 5 años, y busca exposición a bolsa con un "suelo" de seguridad ante desastres financieros, aprovechando el beneficio fiscal del Plan Ahorro 5.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ei9u69edo6lf" w:id="5"/>
      <w:bookmarkEnd w:id="5"/>
      <w:r w:rsidDel="00000000" w:rsidR="00000000" w:rsidRPr="00000000">
        <w:rPr>
          <w:rtl w:val="0"/>
        </w:rPr>
        <w:t xml:space="preserve">Puntos Críticos de Fallo (Riesgos Clave)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Situación de Bloqueo (Cash-lock):</w:t>
      </w:r>
      <w:r w:rsidDel="00000000" w:rsidR="00000000" w:rsidRPr="00000000">
        <w:rPr>
          <w:rtl w:val="0"/>
        </w:rPr>
        <w:t xml:space="preserve"> En mercados extremadamente bajistas, la compañía puede trasladar el </w:t>
      </w:r>
      <w:r w:rsidDel="00000000" w:rsidR="00000000" w:rsidRPr="00000000">
        <w:rPr>
          <w:b w:val="1"/>
          <w:bCs w:val="1"/>
          <w:rtl w:val="0"/>
        </w:rPr>
        <w:t xml:space="preserve">100% a activos de protección</w:t>
      </w:r>
      <w:r w:rsidDel="00000000" w:rsidR="00000000" w:rsidRPr="00000000">
        <w:rPr>
          <w:rtl w:val="0"/>
        </w:rPr>
        <w:t xml:space="preserve"> 6, 23. Esto protege el capital pero anula el potencial de recuperación si el mercado rebota, ya que no se reinvierte en fondos automáticamente sin aportaciones adicionales 24, 25.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Revisión a la Baja de la Garantía:</w:t>
      </w:r>
      <w:r w:rsidDel="00000000" w:rsidR="00000000" w:rsidRPr="00000000">
        <w:rPr>
          <w:rtl w:val="0"/>
        </w:rPr>
        <w:t xml:space="preserve"> En situaciones extremas de bloqueo prolongado (más de 2 años), la Compañía puede realizar una </w:t>
      </w:r>
      <w:r w:rsidDel="00000000" w:rsidR="00000000" w:rsidRPr="00000000">
        <w:rPr>
          <w:b w:val="1"/>
          <w:bCs w:val="1"/>
          <w:rtl w:val="0"/>
        </w:rPr>
        <w:t xml:space="preserve">revisión a la baja del importe de la garantía</w:t>
      </w:r>
      <w:r w:rsidDel="00000000" w:rsidR="00000000" w:rsidRPr="00000000">
        <w:rPr>
          <w:rtl w:val="0"/>
        </w:rPr>
        <w:t xml:space="preserve"> consolidada (el </w:t>
      </w:r>
      <w:r w:rsidDel="00000000" w:rsidR="00000000" w:rsidRPr="00000000">
        <w:rPr>
          <w:i w:val="1"/>
          <w:iCs w:val="1"/>
          <w:rtl w:val="0"/>
        </w:rPr>
        <w:t xml:space="preserve">high-water mark</w:t>
      </w:r>
      <w:r w:rsidDel="00000000" w:rsidR="00000000" w:rsidRPr="00000000">
        <w:rPr>
          <w:rtl w:val="0"/>
        </w:rPr>
        <w:t xml:space="preserve">), aunque nunca por debajo del 85% de las primas pagadas 26-28.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 de Contraparte:</w:t>
      </w:r>
      <w:r w:rsidDel="00000000" w:rsidR="00000000" w:rsidRPr="00000000">
        <w:rPr>
          <w:rtl w:val="0"/>
        </w:rPr>
        <w:t xml:space="preserve"> Al ser un producto de seguro, el cliente asume el riesgo de solvencia de Nationale-Nederlanden Vida, no estando cubierto por el Fondo de Garantía de Depósitos, sino por el Consorcio de Compensación de Seguros en caso de liquidación 8, 29.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