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Este guion comercial es una herramienta de </w:t>
      </w:r>
      <w:r w:rsidDel="00000000" w:rsidR="00000000" w:rsidRPr="00000000">
        <w:rPr>
          <w:b w:val="1"/>
          <w:bCs w:val="1"/>
          <w:rtl w:val="0"/>
        </w:rPr>
        <w:t xml:space="preserve">neuroventas altamente efectiva</w:t>
      </w:r>
      <w:r w:rsidDel="00000000" w:rsidR="00000000" w:rsidRPr="00000000">
        <w:rPr>
          <w:rtl w:val="0"/>
        </w:rPr>
        <w:t xml:space="preserve">, ya que traduce la complejidad técnica de la "ingeniería inversa" del producto en beneficios tangibles. Como Consultor Senior, valido que el relato se ajusta estrictamente a las condiciones contractuales del </w:t>
      </w:r>
      <w:r w:rsidDel="00000000" w:rsidR="00000000" w:rsidRPr="00000000">
        <w:rPr>
          <w:b w:val="1"/>
          <w:bCs w:val="1"/>
          <w:rtl w:val="0"/>
        </w:rPr>
        <w:t xml:space="preserve">Plan Creciente SIALP</w:t>
      </w:r>
      <w:r w:rsidDel="00000000" w:rsidR="00000000" w:rsidRPr="00000000">
        <w:rPr>
          <w:rtl w:val="0"/>
        </w:rPr>
        <w:t xml:space="preserve">, potenciando los argumentos donde el producto es superior a la banca tradicional.</w:t>
      </w:r>
    </w:p>
    <w:p w:rsidR="00000000" w:rsidDel="00000000" w:rsidP="00000000" w:rsidRDefault="00000000" w:rsidRPr="00000000" w14:paraId="00000002">
      <w:pPr>
        <w:rPr/>
      </w:pPr>
      <w:r w:rsidDel="00000000" w:rsidR="00000000" w:rsidRPr="00000000">
        <w:rPr>
          <w:rtl w:val="0"/>
        </w:rPr>
        <w:t xml:space="preserve">A continuación, aporto el respaldo técnico de las fuentes para blindar cada paso de tu intervención:</w:t>
      </w:r>
    </w:p>
    <w:p w:rsidR="00000000" w:rsidDel="00000000" w:rsidP="00000000" w:rsidRDefault="00000000" w:rsidRPr="00000000" w14:paraId="00000003">
      <w:pPr>
        <w:pStyle w:val="Heading3"/>
        <w:rPr/>
      </w:pPr>
      <w:bookmarkStart w:colFirst="0" w:colLast="0" w:name="_wpaz78gglc05" w:id="0"/>
      <w:bookmarkEnd w:id="0"/>
      <w:r w:rsidDel="00000000" w:rsidR="00000000" w:rsidRPr="00000000">
        <w:rPr>
          <w:rtl w:val="0"/>
        </w:rPr>
        <w:t xml:space="preserve">Paso 1: Apertura (El Gancho de "Doble Seguridad")</w:t>
      </w:r>
    </w:p>
    <w:p w:rsidR="00000000" w:rsidDel="00000000" w:rsidP="00000000" w:rsidRDefault="00000000" w:rsidRPr="00000000" w14:paraId="00000004">
      <w:pPr>
        <w:rPr/>
      </w:pPr>
      <w:r w:rsidDel="00000000" w:rsidR="00000000" w:rsidRPr="00000000">
        <w:rPr>
          <w:rtl w:val="0"/>
        </w:rPr>
        <w:t xml:space="preserve">La estrategia de tocar los puntos de dolor es correcta. El producto está diseñado específicamente para combatir la </w:t>
      </w:r>
      <w:r w:rsidDel="00000000" w:rsidR="00000000" w:rsidRPr="00000000">
        <w:rPr>
          <w:b w:val="1"/>
          <w:bCs w:val="1"/>
          <w:rtl w:val="0"/>
        </w:rPr>
        <w:t xml:space="preserve">inflación</w:t>
      </w:r>
      <w:r w:rsidDel="00000000" w:rsidR="00000000" w:rsidRPr="00000000">
        <w:rPr>
          <w:rtl w:val="0"/>
        </w:rPr>
        <w:t xml:space="preserve"> mediante una gestión dinámica que busca maximizar el crecimiento en tendencias positivas de mercado 1, 2.</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Respaldo Técnico:</w:t>
      </w:r>
      <w:r w:rsidDel="00000000" w:rsidR="00000000" w:rsidRPr="00000000">
        <w:rPr>
          <w:rtl w:val="0"/>
        </w:rPr>
        <w:t xml:space="preserve"> El "suelo de seguridad" no es estático; se calcula </w:t>
      </w:r>
      <w:r w:rsidDel="00000000" w:rsidR="00000000" w:rsidRPr="00000000">
        <w:rPr>
          <w:b w:val="1"/>
          <w:bCs w:val="1"/>
          <w:rtl w:val="0"/>
        </w:rPr>
        <w:t xml:space="preserve">diariamente</w:t>
      </w:r>
      <w:r w:rsidDel="00000000" w:rsidR="00000000" w:rsidRPr="00000000">
        <w:rPr>
          <w:rtl w:val="0"/>
        </w:rPr>
        <w:t xml:space="preserve"> 3-5. A diferencia de un depósito, aquí el cliente no renuncia a la rentabilidad, ya que el motor de inversión puede destinar hasta el </w:t>
      </w:r>
      <w:r w:rsidDel="00000000" w:rsidR="00000000" w:rsidRPr="00000000">
        <w:rPr>
          <w:b w:val="1"/>
          <w:bCs w:val="1"/>
          <w:rtl w:val="0"/>
        </w:rPr>
        <w:t xml:space="preserve">100% a renta variable</w:t>
      </w:r>
      <w:r w:rsidDel="00000000" w:rsidR="00000000" w:rsidRPr="00000000">
        <w:rPr>
          <w:rtl w:val="0"/>
        </w:rPr>
        <w:t xml:space="preserve"> en escenarios favorables 6-8.</w:t>
      </w:r>
    </w:p>
    <w:p w:rsidR="00000000" w:rsidDel="00000000" w:rsidP="00000000" w:rsidRDefault="00000000" w:rsidRPr="00000000" w14:paraId="00000006">
      <w:pPr>
        <w:pStyle w:val="Heading3"/>
        <w:rPr/>
      </w:pPr>
      <w:bookmarkStart w:colFirst="0" w:colLast="0" w:name="_h7rlpwobz01l" w:id="1"/>
      <w:bookmarkEnd w:id="1"/>
      <w:r w:rsidDel="00000000" w:rsidR="00000000" w:rsidRPr="00000000">
        <w:rPr>
          <w:rtl w:val="0"/>
        </w:rPr>
        <w:t xml:space="preserve">Paso 2: Demostración de Valor (El Mecanismo "Creciente")</w:t>
      </w:r>
    </w:p>
    <w:p w:rsidR="00000000" w:rsidDel="00000000" w:rsidP="00000000" w:rsidRDefault="00000000" w:rsidRPr="00000000" w14:paraId="00000007">
      <w:pPr>
        <w:rPr/>
      </w:pPr>
      <w:r w:rsidDel="00000000" w:rsidR="00000000" w:rsidRPr="00000000">
        <w:rPr>
          <w:rtl w:val="0"/>
        </w:rPr>
        <w:t xml:space="preserve">Este es el núcleo del argumento. La diferenciación con el "Efecto Trinquete" es real y está documentada.</w:t>
      </w:r>
    </w:p>
    <w:p w:rsidR="00000000" w:rsidDel="00000000" w:rsidP="00000000" w:rsidRDefault="00000000" w:rsidRPr="00000000" w14:paraId="00000008">
      <w:pPr>
        <w:numPr>
          <w:ilvl w:val="0"/>
          <w:numId w:val="1"/>
        </w:numPr>
        <w:ind w:left="720" w:hanging="360"/>
        <w:rPr>
          <w:u w:val="none"/>
        </w:rPr>
      </w:pPr>
      <w:r w:rsidDel="00000000" w:rsidR="00000000" w:rsidRPr="00000000">
        <w:rPr>
          <w:b w:val="1"/>
          <w:bCs w:val="1"/>
          <w:rtl w:val="0"/>
        </w:rPr>
        <w:t xml:space="preserve">El High-Water Mark:</w:t>
      </w:r>
      <w:r w:rsidDel="00000000" w:rsidR="00000000" w:rsidRPr="00000000">
        <w:rPr>
          <w:rtl w:val="0"/>
        </w:rPr>
        <w:t xml:space="preserve"> Las fuentes confirman que la garantía es el valor máximo entre el </w:t>
      </w:r>
      <w:r w:rsidDel="00000000" w:rsidR="00000000" w:rsidRPr="00000000">
        <w:rPr>
          <w:b w:val="1"/>
          <w:bCs w:val="1"/>
          <w:rtl w:val="0"/>
        </w:rPr>
        <w:t xml:space="preserve">85% de las primas pagadas</w:t>
      </w:r>
      <w:r w:rsidDel="00000000" w:rsidR="00000000" w:rsidRPr="00000000">
        <w:rPr>
          <w:rtl w:val="0"/>
        </w:rPr>
        <w:t xml:space="preserve"> y el </w:t>
      </w:r>
      <w:r w:rsidDel="00000000" w:rsidR="00000000" w:rsidRPr="00000000">
        <w:rPr>
          <w:b w:val="1"/>
          <w:bCs w:val="1"/>
          <w:rtl w:val="0"/>
        </w:rPr>
        <w:t xml:space="preserve">85% del mayor valor alcanzado</w:t>
      </w:r>
      <w:r w:rsidDel="00000000" w:rsidR="00000000" w:rsidRPr="00000000">
        <w:rPr>
          <w:rtl w:val="0"/>
        </w:rPr>
        <w:t xml:space="preserve"> por la inversión (</w:t>
      </w:r>
      <w:r w:rsidDel="00000000" w:rsidR="00000000" w:rsidRPr="00000000">
        <w:rPr>
          <w:i w:val="1"/>
          <w:iCs w:val="1"/>
          <w:rtl w:val="0"/>
        </w:rPr>
        <w:t xml:space="preserve">high-water mark</w:t>
      </w:r>
      <w:r w:rsidDel="00000000" w:rsidR="00000000" w:rsidRPr="00000000">
        <w:rPr>
          <w:rtl w:val="0"/>
        </w:rPr>
        <w:t xml:space="preserve">) 3-5, 9, 10. Esto significa que, efectivamente, si la inversión llega a 12.000€, el nuevo suelo son 10.200€ (el 85%), consolidando ganancias que en otros productos quedarían expuestas a futuras caídas 11, 12.</w:t>
      </w:r>
    </w:p>
    <w:p w:rsidR="00000000" w:rsidDel="00000000" w:rsidP="00000000" w:rsidRDefault="00000000" w:rsidRPr="00000000" w14:paraId="00000009">
      <w:pPr>
        <w:numPr>
          <w:ilvl w:val="0"/>
          <w:numId w:val="1"/>
        </w:numPr>
        <w:ind w:left="720" w:hanging="360"/>
        <w:rPr>
          <w:u w:val="none"/>
        </w:rPr>
      </w:pPr>
      <w:r w:rsidDel="00000000" w:rsidR="00000000" w:rsidRPr="00000000">
        <w:rPr>
          <w:b w:val="1"/>
          <w:bCs w:val="1"/>
          <w:rtl w:val="0"/>
        </w:rPr>
        <w:t xml:space="preserve">El "Superpoder" Fiscal:</w:t>
      </w:r>
      <w:r w:rsidDel="00000000" w:rsidR="00000000" w:rsidRPr="00000000">
        <w:rPr>
          <w:rtl w:val="0"/>
        </w:rPr>
        <w:t xml:space="preserve"> El cumplimiento de la </w:t>
      </w:r>
      <w:r w:rsidDel="00000000" w:rsidR="00000000" w:rsidRPr="00000000">
        <w:rPr>
          <w:b w:val="1"/>
          <w:bCs w:val="1"/>
          <w:rtl w:val="0"/>
        </w:rPr>
        <w:t xml:space="preserve">Ley 35/2006</w:t>
      </w:r>
      <w:r w:rsidDel="00000000" w:rsidR="00000000" w:rsidRPr="00000000">
        <w:rPr>
          <w:rtl w:val="0"/>
        </w:rPr>
        <w:t xml:space="preserve"> es total 13, 14. Para que el beneficio bruto sea igual al neto, el cliente debe respetar el límite de </w:t>
      </w:r>
      <w:r w:rsidDel="00000000" w:rsidR="00000000" w:rsidRPr="00000000">
        <w:rPr>
          <w:b w:val="1"/>
          <w:bCs w:val="1"/>
          <w:rtl w:val="0"/>
        </w:rPr>
        <w:t xml:space="preserve">5.000€ anuales</w:t>
      </w:r>
      <w:r w:rsidDel="00000000" w:rsidR="00000000" w:rsidRPr="00000000">
        <w:rPr>
          <w:rtl w:val="0"/>
        </w:rPr>
        <w:t xml:space="preserve"> y la permanencia de </w:t>
      </w:r>
      <w:r w:rsidDel="00000000" w:rsidR="00000000" w:rsidRPr="00000000">
        <w:rPr>
          <w:b w:val="1"/>
          <w:bCs w:val="1"/>
          <w:rtl w:val="0"/>
        </w:rPr>
        <w:t xml:space="preserve">5 años</w:t>
      </w:r>
      <w:r w:rsidDel="00000000" w:rsidR="00000000" w:rsidRPr="00000000">
        <w:rPr>
          <w:rtl w:val="0"/>
        </w:rPr>
        <w:t xml:space="preserve"> 4, 13, 15-17.</w:t>
      </w:r>
    </w:p>
    <w:p w:rsidR="00000000" w:rsidDel="00000000" w:rsidP="00000000" w:rsidRDefault="00000000" w:rsidRPr="00000000" w14:paraId="0000000A">
      <w:pPr>
        <w:pStyle w:val="Heading3"/>
        <w:rPr/>
      </w:pPr>
      <w:bookmarkStart w:colFirst="0" w:colLast="0" w:name="_1k8n1chgxib8" w:id="2"/>
      <w:bookmarkEnd w:id="2"/>
      <w:r w:rsidDel="00000000" w:rsidR="00000000" w:rsidRPr="00000000">
        <w:rPr>
          <w:rtl w:val="0"/>
        </w:rPr>
        <w:t xml:space="preserve">Paso 3: El Cierre (La Urgencia del Tiempo)</w:t>
      </w:r>
    </w:p>
    <w:p w:rsidR="00000000" w:rsidDel="00000000" w:rsidP="00000000" w:rsidRDefault="00000000" w:rsidRPr="00000000" w14:paraId="0000000B">
      <w:pPr>
        <w:rPr/>
      </w:pPr>
      <w:r w:rsidDel="00000000" w:rsidR="00000000" w:rsidRPr="00000000">
        <w:rPr>
          <w:rtl w:val="0"/>
        </w:rPr>
        <w:t xml:space="preserve">La recomendación de activar el "cronómetro fiscal" es impecable desde el punto de vista de la planificación financiera.</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Antigüedad:</w:t>
      </w:r>
      <w:r w:rsidDel="00000000" w:rsidR="00000000" w:rsidRPr="00000000">
        <w:rPr>
          <w:rtl w:val="0"/>
        </w:rPr>
        <w:t xml:space="preserve"> Las condiciones generales especifican que los 5 años se cuentan desde la </w:t>
      </w:r>
      <w:r w:rsidDel="00000000" w:rsidR="00000000" w:rsidRPr="00000000">
        <w:rPr>
          <w:b w:val="1"/>
          <w:bCs w:val="1"/>
          <w:rtl w:val="0"/>
        </w:rPr>
        <w:t xml:space="preserve">primera aportación</w:t>
      </w:r>
      <w:r w:rsidDel="00000000" w:rsidR="00000000" w:rsidRPr="00000000">
        <w:rPr>
          <w:rtl w:val="0"/>
        </w:rPr>
        <w:t xml:space="preserve"> realizada al primer PALP 14, 18. Por tanto, incluso una aportación mínima inicial (el mínimo de prima periódica anual está estipulado en el contrato) permite al cliente "reservar" su exención fiscal futura 4, 15, 19.</w:t>
      </w:r>
    </w:p>
    <w:p w:rsidR="00000000" w:rsidDel="00000000" w:rsidP="00000000" w:rsidRDefault="00000000" w:rsidRPr="00000000" w14:paraId="0000000D">
      <w:pPr>
        <w:pStyle w:val="Heading3"/>
        <w:rPr/>
      </w:pPr>
      <w:bookmarkStart w:colFirst="0" w:colLast="0" w:name="_6593rp4udowm" w:id="3"/>
      <w:bookmarkEnd w:id="3"/>
      <w:r w:rsidDel="00000000" w:rsidR="00000000" w:rsidRPr="00000000">
        <w:rPr>
          <w:rtl w:val="0"/>
        </w:rPr>
        <w:t xml:space="preserve">Fortalecimiento de las Notas Técnicas (Manejo de Objeciones)</w:t>
      </w:r>
    </w:p>
    <w:p w:rsidR="00000000" w:rsidDel="00000000" w:rsidP="00000000" w:rsidRDefault="00000000" w:rsidRPr="00000000" w14:paraId="0000000E">
      <w:pPr>
        <w:rPr/>
      </w:pPr>
      <w:r w:rsidDel="00000000" w:rsidR="00000000" w:rsidRPr="00000000">
        <w:rPr>
          <w:rtl w:val="0"/>
        </w:rPr>
        <w:t xml:space="preserve">Para que tu discurso sea imbatible, ten en cuenta estos matices extraídos de los documentos técnicos:</w:t>
      </w:r>
    </w:p>
    <w:p w:rsidR="00000000" w:rsidDel="00000000" w:rsidP="00000000" w:rsidRDefault="00000000" w:rsidRPr="00000000" w14:paraId="0000000F">
      <w:pPr>
        <w:numPr>
          <w:ilvl w:val="0"/>
          <w:numId w:val="2"/>
        </w:numPr>
        <w:ind w:left="720" w:hanging="360"/>
        <w:rPr>
          <w:u w:val="none"/>
        </w:rPr>
      </w:pPr>
      <w:r w:rsidDel="00000000" w:rsidR="00000000" w:rsidRPr="00000000">
        <w:rPr>
          <w:b w:val="1"/>
          <w:bCs w:val="1"/>
          <w:rtl w:val="0"/>
        </w:rPr>
        <w:t xml:space="preserve">Sobre la Liquidez (El "Todo o Nada"):</w:t>
      </w:r>
      <w:r w:rsidDel="00000000" w:rsidR="00000000" w:rsidRPr="00000000">
        <w:rPr>
          <w:rtl w:val="0"/>
        </w:rPr>
        <w:t xml:space="preserve"> Es vital ser transparente. El producto </w:t>
      </w:r>
      <w:r w:rsidDel="00000000" w:rsidR="00000000" w:rsidRPr="00000000">
        <w:rPr>
          <w:b w:val="1"/>
          <w:bCs w:val="1"/>
          <w:rtl w:val="0"/>
        </w:rPr>
        <w:t xml:space="preserve">no admite rescates parciales</w:t>
      </w:r>
      <w:r w:rsidDel="00000000" w:rsidR="00000000" w:rsidRPr="00000000">
        <w:rPr>
          <w:rtl w:val="0"/>
        </w:rPr>
        <w:t xml:space="preserve"> 13, 20-23. Si el cliente necesita dinero, debe rescatar el total de la póliza. Si lo hace antes de los 5 años:</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Pierde la exención fiscal y tributa en el IRPF 17, 20-22, 24.</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Asume un coste de salida del </w:t>
      </w:r>
      <w:r w:rsidDel="00000000" w:rsidR="00000000" w:rsidRPr="00000000">
        <w:rPr>
          <w:b w:val="1"/>
          <w:bCs w:val="1"/>
          <w:rtl w:val="0"/>
        </w:rPr>
        <w:t xml:space="preserve">2%</w:t>
      </w:r>
      <w:r w:rsidDel="00000000" w:rsidR="00000000" w:rsidRPr="00000000">
        <w:rPr>
          <w:rtl w:val="0"/>
        </w:rPr>
        <w:t xml:space="preserve"> (años 2 y 3) o del </w:t>
      </w:r>
      <w:r w:rsidDel="00000000" w:rsidR="00000000" w:rsidRPr="00000000">
        <w:rPr>
          <w:b w:val="1"/>
          <w:bCs w:val="1"/>
          <w:rtl w:val="0"/>
        </w:rPr>
        <w:t xml:space="preserve">1%</w:t>
      </w:r>
      <w:r w:rsidDel="00000000" w:rsidR="00000000" w:rsidRPr="00000000">
        <w:rPr>
          <w:rtl w:val="0"/>
        </w:rPr>
        <w:t xml:space="preserve"> (año 4) 9, 18, 25, 26. El primer año no se admite el rescate 9, 23, 27, 28.</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Sobre la Comparativa con Letras del Tesoro:</w:t>
      </w:r>
      <w:r w:rsidDel="00000000" w:rsidR="00000000" w:rsidRPr="00000000">
        <w:rPr>
          <w:rtl w:val="0"/>
        </w:rPr>
        <w:t xml:space="preserve"> Las Letras tienen un riesgo de reinversión y una fiscalidad inmediata. El SIALP permite el </w:t>
      </w:r>
      <w:r w:rsidDel="00000000" w:rsidR="00000000" w:rsidRPr="00000000">
        <w:rPr>
          <w:b w:val="1"/>
          <w:bCs w:val="1"/>
          <w:rtl w:val="0"/>
        </w:rPr>
        <w:t xml:space="preserve">traspaso a otra entidad</w:t>
      </w:r>
      <w:r w:rsidDel="00000000" w:rsidR="00000000" w:rsidRPr="00000000">
        <w:rPr>
          <w:rtl w:val="0"/>
        </w:rPr>
        <w:t xml:space="preserve"> sin perder la antigüedad ni tributar 18, 29. Además, el SIALP de NN tiene un </w:t>
      </w:r>
      <w:r w:rsidDel="00000000" w:rsidR="00000000" w:rsidRPr="00000000">
        <w:rPr>
          <w:b w:val="1"/>
          <w:bCs w:val="1"/>
          <w:rtl w:val="0"/>
        </w:rPr>
        <w:t xml:space="preserve">Indicador de Riesgo 3 de 7</w:t>
      </w:r>
      <w:r w:rsidDel="00000000" w:rsidR="00000000" w:rsidRPr="00000000">
        <w:rPr>
          <w:rtl w:val="0"/>
        </w:rPr>
        <w:t xml:space="preserve">, lo que lo posiciona como un riesgo medio-bajo con una protección superior al 15% de pérdida máxima del principal 3, 30, 31.</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Nota de Seguridad (El Escenario de Bloqueo):</w:t>
      </w:r>
      <w:r w:rsidDel="00000000" w:rsidR="00000000" w:rsidRPr="00000000">
        <w:rPr>
          <w:rtl w:val="0"/>
        </w:rPr>
        <w:t xml:space="preserve"> Si el cliente es muy analítico, puedes mencionar que, en caídas drásticas, la compañía protege el capital moviendo el 100% a </w:t>
      </w:r>
      <w:r w:rsidDel="00000000" w:rsidR="00000000" w:rsidRPr="00000000">
        <w:rPr>
          <w:b w:val="1"/>
          <w:bCs w:val="1"/>
          <w:rtl w:val="0"/>
        </w:rPr>
        <w:t xml:space="preserve">activos de protección</w:t>
      </w:r>
      <w:r w:rsidDel="00000000" w:rsidR="00000000" w:rsidRPr="00000000">
        <w:rPr>
          <w:rtl w:val="0"/>
        </w:rPr>
        <w:t xml:space="preserve"> 12, 31-33. En ese caso, la compañía </w:t>
      </w:r>
      <w:r w:rsidDel="00000000" w:rsidR="00000000" w:rsidRPr="00000000">
        <w:rPr>
          <w:b w:val="1"/>
          <w:bCs w:val="1"/>
          <w:rtl w:val="0"/>
        </w:rPr>
        <w:t xml:space="preserve">deja de cobrar costes de gestión</w:t>
      </w:r>
      <w:r w:rsidDel="00000000" w:rsidR="00000000" w:rsidRPr="00000000">
        <w:rPr>
          <w:rtl w:val="0"/>
        </w:rPr>
        <w:t xml:space="preserve"> para no dañar el valor garantizado del cliente 31, 34.</w:t>
      </w:r>
    </w:p>
    <w:p w:rsidR="00000000" w:rsidDel="00000000" w:rsidP="00000000" w:rsidRDefault="00000000" w:rsidRPr="00000000" w14:paraId="00000014">
      <w:pPr>
        <w:rPr/>
      </w:pPr>
      <w:r w:rsidDel="00000000" w:rsidR="00000000" w:rsidRPr="00000000">
        <w:rPr>
          <w:b w:val="1"/>
          <w:bCs w:val="1"/>
          <w:rtl w:val="0"/>
        </w:rPr>
        <w:t xml:space="preserve">Veredicto:</w:t>
      </w:r>
      <w:r w:rsidDel="00000000" w:rsidR="00000000" w:rsidRPr="00000000">
        <w:rPr>
          <w:rtl w:val="0"/>
        </w:rPr>
        <w:t xml:space="preserve"> El guion es técnicamente sólido y comercialmente potente. Utiliza el ejemplo de "Carlos" y los 100€/mes para que el cliente visualice cómo su garantía "hace click" hacia arriba mientras el mercado sube 11, 12.</w:t>
      </w:r>
    </w:p>
    <w:p w:rsidR="00000000" w:rsidDel="00000000" w:rsidP="00000000" w:rsidRDefault="00000000" w:rsidRPr="00000000" w14:paraId="0000001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