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INFORME TÉCNICO: INGENIERÍA INVERSA Y ANÁLISIS FORENSE DEL PRODUCTO "SALUD COMPLETO COPAGO"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Dirección Técnica / Comité de Producto</w:t>
      </w:r>
      <w:r w:rsidDel="00000000" w:rsidR="00000000" w:rsidRPr="00000000">
        <w:rPr>
          <w:b w:val="1"/>
          <w:bCs w:val="1"/>
          <w:rtl w:val="0"/>
        </w:rPr>
        <w:t xml:space="preserve">De:</w:t>
      </w:r>
      <w:r w:rsidDel="00000000" w:rsidR="00000000" w:rsidRPr="00000000">
        <w:rPr>
          <w:rtl w:val="0"/>
        </w:rPr>
        <w:t xml:space="preserve"> Ingeniero de Producto Senior &amp; Analista Forense de Datos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24 de mayo de 2024</w:t>
      </w: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Auditoría de Arquitectura, Flujos Financieros y Operatividad del Producto Salud Completo Copago.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il9ntxx5wbn" w:id="0"/>
      <w:bookmarkEnd w:id="0"/>
      <w:r w:rsidDel="00000000" w:rsidR="00000000" w:rsidRPr="00000000">
        <w:rPr>
          <w:rtl w:val="0"/>
        </w:rPr>
        <w:t xml:space="preserve">1. Arquitectura del Producto (Visión de Ingeniería)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arquitectura de "Salud Completo Copago" se estructura sobre un modelo de </w:t>
      </w:r>
      <w:r w:rsidDel="00000000" w:rsidR="00000000" w:rsidRPr="00000000">
        <w:rPr>
          <w:b w:val="1"/>
          <w:bCs w:val="1"/>
          <w:rtl w:val="0"/>
        </w:rPr>
        <w:t xml:space="preserve">coaseguro al 50%</w:t>
      </w:r>
      <w:r w:rsidDel="00000000" w:rsidR="00000000" w:rsidRPr="00000000">
        <w:rPr>
          <w:rtl w:val="0"/>
        </w:rPr>
        <w:t xml:space="preserve"> entre dos entidades, operando bajo una póliza única 1, 2.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Pilares Técnicos (Coberturas):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Asistencia Primaria:</w:t>
      </w:r>
      <w:r w:rsidDel="00000000" w:rsidR="00000000" w:rsidRPr="00000000">
        <w:rPr>
          <w:rtl w:val="0"/>
        </w:rPr>
        <w:t xml:space="preserve"> Medicina familiar (niños hasta 15 años en pediatría), enfermería y servicios de urgencias permanentes 3-6.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Especialidades y Pruebas:</w:t>
      </w:r>
      <w:r w:rsidDel="00000000" w:rsidR="00000000" w:rsidRPr="00000000">
        <w:rPr>
          <w:rtl w:val="0"/>
        </w:rPr>
        <w:t xml:space="preserve"> Acceso a cuadro médico completo, incluyendo métodos diagnósticos de alta tecnología (TAC, RM, PET-TC con 18FDG) y métodos terapéuticos complejos (quimioterapia, radioterapia, litotricia) 7-9.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Hospitalización:</w:t>
      </w:r>
      <w:r w:rsidDel="00000000" w:rsidR="00000000" w:rsidRPr="00000000">
        <w:rPr>
          <w:rtl w:val="0"/>
        </w:rPr>
        <w:t xml:space="preserve"> Régimen de internamiento con pernocta en habitación individual convencional y cama para acompañante (excepto en psiquiatría y UVI) 10, 11.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Servicios Adicionales:</w:t>
      </w:r>
      <w:r w:rsidDel="00000000" w:rsidR="00000000" w:rsidRPr="00000000">
        <w:rPr>
          <w:rtl w:val="0"/>
        </w:rPr>
        <w:t xml:space="preserve"> Cobertura dental básica, asistencia en el extranjero (límite 12.000€) y programas de medicina preventiva 12-15.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Mecánica de la Alianza: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Nationale-Nederlanden (Entidad Abridora):</w:t>
      </w:r>
      <w:r w:rsidDel="00000000" w:rsidR="00000000" w:rsidRPr="00000000">
        <w:rPr>
          <w:rtl w:val="0"/>
        </w:rPr>
        <w:t xml:space="preserve"> Gestiona la administración financiera de la póliza, cobro de recibos (primas y copagos), emisión de documentación legal y atención de quejas administrativas 1, 16.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Sanitas (Prestador Operativo):</w:t>
      </w:r>
      <w:r w:rsidDel="00000000" w:rsidR="00000000" w:rsidRPr="00000000">
        <w:rPr>
          <w:rtl w:val="0"/>
        </w:rPr>
        <w:t xml:space="preserve"> Gestiona la red asistencial (cuadro médico), los procesos de autorización médica, la liquidación de siniestros y la plataforma tecnológica de salud digital (App/Web) 16-18.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Límites Técnicos Identificados: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Psicología:</w:t>
      </w:r>
      <w:r w:rsidDel="00000000" w:rsidR="00000000" w:rsidRPr="00000000">
        <w:rPr>
          <w:rtl w:val="0"/>
        </w:rPr>
        <w:t xml:space="preserve"> Máximo de 15 sesiones por asegurado/anualidad 19, 20.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Psiquiatría (Ingreso):</w:t>
      </w:r>
      <w:r w:rsidDel="00000000" w:rsidR="00000000" w:rsidRPr="00000000">
        <w:rPr>
          <w:rtl w:val="0"/>
        </w:rPr>
        <w:t xml:space="preserve"> Límite de 50 días por asegurado/anualidad para brotes agudos 20, 21.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Podología:</w:t>
      </w:r>
      <w:r w:rsidDel="00000000" w:rsidR="00000000" w:rsidRPr="00000000">
        <w:rPr>
          <w:rtl w:val="0"/>
        </w:rPr>
        <w:t xml:space="preserve"> Limitado a 12 sesiones de quiropodia por anualidad 20, 22.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Logopedia:</w:t>
      </w:r>
      <w:r w:rsidDel="00000000" w:rsidR="00000000" w:rsidRPr="00000000">
        <w:rPr>
          <w:rtl w:val="0"/>
        </w:rPr>
        <w:t xml:space="preserve"> Máximo de 80 sesiones anuales para patologías orgánicas específicas 20, 23.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Fisioterapia: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Alerta de Inconsistencia:</w:t>
      </w:r>
      <w:r w:rsidDel="00000000" w:rsidR="00000000" w:rsidRPr="00000000">
        <w:rPr>
          <w:rtl w:val="0"/>
        </w:rPr>
        <w:t xml:space="preserve"> Mientras el IPID generaliza el acceso, el condicionado restringe la fisioterapia ambulatoria exclusivamente a afecciones del aparato locomotor no crónicas (menos de 6 meses) 24, 25. La rehabilitación de suelo pélvico está limitada a 10 sesiones por parto 20, 26.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e8rd54by8tav" w:id="1"/>
      <w:bookmarkEnd w:id="1"/>
      <w:r w:rsidDel="00000000" w:rsidR="00000000" w:rsidRPr="00000000">
        <w:rPr>
          <w:rtl w:val="0"/>
        </w:rPr>
        <w:t xml:space="preserve">2. Análisis Forense Financiero (El Copago)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producto utiliza un mecanismo de </w:t>
      </w:r>
      <w:r w:rsidDel="00000000" w:rsidR="00000000" w:rsidRPr="00000000">
        <w:rPr>
          <w:b w:val="1"/>
          <w:bCs w:val="1"/>
          <w:rtl w:val="0"/>
        </w:rPr>
        <w:t xml:space="preserve">transferencia de coste parcial al usuario</w:t>
      </w:r>
      <w:r w:rsidDel="00000000" w:rsidR="00000000" w:rsidRPr="00000000">
        <w:rPr>
          <w:rtl w:val="0"/>
        </w:rPr>
        <w:t xml:space="preserve"> para reducir la prima fija 27, 28.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 de Copagos:</w:t>
      </w:r>
      <w:r w:rsidDel="00000000" w:rsidR="00000000" w:rsidRPr="00000000">
        <w:rPr>
          <w:rtl w:val="0"/>
        </w:rPr>
        <w:t xml:space="preserve"> Los importes exactos son variables y se definen en las Condiciones Particulares de cada contrato 29, 30. Se aplican por acto médico realizado y su impago tiene el mismo efecto legal que el impago de la prima (suspensión de cobertura) 30, 31.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Exenciones y Topes:</w:t>
      </w:r>
      <w:r w:rsidDel="00000000" w:rsidR="00000000" w:rsidRPr="00000000">
        <w:rPr>
          <w:rtl w:val="0"/>
        </w:rPr>
        <w:t xml:space="preserve"> El único servicio explícitamente mencionado como "sin coste adicional" es la videoconsulta de urgencias 32. </w:t>
      </w:r>
      <w:r w:rsidDel="00000000" w:rsidR="00000000" w:rsidRPr="00000000">
        <w:rPr>
          <w:b w:val="1"/>
          <w:bCs w:val="1"/>
          <w:rtl w:val="0"/>
        </w:rPr>
        <w:t xml:space="preserve">Alerta de Inconsistencia:</w:t>
      </w:r>
      <w:r w:rsidDel="00000000" w:rsidR="00000000" w:rsidRPr="00000000">
        <w:rPr>
          <w:rtl w:val="0"/>
        </w:rPr>
        <w:t xml:space="preserve"> No se evidencia en las Condiciones Generales un tope máximo anual de copagos (</w:t>
      </w:r>
      <w:r w:rsidDel="00000000" w:rsidR="00000000" w:rsidRPr="00000000">
        <w:rPr>
          <w:i w:val="1"/>
          <w:iCs w:val="1"/>
          <w:rtl w:val="0"/>
        </w:rPr>
        <w:t xml:space="preserve">stop-loss</w:t>
      </w:r>
      <w:r w:rsidDel="00000000" w:rsidR="00000000" w:rsidRPr="00000000">
        <w:rPr>
          <w:rtl w:val="0"/>
        </w:rPr>
        <w:t xml:space="preserve">), lo que expone al usuario a una responsabilidad financiera ilimitada en caso de uso intensivo.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Costes Ocultos (Fuera de Copago):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Materiales:</w:t>
      </w:r>
      <w:r w:rsidDel="00000000" w:rsidR="00000000" w:rsidRPr="00000000">
        <w:rPr>
          <w:rtl w:val="0"/>
        </w:rPr>
        <w:t xml:space="preserve"> En servicios de "Atención Especial en Domicilio", el material, medicación y equipamiento son por cuenta del asegurado 33.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Dispositivos:</w:t>
      </w:r>
      <w:r w:rsidDel="00000000" w:rsidR="00000000" w:rsidRPr="00000000">
        <w:rPr>
          <w:rtl w:val="0"/>
        </w:rPr>
        <w:t xml:space="preserve"> Los dispositivos DIU y los test psicométricos no están cubiertos 19, 34.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Urgencia en el extranjero:</w:t>
      </w:r>
      <w:r w:rsidDel="00000000" w:rsidR="00000000" w:rsidRPr="00000000">
        <w:rPr>
          <w:rtl w:val="0"/>
        </w:rPr>
        <w:t xml:space="preserve"> Existe una franquicia implícita; no se cubren gastos médicos menores a 3€ 35.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Asistencia Dental:</w:t>
      </w:r>
      <w:r w:rsidDel="00000000" w:rsidR="00000000" w:rsidRPr="00000000">
        <w:rPr>
          <w:rtl w:val="0"/>
        </w:rPr>
        <w:t xml:space="preserve"> Ciertos servicios requieren el pago de una "franquicia" adicional al odontólogo, independiente de los copagos de la póliza 15.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rtaomshvc3we" w:id="2"/>
      <w:bookmarkEnd w:id="2"/>
      <w:r w:rsidDel="00000000" w:rsidR="00000000" w:rsidRPr="00000000">
        <w:rPr>
          <w:rtl w:val="0"/>
        </w:rPr>
        <w:t xml:space="preserve">3. Auditoría de "Promesa vs. Realidad" (Marketing vs. Legal)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Detección de Discrepancias:</w:t>
      </w:r>
      <w:r w:rsidDel="00000000" w:rsidR="00000000" w:rsidRPr="00000000">
        <w:rPr>
          <w:rtl w:val="0"/>
        </w:rPr>
        <w:t xml:space="preserve"> El marketing promociona una "protección siempre ante cualquier imprevisto" 27. Sin embargo, el análisis forense legal revela una arquitectura basada en la </w:t>
      </w:r>
      <w:r w:rsidDel="00000000" w:rsidR="00000000" w:rsidRPr="00000000">
        <w:rPr>
          <w:b w:val="1"/>
          <w:bCs w:val="1"/>
          <w:rtl w:val="0"/>
        </w:rPr>
        <w:t xml:space="preserve">exclusión rigurosa de preexistencias</w:t>
      </w:r>
      <w:r w:rsidDel="00000000" w:rsidR="00000000" w:rsidRPr="00000000">
        <w:rPr>
          <w:rtl w:val="0"/>
        </w:rPr>
        <w:t xml:space="preserve">, incluyendo sintomatología no diagnosticada previa a la firma del cuestionario 36-38.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Carencias (Periodos de Latencia):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 meses:</w:t>
      </w:r>
      <w:r w:rsidDel="00000000" w:rsidR="00000000" w:rsidRPr="00000000">
        <w:rPr>
          <w:rtl w:val="0"/>
        </w:rPr>
        <w:t xml:space="preserve"> Intervenciones quirúrgicas ambulatorias (Grupo 0 a II) 25, 39.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 meses:</w:t>
      </w:r>
      <w:r w:rsidDel="00000000" w:rsidR="00000000" w:rsidRPr="00000000">
        <w:rPr>
          <w:rtl w:val="0"/>
        </w:rPr>
        <w:t xml:space="preserve"> Psicología y pruebas diagnósticas complejas 25, 39.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 meses:</w:t>
      </w:r>
      <w:r w:rsidDel="00000000" w:rsidR="00000000" w:rsidRPr="00000000">
        <w:rPr>
          <w:rtl w:val="0"/>
        </w:rPr>
        <w:t xml:space="preserve"> Parto o cesárea (salvo partos prematuros de menos de 37 semanas) 39, 40.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 meses:</w:t>
      </w:r>
      <w:r w:rsidDel="00000000" w:rsidR="00000000" w:rsidRPr="00000000">
        <w:rPr>
          <w:rtl w:val="0"/>
        </w:rPr>
        <w:t xml:space="preserve"> Hospitalización, cirugía compleja (Grupo III a VIII), vasectomía y métodos terapéuticos complejos 25, 39.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Preexistencias:</w:t>
      </w:r>
      <w:r w:rsidDel="00000000" w:rsidR="00000000" w:rsidRPr="00000000">
        <w:rPr>
          <w:rtl w:val="0"/>
        </w:rPr>
        <w:t xml:space="preserve"> Cualquier condición de salud conocida antes del alta es motivo de exclusión o rechazo de la póliza 38, 41. La ocultación de datos en el cuestionario de salud faculta a la compañía para cancelar la póliza sin devolver las primas 42.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4bao8ziba0af" w:id="3"/>
      <w:bookmarkEnd w:id="3"/>
      <w:r w:rsidDel="00000000" w:rsidR="00000000" w:rsidRPr="00000000">
        <w:rPr>
          <w:rtl w:val="0"/>
        </w:rPr>
        <w:t xml:space="preserve">4. Experiencia de Usuario (CX) y Canales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Canal Digital:</w:t>
      </w:r>
      <w:r w:rsidDel="00000000" w:rsidR="00000000" w:rsidRPr="00000000">
        <w:rPr>
          <w:rtl w:val="0"/>
        </w:rPr>
        <w:t xml:space="preserve"> Centralizado en la App de Nationale-Nederlanden/Sanitas 43, 44. Permite tarjeta digital, gestión de reembolsos y "Carpeta de Salud" 44-46. Los servicios de "Blua" (entrenador personal, programas de salud) son </w:t>
      </w:r>
      <w:r w:rsidDel="00000000" w:rsidR="00000000" w:rsidRPr="00000000">
        <w:rPr>
          <w:b w:val="1"/>
          <w:bCs w:val="1"/>
          <w:rtl w:val="0"/>
        </w:rPr>
        <w:t xml:space="preserve">exclusivamente digitales</w:t>
      </w:r>
      <w:r w:rsidDel="00000000" w:rsidR="00000000" w:rsidRPr="00000000">
        <w:rPr>
          <w:rtl w:val="0"/>
        </w:rPr>
        <w:t xml:space="preserve"> mediante comunicación a distancia 47, 48.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Canal Físico:</w:t>
      </w:r>
      <w:r w:rsidDel="00000000" w:rsidR="00000000" w:rsidRPr="00000000">
        <w:rPr>
          <w:rtl w:val="0"/>
        </w:rPr>
        <w:t xml:space="preserve"> Acceso mediante red concertada de más de 58.000 médicos y centros propios/concertados de Sanitas 49, 50. Requiere identificación mediante tarjeta y DNI 29.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Fricción Operativa (Autorizaciones):</w:t>
      </w:r>
      <w:r w:rsidDel="00000000" w:rsidR="00000000" w:rsidRPr="00000000">
        <w:rPr>
          <w:rtl w:val="0"/>
        </w:rPr>
        <w:t xml:space="preserve"> El sistema impone un flujo de aprobación previa para: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Ingresos hospitalarios e intervenciones quirúrgicas 51.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diagnósticas y métodos terapéuticos complejos 51.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Psicología (requiere prescripción previa de psiquiatra u otro especialista concertado) 51.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Punto Crítico:</w:t>
      </w:r>
      <w:r w:rsidDel="00000000" w:rsidR="00000000" w:rsidRPr="00000000">
        <w:rPr>
          <w:rtl w:val="0"/>
        </w:rPr>
        <w:t xml:space="preserve"> En cirugías de alta complejidad (neurocirugía, cardíaca, columna), la compañía se reserva el derecho de </w:t>
      </w:r>
      <w:r w:rsidDel="00000000" w:rsidR="00000000" w:rsidRPr="00000000">
        <w:rPr>
          <w:b w:val="1"/>
          <w:bCs w:val="1"/>
          <w:rtl w:val="0"/>
        </w:rPr>
        <w:t xml:space="preserve">designar expresamente el facultativo y el centro</w:t>
      </w:r>
      <w:r w:rsidDel="00000000" w:rsidR="00000000" w:rsidRPr="00000000">
        <w:rPr>
          <w:rtl w:val="0"/>
        </w:rPr>
        <w:t xml:space="preserve">, limitando la libre elección del usuario dentro del cuadro 52.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ou0ndbocjsqo" w:id="4"/>
      <w:bookmarkEnd w:id="4"/>
      <w:r w:rsidDel="00000000" w:rsidR="00000000" w:rsidRPr="00000000">
        <w:rPr>
          <w:rtl w:val="0"/>
        </w:rPr>
        <w:t xml:space="preserve">Conclusión Ejecutiva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 producto </w:t>
      </w:r>
      <w:r w:rsidDel="00000000" w:rsidR="00000000" w:rsidRPr="00000000">
        <w:rPr>
          <w:b w:val="1"/>
          <w:bCs w:val="1"/>
          <w:rtl w:val="0"/>
        </w:rPr>
        <w:t xml:space="preserve">Salud Completo Copago</w:t>
      </w:r>
      <w:r w:rsidDel="00000000" w:rsidR="00000000" w:rsidRPr="00000000">
        <w:rPr>
          <w:rtl w:val="0"/>
        </w:rPr>
        <w:t xml:space="preserve"> es una solución de ingeniería de seguros eficiente para un </w:t>
      </w:r>
      <w:r w:rsidDel="00000000" w:rsidR="00000000" w:rsidRPr="00000000">
        <w:rPr>
          <w:b w:val="1"/>
          <w:bCs w:val="1"/>
          <w:rtl w:val="0"/>
        </w:rPr>
        <w:t xml:space="preserve">usuario de perfil bajo o medio</w:t>
      </w:r>
      <w:r w:rsidDel="00000000" w:rsidR="00000000" w:rsidRPr="00000000">
        <w:rPr>
          <w:rtl w:val="0"/>
        </w:rPr>
        <w:t xml:space="preserve"> que busca acceso ágil a la sanidad privada con una prima competitiva. Su arquitectura digital y programas preventivos aportan un valor diferencial en la gestión de la salud cotidiana.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Sin embargo, para un </w:t>
      </w:r>
      <w:r w:rsidDel="00000000" w:rsidR="00000000" w:rsidRPr="00000000">
        <w:rPr>
          <w:b w:val="1"/>
          <w:bCs w:val="1"/>
          <w:rtl w:val="0"/>
        </w:rPr>
        <w:t xml:space="preserve">usuario intensivo o con patologías crónicas</w:t>
      </w:r>
      <w:r w:rsidDel="00000000" w:rsidR="00000000" w:rsidRPr="00000000">
        <w:rPr>
          <w:rtl w:val="0"/>
        </w:rPr>
        <w:t xml:space="preserve">, el producto presenta riesgos operativos y financieros: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de Liquidez:</w:t>
      </w:r>
      <w:r w:rsidDel="00000000" w:rsidR="00000000" w:rsidRPr="00000000">
        <w:rPr>
          <w:rtl w:val="0"/>
        </w:rPr>
        <w:t xml:space="preserve"> La ausencia de un tope anual de copagos puede generar un estrés financiero no previsto.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Fricción en Alta Complejidad:</w:t>
      </w:r>
      <w:r w:rsidDel="00000000" w:rsidR="00000000" w:rsidRPr="00000000">
        <w:rPr>
          <w:rtl w:val="0"/>
        </w:rPr>
        <w:t xml:space="preserve"> La obligatoriedad de usar centros designados en cirugías críticas reduce la autonomía del paciente.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Barreras de Entrada:</w:t>
      </w:r>
      <w:r w:rsidDel="00000000" w:rsidR="00000000" w:rsidRPr="00000000">
        <w:rPr>
          <w:rtl w:val="0"/>
        </w:rPr>
        <w:t xml:space="preserve"> La política de preexistencias y los amplios periodos de carencia (hasta 10 meses) penalizan la contratación reactiva ante una enfermedad ya detectada.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