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informe técnico analiza el producto </w:t>
      </w:r>
      <w:r w:rsidDel="00000000" w:rsidR="00000000" w:rsidRPr="00000000">
        <w:rPr>
          <w:b w:val="1"/>
          <w:bCs w:val="1"/>
          <w:rtl w:val="0"/>
        </w:rPr>
        <w:t xml:space="preserve">Salud Completo Copago Autónomo</w:t>
      </w:r>
      <w:r w:rsidDel="00000000" w:rsidR="00000000" w:rsidRPr="00000000">
        <w:rPr>
          <w:rtl w:val="0"/>
        </w:rPr>
        <w:t xml:space="preserve">, una solución de coaseguro al 50% entre </w:t>
      </w:r>
      <w:r w:rsidDel="00000000" w:rsidR="00000000" w:rsidRPr="00000000">
        <w:rPr>
          <w:b w:val="1"/>
          <w:bCs w:val="1"/>
          <w:rtl w:val="0"/>
        </w:rPr>
        <w:t xml:space="preserve">Nationale-Nederlanden</w:t>
      </w:r>
      <w:r w:rsidDel="00000000" w:rsidR="00000000" w:rsidRPr="00000000">
        <w:rPr>
          <w:rtl w:val="0"/>
        </w:rPr>
        <w:t xml:space="preserve"> (gestión de póliza y recibos) y </w:t>
      </w:r>
      <w:r w:rsidDel="00000000" w:rsidR="00000000" w:rsidRPr="00000000">
        <w:rPr>
          <w:b w:val="1"/>
          <w:bCs w:val="1"/>
          <w:rtl w:val="0"/>
        </w:rPr>
        <w:t xml:space="preserve">Sanitas</w:t>
      </w:r>
      <w:r w:rsidDel="00000000" w:rsidR="00000000" w:rsidRPr="00000000">
        <w:rPr>
          <w:rtl w:val="0"/>
        </w:rPr>
        <w:t xml:space="preserve"> (prestación asistencial) 1-3.</w:t>
      </w:r>
    </w:p>
    <w:p w:rsidR="00000000" w:rsidDel="00000000" w:rsidP="00000000" w:rsidRDefault="00000000" w:rsidRPr="00000000" w14:paraId="00000002">
      <w:pPr>
        <w:pStyle w:val="Heading3"/>
        <w:rPr/>
      </w:pPr>
      <w:bookmarkStart w:colFirst="0" w:colLast="0" w:name="_glk3bsvscna4" w:id="0"/>
      <w:bookmarkEnd w:id="0"/>
      <w:r w:rsidDel="00000000" w:rsidR="00000000" w:rsidRPr="00000000">
        <w:rPr>
          <w:rtl w:val="0"/>
        </w:rPr>
        <w:t xml:space="preserve">1. ARQUITECTURA TÉCNICA Y COBERTURAS (El "Core")</w:t>
      </w:r>
    </w:p>
    <w:p w:rsidR="00000000" w:rsidDel="00000000" w:rsidP="00000000" w:rsidRDefault="00000000" w:rsidRPr="00000000" w14:paraId="00000003">
      <w:pPr>
        <w:rPr/>
      </w:pPr>
      <w:r w:rsidDel="00000000" w:rsidR="00000000" w:rsidRPr="00000000">
        <w:rPr>
          <w:rtl w:val="0"/>
        </w:rPr>
        <w:t xml:space="preserve">El producto ofrece una asistencia sanitaria completa que integra medicina primaria, especialistas y hospitalización 4, 5.</w:t>
      </w:r>
    </w:p>
    <w:p w:rsidR="00000000" w:rsidDel="00000000" w:rsidP="00000000" w:rsidRDefault="00000000" w:rsidRPr="00000000" w14:paraId="00000004">
      <w:pPr>
        <w:numPr>
          <w:ilvl w:val="0"/>
          <w:numId w:val="1"/>
        </w:numPr>
        <w:ind w:left="720" w:hanging="360"/>
        <w:rPr>
          <w:b w:val="1"/>
          <w:bCs w:val="1"/>
          <w:u w:val="none"/>
        </w:rPr>
      </w:pPr>
      <w:r w:rsidDel="00000000" w:rsidR="00000000" w:rsidRPr="00000000">
        <w:rPr>
          <w:b w:val="1"/>
          <w:bCs w:val="1"/>
          <w:rtl w:val="0"/>
        </w:rPr>
        <w:t xml:space="preserve">Mapeo de Coberturas: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Asistencia Primaria:</w:t>
      </w:r>
      <w:r w:rsidDel="00000000" w:rsidR="00000000" w:rsidRPr="00000000">
        <w:rPr>
          <w:rtl w:val="0"/>
        </w:rPr>
        <w:t xml:space="preserve"> Medicina familiar, pediatría (hasta los 15 años) y enfermería 6, 7.</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Especialidades:</w:t>
      </w:r>
      <w:r w:rsidDel="00000000" w:rsidR="00000000" w:rsidRPr="00000000">
        <w:rPr>
          <w:rtl w:val="0"/>
        </w:rPr>
        <w:t xml:space="preserve"> Acceso a todas las especialidades médicas (Cardiología, Ginecología, Oncología, etc.) y pruebas diagnósticas (simples y de alta tecnología como PET/TC o Resonancia) 4, 8, 9.</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Hospitalización:</w:t>
      </w:r>
      <w:r w:rsidDel="00000000" w:rsidR="00000000" w:rsidRPr="00000000">
        <w:rPr>
          <w:rtl w:val="0"/>
        </w:rPr>
        <w:t xml:space="preserve"> Incluye pernocta en habitación individual convencional con cama de acompañante (excepto en psiquiatría y UVI) 10.</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Análisis de "Letra Pequeña" (Límites y Exclusiones):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Psicología:</w:t>
      </w:r>
      <w:r w:rsidDel="00000000" w:rsidR="00000000" w:rsidRPr="00000000">
        <w:rPr>
          <w:rtl w:val="0"/>
        </w:rPr>
        <w:t xml:space="preserve"> Limitada a </w:t>
      </w:r>
      <w:r w:rsidDel="00000000" w:rsidR="00000000" w:rsidRPr="00000000">
        <w:rPr>
          <w:b w:val="1"/>
          <w:bCs w:val="1"/>
          <w:rtl w:val="0"/>
        </w:rPr>
        <w:t xml:space="preserve">15 sesiones</w:t>
      </w:r>
      <w:r w:rsidDel="00000000" w:rsidR="00000000" w:rsidRPr="00000000">
        <w:rPr>
          <w:rtl w:val="0"/>
        </w:rPr>
        <w:t xml:space="preserve"> por asegurado/año 11, 12.</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Podología:</w:t>
      </w:r>
      <w:r w:rsidDel="00000000" w:rsidR="00000000" w:rsidRPr="00000000">
        <w:rPr>
          <w:rtl w:val="0"/>
        </w:rPr>
        <w:t xml:space="preserve"> Limitada a </w:t>
      </w:r>
      <w:r w:rsidDel="00000000" w:rsidR="00000000" w:rsidRPr="00000000">
        <w:rPr>
          <w:b w:val="1"/>
          <w:bCs w:val="1"/>
          <w:rtl w:val="0"/>
        </w:rPr>
        <w:t xml:space="preserve">12 sesiones</w:t>
      </w:r>
      <w:r w:rsidDel="00000000" w:rsidR="00000000" w:rsidRPr="00000000">
        <w:rPr>
          <w:rtl w:val="0"/>
        </w:rPr>
        <w:t xml:space="preserve"> de quiropodia/año 12, 13.</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Psiquiatría:</w:t>
      </w:r>
      <w:r w:rsidDel="00000000" w:rsidR="00000000" w:rsidRPr="00000000">
        <w:rPr>
          <w:rtl w:val="0"/>
        </w:rPr>
        <w:t xml:space="preserve"> Límite de </w:t>
      </w:r>
      <w:r w:rsidDel="00000000" w:rsidR="00000000" w:rsidRPr="00000000">
        <w:rPr>
          <w:b w:val="1"/>
          <w:bCs w:val="1"/>
          <w:rtl w:val="0"/>
        </w:rPr>
        <w:t xml:space="preserve">50 días</w:t>
      </w:r>
      <w:r w:rsidDel="00000000" w:rsidR="00000000" w:rsidRPr="00000000">
        <w:rPr>
          <w:rtl w:val="0"/>
        </w:rPr>
        <w:t xml:space="preserve"> de ingreso por año 12, 14.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Exclusiones Críticas:</w:t>
      </w:r>
      <w:r w:rsidDel="00000000" w:rsidR="00000000" w:rsidRPr="00000000">
        <w:rPr>
          <w:rtl w:val="0"/>
        </w:rPr>
        <w:t xml:space="preserve"> No cubre cirugía robótica, cirugía bariátrica para obesidad, radiocirugía, ni medicamentos no comercializados en España 15-18.</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Valor Añadido Sanitas:</w:t>
      </w:r>
      <w:r w:rsidDel="00000000" w:rsidR="00000000" w:rsidRPr="00000000">
        <w:rPr>
          <w:rtl w:val="0"/>
        </w:rPr>
        <w:t xml:space="preserve"> El asegurado accede a un cuadro médico de más de </w:t>
      </w:r>
      <w:r w:rsidDel="00000000" w:rsidR="00000000" w:rsidRPr="00000000">
        <w:rPr>
          <w:b w:val="1"/>
          <w:bCs w:val="1"/>
          <w:rtl w:val="0"/>
        </w:rPr>
        <w:t xml:space="preserve">58.000 profesionales</w:t>
      </w:r>
      <w:r w:rsidDel="00000000" w:rsidR="00000000" w:rsidRPr="00000000">
        <w:rPr>
          <w:rtl w:val="0"/>
        </w:rPr>
        <w:t xml:space="preserve"> y </w:t>
      </w:r>
      <w:r w:rsidDel="00000000" w:rsidR="00000000" w:rsidRPr="00000000">
        <w:rPr>
          <w:b w:val="1"/>
          <w:bCs w:val="1"/>
          <w:rtl w:val="0"/>
        </w:rPr>
        <w:t xml:space="preserve">4.500 centros</w:t>
      </w:r>
      <w:r w:rsidDel="00000000" w:rsidR="00000000" w:rsidRPr="00000000">
        <w:rPr>
          <w:rtl w:val="0"/>
        </w:rPr>
        <w:t xml:space="preserve"> 19, 20. Se incluye el acceso a la red de </w:t>
      </w:r>
      <w:r w:rsidDel="00000000" w:rsidR="00000000" w:rsidRPr="00000000">
        <w:rPr>
          <w:b w:val="1"/>
          <w:bCs w:val="1"/>
          <w:rtl w:val="0"/>
        </w:rPr>
        <w:t xml:space="preserve">centros propios de Sanitas</w:t>
      </w:r>
      <w:r w:rsidDel="00000000" w:rsidR="00000000" w:rsidRPr="00000000">
        <w:rPr>
          <w:rtl w:val="0"/>
        </w:rPr>
        <w:t xml:space="preserve"> (5 hospitales actuales y 3 en proyecto, además de centros multiespecialidad) 21, 22.</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Cobertura Dental:</w:t>
      </w:r>
      <w:r w:rsidDel="00000000" w:rsidR="00000000" w:rsidRPr="00000000">
        <w:rPr>
          <w:rtl w:val="0"/>
        </w:rPr>
        <w:t xml:space="preserve"> Incluye una cobertura dental básica que contempla consultas, limpiezas, extracciones simples y urgencias 23.</w:t>
      </w:r>
    </w:p>
    <w:p w:rsidR="00000000" w:rsidDel="00000000" w:rsidP="00000000" w:rsidRDefault="00000000" w:rsidRPr="00000000" w14:paraId="0000000F">
      <w:pPr>
        <w:rPr/>
      </w:pPr>
      <w:r w:rsidDel="00000000" w:rsidR="00000000" w:rsidRPr="00000000">
        <w:rPr>
          <w:b w:val="1"/>
          <w:bCs w:val="1"/>
          <w:rtl w:val="0"/>
        </w:rPr>
        <w:t xml:space="preserve">Tabla de Periodos de Carencia:</w:t>
      </w:r>
      <w:r w:rsidDel="00000000" w:rsidR="00000000" w:rsidRPr="00000000">
        <w:rPr>
          <w:rtl w:val="0"/>
        </w:rPr>
        <w:t xml:space="preserve">| Prestación | Plazo de Carencia || :--- | :--- || Intervenciones quirúrgicas (Grupo 0 al II) | 3 meses 24, 25 || Psicología y Pruebas diagnósticas complejas | 6 meses 24, 25 || Parto o cesárea (salvo prematuro &lt;37 semanas) | 8 meses 24, 25 || Métodos terapéuticos complejos y Vasectomía/Ligadura | 10 meses 24, 25 || Hospitalización e Intervenciones (Grupo III al VIII) | 10 meses 24, 25 |</w:t>
      </w:r>
    </w:p>
    <w:p w:rsidR="00000000" w:rsidDel="00000000" w:rsidP="00000000" w:rsidRDefault="00000000" w:rsidRPr="00000000" w14:paraId="00000010">
      <w:pPr>
        <w:pStyle w:val="Heading3"/>
        <w:rPr/>
      </w:pPr>
      <w:bookmarkStart w:colFirst="0" w:colLast="0" w:name="_25uusrcgg397" w:id="1"/>
      <w:bookmarkEnd w:id="1"/>
      <w:r w:rsidDel="00000000" w:rsidR="00000000" w:rsidRPr="00000000">
        <w:rPr>
          <w:rtl w:val="0"/>
        </w:rPr>
        <w:t xml:space="preserve">2. ESTRUCTURA FINANCIERA Y COPAGOS (El "Coste")</w:t>
      </w:r>
    </w:p>
    <w:p w:rsidR="00000000" w:rsidDel="00000000" w:rsidP="00000000" w:rsidRDefault="00000000" w:rsidRPr="00000000" w14:paraId="00000011">
      <w:pPr>
        <w:rPr/>
      </w:pPr>
      <w:r w:rsidDel="00000000" w:rsidR="00000000" w:rsidRPr="00000000">
        <w:rPr>
          <w:rtl w:val="0"/>
        </w:rPr>
        <w:t xml:space="preserve">El producto utiliza una estructura de </w:t>
      </w:r>
      <w:r w:rsidDel="00000000" w:rsidR="00000000" w:rsidRPr="00000000">
        <w:rPr>
          <w:b w:val="1"/>
          <w:bCs w:val="1"/>
          <w:rtl w:val="0"/>
        </w:rPr>
        <w:t xml:space="preserve">copago proporcional</w:t>
      </w:r>
      <w:r w:rsidDel="00000000" w:rsidR="00000000" w:rsidRPr="00000000">
        <w:rPr>
          <w:rtl w:val="0"/>
        </w:rPr>
        <w:t xml:space="preserve">, donde el asegurado participa en el coste de cada acto médico 26, 27.</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Ingeniería de Copagos:</w:t>
      </w:r>
      <w:r w:rsidDel="00000000" w:rsidR="00000000" w:rsidRPr="00000000">
        <w:rPr>
          <w:rtl w:val="0"/>
        </w:rPr>
        <w:t xml:space="preserve"> Aunque el Condicionado General indica que los importes específicos figuran en las </w:t>
      </w:r>
      <w:r w:rsidDel="00000000" w:rsidR="00000000" w:rsidRPr="00000000">
        <w:rPr>
          <w:b w:val="1"/>
          <w:bCs w:val="1"/>
          <w:rtl w:val="0"/>
        </w:rPr>
        <w:t xml:space="preserve">Condiciones Particulares</w:t>
      </w:r>
      <w:r w:rsidDel="00000000" w:rsidR="00000000" w:rsidRPr="00000000">
        <w:rPr>
          <w:rtl w:val="0"/>
        </w:rPr>
        <w:t xml:space="preserve"> 28, 29, el modelo se define como un sistema donde el coste es proporcional al uso, lo que permite una prima mensual más reducida 26, 30.</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Límite de Exposición:</w:t>
      </w:r>
      <w:r w:rsidDel="00000000" w:rsidR="00000000" w:rsidRPr="00000000">
        <w:rPr>
          <w:rtl w:val="0"/>
        </w:rPr>
        <w:t xml:space="preserve"> El condicionado analizado no especifica un tope máximo anual de copagos de salud (dato que suele residir en las Condiciones Particulares), pero sí establece un </w:t>
      </w:r>
      <w:r w:rsidDel="00000000" w:rsidR="00000000" w:rsidRPr="00000000">
        <w:rPr>
          <w:b w:val="1"/>
          <w:bCs w:val="1"/>
          <w:rtl w:val="0"/>
        </w:rPr>
        <w:t xml:space="preserve">límite de 200€ anuales</w:t>
      </w:r>
      <w:r w:rsidDel="00000000" w:rsidR="00000000" w:rsidRPr="00000000">
        <w:rPr>
          <w:rtl w:val="0"/>
        </w:rPr>
        <w:t xml:space="preserve"> para la garantía de "Protección de Pagos" en caso de incapacidad 31, 32.</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Fiscalidad (Deducibilidad):</w:t>
      </w:r>
      <w:r w:rsidDel="00000000" w:rsidR="00000000" w:rsidRPr="00000000">
        <w:rPr>
          <w:rtl w:val="0"/>
        </w:rPr>
        <w:t xml:space="preserve"> Como producto para autónomos, las primas son </w:t>
      </w:r>
      <w:r w:rsidDel="00000000" w:rsidR="00000000" w:rsidRPr="00000000">
        <w:rPr>
          <w:b w:val="1"/>
          <w:bCs w:val="1"/>
          <w:rtl w:val="0"/>
        </w:rPr>
        <w:t xml:space="preserve">deducibles en el IRPF</w:t>
      </w:r>
      <w:r w:rsidDel="00000000" w:rsidR="00000000" w:rsidRPr="00000000">
        <w:rPr>
          <w:rtl w:val="0"/>
        </w:rPr>
        <w:t xml:space="preserve"> como gasto de la actividad económica. El límite legal (basado en normativa externa vigente, aunque el documento alude a la condición de residente fiscal) es generalmente de </w:t>
      </w:r>
      <w:r w:rsidDel="00000000" w:rsidR="00000000" w:rsidRPr="00000000">
        <w:rPr>
          <w:b w:val="1"/>
          <w:bCs w:val="1"/>
          <w:rtl w:val="0"/>
        </w:rPr>
        <w:t xml:space="preserve">500€ por persona/año</w:t>
      </w:r>
      <w:r w:rsidDel="00000000" w:rsidR="00000000" w:rsidRPr="00000000">
        <w:rPr>
          <w:rtl w:val="0"/>
        </w:rPr>
        <w:t xml:space="preserve"> (asegurado, cónyuge e hijos menores de 25 años que convivan) 33, 34.</w:t>
      </w:r>
    </w:p>
    <w:p w:rsidR="00000000" w:rsidDel="00000000" w:rsidP="00000000" w:rsidRDefault="00000000" w:rsidRPr="00000000" w14:paraId="00000015">
      <w:pPr>
        <w:pStyle w:val="Heading3"/>
        <w:rPr/>
      </w:pPr>
      <w:bookmarkStart w:colFirst="0" w:colLast="0" w:name="_i6pz8o8z39wd" w:id="2"/>
      <w:bookmarkEnd w:id="2"/>
      <w:r w:rsidDel="00000000" w:rsidR="00000000" w:rsidRPr="00000000">
        <w:rPr>
          <w:rtl w:val="0"/>
        </w:rPr>
        <w:t xml:space="preserve">3. EL "PACK AUTÓNOMO" (Protección Específica)</w:t>
      </w:r>
    </w:p>
    <w:p w:rsidR="00000000" w:rsidDel="00000000" w:rsidP="00000000" w:rsidRDefault="00000000" w:rsidRPr="00000000" w14:paraId="00000016">
      <w:pPr>
        <w:rPr/>
      </w:pPr>
      <w:r w:rsidDel="00000000" w:rsidR="00000000" w:rsidRPr="00000000">
        <w:rPr>
          <w:rtl w:val="0"/>
        </w:rPr>
        <w:t xml:space="preserve">Este producto se diferencia de una póliza de particulares por incluir garantías que mitigan el impacto de una enfermedad en la actividad profesional del autónomo 35.</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Garantía de Accidentes de Tráfico y Laborales:</w:t>
      </w:r>
      <w:r w:rsidDel="00000000" w:rsidR="00000000" w:rsidRPr="00000000">
        <w:rPr>
          <w:rtl w:val="0"/>
        </w:rPr>
        <w:t xml:space="preserve"> A diferencia de muchas pólizas privadas que los excluyen, este producto cubre la asistencia sanitaria derivada de accidentes de trabajo y tráfico 36, 37.</w:t>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Protección Total para Profesionales (si hay hospitalización &gt;72h o inmovilización):</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Auxiliar a domicilio:</w:t>
      </w:r>
      <w:r w:rsidDel="00000000" w:rsidR="00000000" w:rsidRPr="00000000">
        <w:rPr>
          <w:rtl w:val="0"/>
        </w:rPr>
        <w:t xml:space="preserve"> Hasta 30 horas para tareas del hogar (limpieza, cocina) 37, 38.</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Envío de medicamentos:</w:t>
      </w:r>
      <w:r w:rsidDel="00000000" w:rsidR="00000000" w:rsidRPr="00000000">
        <w:rPr>
          <w:rtl w:val="0"/>
        </w:rPr>
        <w:t xml:space="preserve"> Búsqueda y entrega a domicilio (coste del fármaco aparte) 39, 40.</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Garantía de movilidad:</w:t>
      </w:r>
      <w:r w:rsidDel="00000000" w:rsidR="00000000" w:rsidRPr="00000000">
        <w:rPr>
          <w:rtl w:val="0"/>
        </w:rPr>
        <w:t xml:space="preserve"> 2 servicios de taxi semanales (radio 30km) para gestiones profesionales 41, 42.</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Correo en casa:</w:t>
      </w:r>
      <w:r w:rsidDel="00000000" w:rsidR="00000000" w:rsidRPr="00000000">
        <w:rPr>
          <w:rtl w:val="0"/>
        </w:rPr>
        <w:t xml:space="preserve"> Recogida de correspondencia de la oficina por taxi (2 veces/semana) 41, 42.</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Pronta recuperación:</w:t>
      </w:r>
      <w:r w:rsidDel="00000000" w:rsidR="00000000" w:rsidRPr="00000000">
        <w:rPr>
          <w:rtl w:val="0"/>
        </w:rPr>
        <w:t xml:space="preserve"> Hasta 20 horas de fisioterapeuta a domicilio por anualidad 32, 43.</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Protección de Pagos:</w:t>
      </w:r>
      <w:r w:rsidDel="00000000" w:rsidR="00000000" w:rsidRPr="00000000">
        <w:rPr>
          <w:rtl w:val="0"/>
        </w:rPr>
        <w:t xml:space="preserve"> Indemnización equivalente a una mensualidad de la prima (hasta 200€/año) si el tomador está de baja o ingresado más de 3 días 31, 32, 43.</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Garantía de Decesos por Accidente:</w:t>
      </w:r>
      <w:r w:rsidDel="00000000" w:rsidR="00000000" w:rsidRPr="00000000">
        <w:rPr>
          <w:rtl w:val="0"/>
        </w:rPr>
        <w:t xml:space="preserve"> Suma asegurada de </w:t>
      </w:r>
      <w:r w:rsidDel="00000000" w:rsidR="00000000" w:rsidRPr="00000000">
        <w:rPr>
          <w:b w:val="1"/>
          <w:bCs w:val="1"/>
          <w:rtl w:val="0"/>
        </w:rPr>
        <w:t xml:space="preserve">5.250€</w:t>
      </w:r>
      <w:r w:rsidDel="00000000" w:rsidR="00000000" w:rsidRPr="00000000">
        <w:rPr>
          <w:rtl w:val="0"/>
        </w:rPr>
        <w:t xml:space="preserve"> para gastos de sepelio si el fallecimiento es accidental 44, 45.</w:t>
      </w:r>
    </w:p>
    <w:p w:rsidR="00000000" w:rsidDel="00000000" w:rsidP="00000000" w:rsidRDefault="00000000" w:rsidRPr="00000000" w14:paraId="00000020">
      <w:pPr>
        <w:pStyle w:val="Heading3"/>
        <w:rPr/>
      </w:pPr>
      <w:bookmarkStart w:colFirst="0" w:colLast="0" w:name="_51a4ho3gkg6o" w:id="3"/>
      <w:bookmarkEnd w:id="3"/>
      <w:r w:rsidDel="00000000" w:rsidR="00000000" w:rsidRPr="00000000">
        <w:rPr>
          <w:rtl w:val="0"/>
        </w:rPr>
        <w:t xml:space="preserve">4. EXPERIENCIA DE USUARIO Y CANALES DIGITALES (El "UX")</w:t>
      </w:r>
    </w:p>
    <w:p w:rsidR="00000000" w:rsidDel="00000000" w:rsidP="00000000" w:rsidRDefault="00000000" w:rsidRPr="00000000" w14:paraId="00000021">
      <w:pPr>
        <w:rPr/>
      </w:pPr>
      <w:r w:rsidDel="00000000" w:rsidR="00000000" w:rsidRPr="00000000">
        <w:rPr>
          <w:rtl w:val="0"/>
        </w:rPr>
        <w:t xml:space="preserve">El ecosistema digital es un pilar central del producto, integrando servicios de la plataforma </w:t>
      </w:r>
      <w:r w:rsidDel="00000000" w:rsidR="00000000" w:rsidRPr="00000000">
        <w:rPr>
          <w:b w:val="1"/>
          <w:bCs w:val="1"/>
          <w:rtl w:val="0"/>
        </w:rPr>
        <w:t xml:space="preserve">Blua</w:t>
      </w:r>
      <w:r w:rsidDel="00000000" w:rsidR="00000000" w:rsidRPr="00000000">
        <w:rPr>
          <w:rtl w:val="0"/>
        </w:rPr>
        <w:t xml:space="preserve"> de Sanitas 22, 46.</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Gestión Unificada:</w:t>
      </w:r>
      <w:r w:rsidDel="00000000" w:rsidR="00000000" w:rsidRPr="00000000">
        <w:rPr>
          <w:rtl w:val="0"/>
        </w:rPr>
        <w:t xml:space="preserve"> El cliente interactúa principalmente a través de la </w:t>
      </w:r>
      <w:r w:rsidDel="00000000" w:rsidR="00000000" w:rsidRPr="00000000">
        <w:rPr>
          <w:b w:val="1"/>
          <w:bCs w:val="1"/>
          <w:rtl w:val="0"/>
        </w:rPr>
        <w:t xml:space="preserve">App de Nationale-Nederlanden</w:t>
      </w:r>
      <w:r w:rsidDel="00000000" w:rsidR="00000000" w:rsidRPr="00000000">
        <w:rPr>
          <w:rtl w:val="0"/>
        </w:rPr>
        <w:t xml:space="preserve">, donde puede gestionar citas (online y presencial), autorizaciones, consultar informes médicos en la "Carpeta de Salud" y ver sus recibos de copagos 47-49.</w:t>
      </w:r>
    </w:p>
    <w:p w:rsidR="00000000" w:rsidDel="00000000" w:rsidP="00000000" w:rsidRDefault="00000000" w:rsidRPr="00000000" w14:paraId="00000023">
      <w:pPr>
        <w:numPr>
          <w:ilvl w:val="0"/>
          <w:numId w:val="5"/>
        </w:numPr>
        <w:ind w:left="720" w:hanging="360"/>
        <w:rPr>
          <w:b w:val="1"/>
          <w:bCs w:val="1"/>
        </w:rPr>
      </w:pPr>
      <w:r w:rsidDel="00000000" w:rsidR="00000000" w:rsidRPr="00000000">
        <w:rPr>
          <w:b w:val="1"/>
          <w:bCs w:val="1"/>
          <w:rtl w:val="0"/>
        </w:rPr>
        <w:t xml:space="preserve">Telemedicina y Servicios Blua:</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Videoconsulta 24h:</w:t>
      </w:r>
      <w:r w:rsidDel="00000000" w:rsidR="00000000" w:rsidRPr="00000000">
        <w:rPr>
          <w:rtl w:val="0"/>
        </w:rPr>
        <w:t xml:space="preserve"> Disponible para medicina de urgencias (general y pediátrica) y especialistas, </w:t>
      </w:r>
      <w:r w:rsidDel="00000000" w:rsidR="00000000" w:rsidRPr="00000000">
        <w:rPr>
          <w:b w:val="1"/>
          <w:bCs w:val="1"/>
          <w:rtl w:val="0"/>
        </w:rPr>
        <w:t xml:space="preserve">sin coste adicional</w:t>
      </w:r>
      <w:r w:rsidDel="00000000" w:rsidR="00000000" w:rsidRPr="00000000">
        <w:rPr>
          <w:rtl w:val="0"/>
        </w:rPr>
        <w:t xml:space="preserve"> (aunque sujeto a la política de copagos de la póliza) 4, 50, 51.</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Programas de Salud Digital:</w:t>
      </w:r>
      <w:r w:rsidDel="00000000" w:rsidR="00000000" w:rsidRPr="00000000">
        <w:rPr>
          <w:rtl w:val="0"/>
        </w:rPr>
        <w:t xml:space="preserve"> Incluye planes personalizados de nutrición, psicología, entrenador personal y cuidado del suelo pélvico a través de chat o videollamada 52-55.</w:t>
      </w:r>
    </w:p>
    <w:p w:rsidR="00000000" w:rsidDel="00000000" w:rsidP="00000000" w:rsidRDefault="00000000" w:rsidRPr="00000000" w14:paraId="00000026">
      <w:pPr>
        <w:pStyle w:val="Heading3"/>
        <w:rPr/>
      </w:pPr>
      <w:bookmarkStart w:colFirst="0" w:colLast="0" w:name="_rk9r1w9y6z6g" w:id="4"/>
      <w:bookmarkEnd w:id="4"/>
      <w:r w:rsidDel="00000000" w:rsidR="00000000" w:rsidRPr="00000000">
        <w:rPr>
          <w:rtl w:val="0"/>
        </w:rPr>
        <w:t xml:space="preserve">5. ANÁLISIS DAFO (Producto vs. Mercado)</w:t>
      </w:r>
    </w:p>
    <w:p w:rsidR="00000000" w:rsidDel="00000000" w:rsidP="00000000" w:rsidRDefault="00000000" w:rsidRPr="00000000" w14:paraId="00000027">
      <w:pPr>
        <w:numPr>
          <w:ilvl w:val="0"/>
          <w:numId w:val="3"/>
        </w:numPr>
        <w:ind w:left="720" w:hanging="360"/>
        <w:rPr>
          <w:b w:val="1"/>
          <w:bCs w:val="1"/>
          <w:u w:val="none"/>
        </w:rPr>
      </w:pPr>
      <w:r w:rsidDel="00000000" w:rsidR="00000000" w:rsidRPr="00000000">
        <w:rPr>
          <w:b w:val="1"/>
          <w:bCs w:val="1"/>
          <w:rtl w:val="0"/>
        </w:rPr>
        <w:t xml:space="preserve">Fortalezas:</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Cobertura de Accidentes Laborales/Tráfico:</w:t>
      </w:r>
      <w:r w:rsidDel="00000000" w:rsidR="00000000" w:rsidRPr="00000000">
        <w:rPr>
          <w:rtl w:val="0"/>
        </w:rPr>
        <w:t xml:space="preserve"> Ventaja competitiva clara frente a pólizas de particulares 36.</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Servicios Post-Hospitalización:</w:t>
      </w:r>
      <w:r w:rsidDel="00000000" w:rsidR="00000000" w:rsidRPr="00000000">
        <w:rPr>
          <w:rtl w:val="0"/>
        </w:rPr>
        <w:t xml:space="preserve"> El apoyo doméstico y la movilidad son críticos para un autónomo que vive de su presencia física 38, 41.</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Digitalización:</w:t>
      </w:r>
      <w:r w:rsidDel="00000000" w:rsidR="00000000" w:rsidRPr="00000000">
        <w:rPr>
          <w:rtl w:val="0"/>
        </w:rPr>
        <w:t xml:space="preserve"> Gestión integral desde una sola App y acceso a Blua 35, 47.</w:t>
      </w:r>
    </w:p>
    <w:p w:rsidR="00000000" w:rsidDel="00000000" w:rsidP="00000000" w:rsidRDefault="00000000" w:rsidRPr="00000000" w14:paraId="0000002B">
      <w:pPr>
        <w:numPr>
          <w:ilvl w:val="0"/>
          <w:numId w:val="3"/>
        </w:numPr>
        <w:ind w:left="720" w:hanging="360"/>
        <w:rPr>
          <w:b w:val="1"/>
          <w:bCs w:val="1"/>
        </w:rPr>
      </w:pPr>
      <w:r w:rsidDel="00000000" w:rsidR="00000000" w:rsidRPr="00000000">
        <w:rPr>
          <w:b w:val="1"/>
          <w:bCs w:val="1"/>
          <w:rtl w:val="0"/>
        </w:rPr>
        <w:t xml:space="preserve">Debilidades/Fricciones:</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Carencias Elevadas:</w:t>
      </w:r>
      <w:r w:rsidDel="00000000" w:rsidR="00000000" w:rsidRPr="00000000">
        <w:rPr>
          <w:rtl w:val="0"/>
        </w:rPr>
        <w:t xml:space="preserve"> 10 meses para hospitalización o cirugía compleja es un periodo largo para un perfil que busca protección inmediata 24, 25.</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Exclusión de Tecnología Punta:</w:t>
      </w:r>
      <w:r w:rsidDel="00000000" w:rsidR="00000000" w:rsidRPr="00000000">
        <w:rPr>
          <w:rtl w:val="0"/>
        </w:rPr>
        <w:t xml:space="preserve"> La exclusión de cirugía robótica (ej. Da Vinci) puede ser un punto de fricción en patologías graves 15.</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Límites de Sesiones:</w:t>
      </w:r>
      <w:r w:rsidDel="00000000" w:rsidR="00000000" w:rsidRPr="00000000">
        <w:rPr>
          <w:rtl w:val="0"/>
        </w:rPr>
        <w:t xml:space="preserve"> El tope de 15 sesiones de psicología puede resultar insuficiente en procesos de salud mental prolongados 11, 12.</w:t>
      </w:r>
    </w:p>
    <w:p w:rsidR="00000000" w:rsidDel="00000000" w:rsidP="00000000" w:rsidRDefault="00000000" w:rsidRPr="00000000" w14:paraId="0000002F">
      <w:pPr>
        <w:pStyle w:val="Heading3"/>
        <w:rPr/>
      </w:pPr>
      <w:bookmarkStart w:colFirst="0" w:colLast="0" w:name="_umlnji9jmu1g" w:id="5"/>
      <w:bookmarkEnd w:id="5"/>
      <w:r w:rsidDel="00000000" w:rsidR="00000000" w:rsidRPr="00000000">
        <w:rPr>
          <w:rtl w:val="0"/>
        </w:rPr>
        <w:t xml:space="preserve">CONCLUSIÓN: ¿Es eficiente para un autónomo con alta frecuencia médica?</w:t>
      </w:r>
    </w:p>
    <w:p w:rsidR="00000000" w:rsidDel="00000000" w:rsidP="00000000" w:rsidRDefault="00000000" w:rsidRPr="00000000" w14:paraId="00000030">
      <w:pPr>
        <w:rPr/>
      </w:pPr>
      <w:r w:rsidDel="00000000" w:rsidR="00000000" w:rsidRPr="00000000">
        <w:rPr>
          <w:b w:val="1"/>
          <w:bCs w:val="1"/>
          <w:rtl w:val="0"/>
        </w:rPr>
        <w:t xml:space="preserve">Desde una perspectiva técnica, este producto NO es el más eficiente para un autónomo con alta frecuencia de uso médico.</w:t>
      </w:r>
      <w:r w:rsidDel="00000000" w:rsidR="00000000" w:rsidRPr="00000000">
        <w:rPr>
          <w:rtl w:val="0"/>
        </w:rPr>
        <w:t xml:space="preserve"> Aunque las coberturas son excelentes y el "Pack Autónomo" aporta un valor real en caso de baja, el sistema de </w:t>
      </w:r>
      <w:r w:rsidDel="00000000" w:rsidR="00000000" w:rsidRPr="00000000">
        <w:rPr>
          <w:b w:val="1"/>
          <w:bCs w:val="1"/>
          <w:rtl w:val="0"/>
        </w:rPr>
        <w:t xml:space="preserve">copago proporcional</w:t>
      </w:r>
      <w:r w:rsidDel="00000000" w:rsidR="00000000" w:rsidRPr="00000000">
        <w:rPr>
          <w:rtl w:val="0"/>
        </w:rPr>
        <w:t xml:space="preserve"> 26 penalizará financieramente al usuario recurrente. Para este perfil, el coste acumulado de los copagos podría superar rápidamente el ahorro obtenido en la prima mensual. Sería más recomendable para este perfil una modalidad </w:t>
      </w:r>
      <w:r w:rsidDel="00000000" w:rsidR="00000000" w:rsidRPr="00000000">
        <w:rPr>
          <w:b w:val="1"/>
          <w:bCs w:val="1"/>
          <w:rtl w:val="0"/>
        </w:rPr>
        <w:t xml:space="preserve">sin copago</w:t>
      </w:r>
      <w:r w:rsidDel="00000000" w:rsidR="00000000" w:rsidRPr="00000000">
        <w:rPr>
          <w:rtl w:val="0"/>
        </w:rPr>
        <w:t xml:space="preserve"> (como Sanitas Más Salud sin copago 56, 57), priorizando la estabilidad del gasto mensual sobre la flexibilidad del precio inicial.</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