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2"/>
        <w:gridCol w:w="159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 1. Sample information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 (0.33)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 education level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6.97 (2.62)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 ocupation level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 (1.69)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10.37 (1.73)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Overcrowding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7.59 (1.99)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28.85 (4.66)</w:t>
            </w:r>
          </w:p>
        </w:tc>
      </w:tr>
      <w:tr>
        <w:trPr>
          <w:trHeight w:val="57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UBN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95.88 %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educational and occupational levels reached by parents (range 0 to 12 points)</w:t>
            </w:r>
          </w:p>
        </w:tc>
      </w:tr>
      <w:tr>
        <w:trPr>
          <w:trHeight w:val="360" w:hRule="auto"/>
        </w:trPr>
        footer2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 range: 3–12 points, with higher scores for better housing conditions</w:t>
            </w:r>
          </w:p>
        </w:tc>
      </w:tr>
      <w:tr>
        <w:trPr>
          <w:trHeight w:val="360" w:hRule="auto"/>
        </w:trPr>
        footer3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 range: 0–9 points, with higher scores for better conditions.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2026-04-13T17:24:29Z</dcterms:modified>
  <cp:category/>
</cp:coreProperties>
</file>