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4"/>
          <w:szCs w:val="24"/>
          <w:color w:val="000000"/>
        </w:rPr>
        <w:t xml:space="preserve">Table 1. Descriptive and inferential analyses for clustering result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7"/>
        <w:gridCol w:w="3124"/>
        <w:gridCol w:w="1131"/>
        <w:gridCol w:w="495"/>
        <w:gridCol w:w="1229"/>
        <w:gridCol w:w="924"/>
        <w:gridCol w:w="1021"/>
        <w:gridCol w:w="960"/>
      </w:tblGrid>
      <w:tr>
        <w:trPr>
          <w:trHeight w:val="45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45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congruent trials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42.018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46.193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Omitted 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38.591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Omitted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44.932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RT 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1,167.077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17.280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15.456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4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1,158.023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30.502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RT incongruent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1,285.333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20.877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18.506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5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1,112.130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1,069.453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40.119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Alerting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23.198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45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25.233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Orienting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20.328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</w:tr>
      <w:tr>
        <w:trPr>
          <w:trHeight w:val="45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22.108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7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23.247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Executive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17.204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34.080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14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21.565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26.702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body28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CORSI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22.934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1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Execution time 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25.378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14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Execution time incorrect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22.803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414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</w:tr>
      <w:tr>
        <w:trPr>
          <w:trHeight w:val="414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Planning time 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454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54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body43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KBIT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Correct trials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10.558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414" w:hRule="auto"/>
        </w:trPr>
        body44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414" w:hRule="auto"/>
        </w:trPr>
        body45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Cluster 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2026-04-13T17:25:06Z</dcterms:modified>
  <cp:category/>
</cp:coreProperties>
</file>