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4"/>
          <w:szCs w:val="24"/>
          <w:color w:val="000000"/>
        </w:rPr>
        <w:t xml:space="preserve">Linear Mixed Models coefficients estimates (Score)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 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Pr(&gt;|t|)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[.25 %]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[.75 %]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 squared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590.700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3065.714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3111.353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Workshop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582.891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Full_Workshop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581.769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593.050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 :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Time : Workshop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343.978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Time : Full_Workshop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343.191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 w:officer="true">
      <w:pgMar w:header="720" w:bottom="1440" w:top="1440" w:right="1440" w:left="1440" w:footer="720" w:gutter="72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2026-01-14T12:59:30Z</dcterms:modified>
  <cp:category/>
</cp:coreProperties>
</file>