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B69" w:rsidRDefault="00CF0B69" w:rsidP="00CF0B69">
      <w:pPr>
        <w:spacing w:after="160" w:line="276" w:lineRule="auto"/>
        <w:rPr>
          <w:rFonts w:ascii="Times" w:eastAsia="Times" w:hAnsi="Times" w:cs="Times"/>
          <w:b/>
          <w:bCs/>
          <w:color w:val="445369"/>
        </w:rPr>
      </w:pPr>
      <w:r w:rsidRPr="00E66635">
        <w:rPr>
          <w:noProof/>
        </w:rPr>
        <mc:AlternateContent>
          <mc:Choice Requires="wpg">
            <w:drawing>
              <wp:anchor distT="0" distB="0" distL="114300" distR="114300" simplePos="0" relativeHeight="251663360" behindDoc="0" locked="0" layoutInCell="1" allowOverlap="1" wp14:anchorId="2C014A1E" wp14:editId="48852382">
                <wp:simplePos x="0" y="0"/>
                <wp:positionH relativeFrom="page">
                  <wp:posOffset>-24765</wp:posOffset>
                </wp:positionH>
                <wp:positionV relativeFrom="paragraph">
                  <wp:posOffset>-886329</wp:posOffset>
                </wp:positionV>
                <wp:extent cx="2642932" cy="3401568"/>
                <wp:effectExtent l="0" t="0" r="0" b="0"/>
                <wp:wrapNone/>
                <wp:docPr id="460" name="Group 460" title="Crop mark graphic"/>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5BD188" id="Group 460" o:spid="_x0000_s1026" alt="Title: Crop mark graphic" style="position:absolute;margin-left:-1.95pt;margin-top:-69.8pt;width:208.1pt;height:267.85pt;z-index:251663360;mso-position-horizontal-relative:page;mso-height-relative:margin" coordsize="26426,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">
                <v:shape id="Freeform 461" o:spid="_x0000_s1027"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8"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w10:wrap anchorx="page"/>
              </v:group>
            </w:pict>
          </mc:Fallback>
        </mc:AlternateContent>
      </w:r>
    </w:p>
    <w:p w:rsidR="00CF0B69" w:rsidRPr="00E66635" w:rsidRDefault="00CF0B69" w:rsidP="00CF0B69">
      <w:pPr>
        <w:spacing w:after="160" w:line="276" w:lineRule="auto"/>
        <w:rPr>
          <w:rFonts w:ascii="Times" w:eastAsia="Times" w:hAnsi="Times" w:cs="Times"/>
          <w:b/>
          <w:bCs/>
          <w:color w:val="445369"/>
        </w:rPr>
      </w:pPr>
      <w:r>
        <w:rPr>
          <w:rFonts w:ascii="Times" w:eastAsia="Times" w:hAnsi="Times" w:cs="Times"/>
          <w:b/>
          <w:bCs/>
          <w:color w:val="445369"/>
          <w:sz w:val="72"/>
          <w:szCs w:val="72"/>
        </w:rPr>
        <w:t>BF303</w:t>
      </w:r>
      <w:r w:rsidRPr="776FEFD2">
        <w:rPr>
          <w:rFonts w:ascii="Times" w:eastAsia="Times" w:hAnsi="Times" w:cs="Times"/>
          <w:b/>
          <w:bCs/>
          <w:color w:val="445369"/>
          <w:sz w:val="72"/>
          <w:szCs w:val="72"/>
        </w:rPr>
        <w:t xml:space="preserve"> Assignment: </w:t>
      </w:r>
    </w:p>
    <w:p w:rsidR="00CF0B69" w:rsidRDefault="00CF0B69" w:rsidP="00CF0B69">
      <w:pPr>
        <w:spacing w:after="160" w:line="276" w:lineRule="auto"/>
        <w:rPr>
          <w:rFonts w:ascii="Times" w:eastAsia="Times" w:hAnsi="Times" w:cs="Times"/>
          <w:b/>
          <w:bCs/>
          <w:color w:val="445369"/>
          <w:sz w:val="48"/>
          <w:szCs w:val="48"/>
        </w:rPr>
      </w:pPr>
      <w:r>
        <w:rPr>
          <w:rFonts w:ascii="Times" w:eastAsia="Times" w:hAnsi="Times" w:cs="Times"/>
          <w:b/>
          <w:bCs/>
          <w:color w:val="445369"/>
          <w:sz w:val="48"/>
          <w:szCs w:val="48"/>
        </w:rPr>
        <w:t>Organisation &amp; Social Responsibility</w:t>
      </w:r>
    </w:p>
    <w:p w:rsidR="00A47364" w:rsidRPr="00AD4325" w:rsidRDefault="00A47364" w:rsidP="00CF0B69">
      <w:pPr>
        <w:spacing w:after="160" w:line="276" w:lineRule="auto"/>
        <w:rPr>
          <w:rFonts w:ascii="Times" w:eastAsia="Times" w:hAnsi="Times" w:cs="Times"/>
          <w:b/>
          <w:bCs/>
          <w:color w:val="445369"/>
        </w:rPr>
      </w:pPr>
    </w:p>
    <w:p w:rsidR="00CF0B69" w:rsidRPr="00A47364" w:rsidRDefault="00CF0B69" w:rsidP="00CF0B69">
      <w:pPr>
        <w:spacing w:after="160" w:line="276" w:lineRule="auto"/>
        <w:rPr>
          <w:rFonts w:ascii="Times" w:eastAsia="Times" w:hAnsi="Times" w:cs="Times"/>
          <w:b/>
          <w:bCs/>
          <w:color w:val="445369"/>
          <w:sz w:val="28"/>
          <w:szCs w:val="28"/>
        </w:rPr>
      </w:pPr>
      <w:r w:rsidRPr="00547C7B">
        <w:rPr>
          <w:rFonts w:ascii="Times" w:eastAsia="Times" w:hAnsi="Times" w:cs="Times"/>
          <w:b/>
          <w:bCs/>
          <w:color w:val="445369"/>
          <w:sz w:val="28"/>
          <w:szCs w:val="28"/>
        </w:rPr>
        <w:t>Lewis Britton {201724452}</w:t>
      </w:r>
    </w:p>
    <w:p w:rsidR="00CF0B69" w:rsidRPr="00A47364" w:rsidRDefault="00CF0B69" w:rsidP="00CF0B69">
      <w:pPr>
        <w:spacing w:after="160" w:line="276" w:lineRule="auto"/>
        <w:rPr>
          <w:rFonts w:ascii="Times" w:eastAsia="Times" w:hAnsi="Times" w:cs="Times"/>
          <w:color w:val="445369"/>
        </w:rPr>
      </w:pPr>
      <w:r w:rsidRPr="00A47364">
        <w:rPr>
          <w:rFonts w:ascii="Times" w:eastAsia="Times" w:hAnsi="Times" w:cs="Times"/>
          <w:color w:val="445369"/>
        </w:rPr>
        <w:t>BF303: Management Development Programme 3</w:t>
      </w:r>
    </w:p>
    <w:p w:rsidR="00CF0B69" w:rsidRPr="00A47364" w:rsidRDefault="00CF0B69" w:rsidP="00CF0B69">
      <w:pPr>
        <w:spacing w:after="160" w:line="276" w:lineRule="auto"/>
        <w:rPr>
          <w:rFonts w:ascii="Times" w:eastAsia="Times" w:hAnsi="Times" w:cs="Times"/>
          <w:color w:val="445369"/>
        </w:rPr>
      </w:pPr>
      <w:r w:rsidRPr="00A47364">
        <w:rPr>
          <w:rFonts w:ascii="Times" w:eastAsia="Times" w:hAnsi="Times" w:cs="Times"/>
          <w:color w:val="445369"/>
        </w:rPr>
        <w:t>January 2020</w:t>
      </w:r>
    </w:p>
    <w:p w:rsidR="00CF0B69" w:rsidRPr="00A47364" w:rsidRDefault="00CF0B69" w:rsidP="00CF0B69">
      <w:pPr>
        <w:spacing w:after="160" w:line="276" w:lineRule="auto"/>
        <w:rPr>
          <w:rFonts w:ascii="Times" w:eastAsia="Times" w:hAnsi="Times" w:cs="Times"/>
          <w:color w:val="445369"/>
        </w:rPr>
      </w:pPr>
      <w:r w:rsidRPr="00A47364">
        <w:rPr>
          <w:rFonts w:ascii="Times" w:eastAsia="Times" w:hAnsi="Times" w:cs="Times"/>
          <w:color w:val="445369"/>
        </w:rPr>
        <w:t>Word Count: {2748</w:t>
      </w:r>
      <w:r w:rsidR="00392B11" w:rsidRPr="00A47364">
        <w:rPr>
          <w:rFonts w:ascii="Times" w:eastAsia="Times" w:hAnsi="Times" w:cs="Times"/>
          <w:color w:val="445369"/>
        </w:rPr>
        <w:t>}</w:t>
      </w: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r w:rsidRPr="00E66635">
        <w:rPr>
          <w:noProof/>
        </w:rPr>
        <mc:AlternateContent>
          <mc:Choice Requires="wpg">
            <w:drawing>
              <wp:anchor distT="0" distB="0" distL="114300" distR="114300" simplePos="0" relativeHeight="251664384" behindDoc="0" locked="0" layoutInCell="1" allowOverlap="1" wp14:anchorId="1E08EA70" wp14:editId="5716819C">
                <wp:simplePos x="0" y="0"/>
                <wp:positionH relativeFrom="page">
                  <wp:posOffset>4898974</wp:posOffset>
                </wp:positionH>
                <wp:positionV relativeFrom="paragraph">
                  <wp:posOffset>147320</wp:posOffset>
                </wp:positionV>
                <wp:extent cx="2633345" cy="3373755"/>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345"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591998" id="Group 455" o:spid="_x0000_s1026" alt="Title: Crop mark graphic" style="position:absolute;margin-left:385.75pt;margin-top:11.6pt;width:207.35pt;height:265.65pt;z-index:251664384;mso-position-horizontal-relative:page"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w10:wrap anchorx="page"/>
              </v:group>
            </w:pict>
          </mc:Fallback>
        </mc:AlternateContent>
      </w: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562619" w:rsidP="00CF0B69">
      <w:pPr>
        <w:spacing w:after="160" w:line="276" w:lineRule="auto"/>
        <w:rPr>
          <w:rFonts w:ascii="Times" w:eastAsia="Times" w:hAnsi="Times" w:cs="Times"/>
          <w:color w:val="445369"/>
        </w:rPr>
      </w:pPr>
      <w:r>
        <w:rPr>
          <w:rFonts w:ascii="Times" w:eastAsia="Times" w:hAnsi="Times" w:cs="Times"/>
          <w:b/>
          <w:bCs/>
          <w:noProof/>
          <w:color w:val="445369"/>
        </w:rPr>
        <w:drawing>
          <wp:anchor distT="0" distB="0" distL="114300" distR="114300" simplePos="0" relativeHeight="251662336" behindDoc="0" locked="0" layoutInCell="1" allowOverlap="1" wp14:anchorId="36B01E6D" wp14:editId="1D8BFA2A">
            <wp:simplePos x="0" y="0"/>
            <wp:positionH relativeFrom="column">
              <wp:posOffset>3194685</wp:posOffset>
            </wp:positionH>
            <wp:positionV relativeFrom="paragraph">
              <wp:posOffset>-804821</wp:posOffset>
            </wp:positionV>
            <wp:extent cx="2696210" cy="2642235"/>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of-Strathclyde1-QQ3Nc5aMIBMXh_swYyZuFdym6r3Z9NAh.jpg"/>
                    <pic:cNvPicPr/>
                  </pic:nvPicPr>
                  <pic:blipFill rotWithShape="1">
                    <a:blip r:embed="rId7" cstate="print">
                      <a:extLst>
                        <a:ext uri="{28A0092B-C50C-407E-A947-70E740481C1C}">
                          <a14:useLocalDpi xmlns:a14="http://schemas.microsoft.com/office/drawing/2010/main" val="0"/>
                        </a:ext>
                      </a:extLst>
                    </a:blip>
                    <a:srcRect l="20093" r="22744"/>
                    <a:stretch/>
                  </pic:blipFill>
                  <pic:spPr bwMode="auto">
                    <a:xfrm>
                      <a:off x="0" y="0"/>
                      <a:ext cx="2696210" cy="2642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CF0B69" w:rsidRDefault="00CF0B69" w:rsidP="00CF0B69">
      <w:pPr>
        <w:spacing w:after="160" w:line="276" w:lineRule="auto"/>
        <w:rPr>
          <w:rFonts w:ascii="Times" w:eastAsia="Times" w:hAnsi="Times" w:cs="Times"/>
          <w:color w:val="445369"/>
        </w:rPr>
      </w:pPr>
    </w:p>
    <w:p w:rsidR="00716933" w:rsidRDefault="00716933" w:rsidP="00CF0B69">
      <w:pPr>
        <w:spacing w:after="160" w:line="276" w:lineRule="auto"/>
        <w:rPr>
          <w:rFonts w:ascii="Times New Roman" w:hAnsi="Times New Roman" w:cs="Times New Roman"/>
          <w:b/>
          <w:bCs/>
          <w:color w:val="44546A" w:themeColor="text2"/>
        </w:rPr>
      </w:pPr>
    </w:p>
    <w:p w:rsidR="00CF0B69" w:rsidRDefault="00CF0B69" w:rsidP="00AB5D50">
      <w:pPr>
        <w:rPr>
          <w:rFonts w:ascii="Times New Roman" w:hAnsi="Times New Roman" w:cs="Times New Roman"/>
          <w:b/>
          <w:bCs/>
          <w:color w:val="44546A" w:themeColor="text2"/>
        </w:rPr>
      </w:pPr>
    </w:p>
    <w:p w:rsidR="004F1EC7" w:rsidRDefault="004F1EC7" w:rsidP="00AB5D50">
      <w:pPr>
        <w:rPr>
          <w:rFonts w:ascii="Times New Roman" w:hAnsi="Times New Roman" w:cs="Times New Roman"/>
          <w:b/>
          <w:bCs/>
          <w:color w:val="44546A" w:themeColor="text2"/>
        </w:rPr>
      </w:pPr>
    </w:p>
    <w:p w:rsidR="004F1EC7" w:rsidRDefault="004F1EC7" w:rsidP="00AB5D50">
      <w:pPr>
        <w:rPr>
          <w:rFonts w:ascii="Times New Roman" w:hAnsi="Times New Roman" w:cs="Times New Roman"/>
          <w:b/>
          <w:bCs/>
          <w:color w:val="44546A" w:themeColor="text2"/>
        </w:rPr>
      </w:pPr>
    </w:p>
    <w:p w:rsidR="00D72B41" w:rsidRPr="00AB5D50" w:rsidRDefault="00D72B41" w:rsidP="00AB5D50">
      <w:pPr>
        <w:rPr>
          <w:b/>
          <w:bCs/>
          <w:color w:val="44546A" w:themeColor="text2"/>
          <w:sz w:val="28"/>
          <w:szCs w:val="28"/>
        </w:rPr>
      </w:pPr>
      <w:r w:rsidRPr="00AB5D50">
        <w:rPr>
          <w:rFonts w:ascii="Times New Roman" w:hAnsi="Times New Roman" w:cs="Times New Roman"/>
          <w:b/>
          <w:bCs/>
          <w:color w:val="44546A" w:themeColor="text2"/>
        </w:rPr>
        <w:lastRenderedPageBreak/>
        <w:t xml:space="preserve">Contents </w:t>
      </w:r>
    </w:p>
    <w:p w:rsidR="00AB5D50" w:rsidRDefault="00AB5D50" w:rsidP="00AB5D50">
      <w:pPr>
        <w:spacing w:line="276" w:lineRule="auto"/>
        <w:rPr>
          <w:rFonts w:ascii="Times New Roman" w:hAnsi="Times New Roman" w:cs="Times New Roman"/>
        </w:rPr>
      </w:pPr>
    </w:p>
    <w:p w:rsidR="00962B43" w:rsidRDefault="00962B43" w:rsidP="00AB5D50">
      <w:pPr>
        <w:spacing w:line="276" w:lineRule="auto"/>
        <w:rPr>
          <w:rFonts w:ascii="Times New Roman" w:hAnsi="Times New Roman" w:cs="Times New Roman"/>
        </w:rPr>
      </w:pPr>
      <w:r>
        <w:rPr>
          <w:rFonts w:ascii="Times New Roman" w:hAnsi="Times New Roman" w:cs="Times New Roman"/>
        </w:rPr>
        <w:t xml:space="preserve">Executive Summary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Page </w:t>
      </w:r>
      <w:r w:rsidR="0081370A">
        <w:rPr>
          <w:rFonts w:ascii="Times New Roman" w:hAnsi="Times New Roman" w:cs="Times New Roman"/>
        </w:rPr>
        <w:t>3</w:t>
      </w:r>
    </w:p>
    <w:p w:rsidR="00962B43" w:rsidRDefault="00962B43" w:rsidP="00AB5D50">
      <w:pPr>
        <w:spacing w:line="276" w:lineRule="auto"/>
        <w:rPr>
          <w:rFonts w:ascii="Times New Roman" w:hAnsi="Times New Roman" w:cs="Times New Roman"/>
        </w:rPr>
      </w:pPr>
    </w:p>
    <w:p w:rsidR="00962B43" w:rsidRDefault="00962B43" w:rsidP="00AB5D50">
      <w:pPr>
        <w:spacing w:line="276" w:lineRule="auto"/>
        <w:rPr>
          <w:rFonts w:ascii="Times New Roman" w:hAnsi="Times New Roman" w:cs="Times New Roman"/>
        </w:rPr>
      </w:pPr>
      <w:r>
        <w:rPr>
          <w:rFonts w:ascii="Times New Roman" w:hAnsi="Times New Roman" w:cs="Times New Roman"/>
        </w:rPr>
        <w:t xml:space="preserve">Introduction &amp; Background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w:t>
      </w:r>
      <w:r w:rsidR="0081370A">
        <w:rPr>
          <w:rFonts w:ascii="Times New Roman" w:hAnsi="Times New Roman" w:cs="Times New Roman"/>
        </w:rPr>
        <w:t xml:space="preserve"> 4</w:t>
      </w:r>
    </w:p>
    <w:p w:rsidR="00962B43" w:rsidRDefault="00962B43" w:rsidP="00AB5D50">
      <w:pPr>
        <w:spacing w:line="276" w:lineRule="auto"/>
        <w:rPr>
          <w:rFonts w:ascii="Times New Roman" w:hAnsi="Times New Roman" w:cs="Times New Roman"/>
        </w:rPr>
      </w:pPr>
      <w:r>
        <w:rPr>
          <w:rFonts w:ascii="Times New Roman" w:hAnsi="Times New Roman" w:cs="Times New Roman"/>
        </w:rPr>
        <w:tab/>
      </w:r>
    </w:p>
    <w:p w:rsidR="00962B43" w:rsidRDefault="00962B43" w:rsidP="00AB5D50">
      <w:pPr>
        <w:spacing w:line="276" w:lineRule="auto"/>
        <w:rPr>
          <w:rFonts w:ascii="Times New Roman" w:hAnsi="Times New Roman" w:cs="Times New Roman"/>
        </w:rPr>
      </w:pPr>
      <w:r>
        <w:rPr>
          <w:rFonts w:ascii="Times New Roman" w:hAnsi="Times New Roman" w:cs="Times New Roman"/>
        </w:rPr>
        <w:t>Analysis of Projects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Page </w:t>
      </w:r>
      <w:r w:rsidR="0081370A">
        <w:rPr>
          <w:rFonts w:ascii="Times New Roman" w:hAnsi="Times New Roman" w:cs="Times New Roman"/>
        </w:rPr>
        <w:t>6</w:t>
      </w:r>
    </w:p>
    <w:p w:rsidR="00962B43" w:rsidRDefault="00962B43" w:rsidP="00AB5D50">
      <w:pPr>
        <w:spacing w:line="276" w:lineRule="auto"/>
        <w:rPr>
          <w:rFonts w:ascii="Times New Roman" w:hAnsi="Times New Roman" w:cs="Times New Roman"/>
        </w:rPr>
      </w:pPr>
      <w:r>
        <w:rPr>
          <w:rFonts w:ascii="Times New Roman" w:hAnsi="Times New Roman" w:cs="Times New Roman"/>
        </w:rPr>
        <w:tab/>
        <w:t xml:space="preserve">Identifying &amp; Targeting Needs of Participants </w:t>
      </w:r>
      <w:r>
        <w:rPr>
          <w:rFonts w:ascii="Times New Roman" w:hAnsi="Times New Roman" w:cs="Times New Roman"/>
        </w:rPr>
        <w:tab/>
        <w:t xml:space="preserve">Page </w:t>
      </w:r>
      <w:r w:rsidR="0081370A">
        <w:rPr>
          <w:rFonts w:ascii="Times New Roman" w:hAnsi="Times New Roman" w:cs="Times New Roman"/>
        </w:rPr>
        <w:t>6</w:t>
      </w:r>
    </w:p>
    <w:p w:rsidR="00962B43" w:rsidRDefault="00962B43" w:rsidP="00AB5D50">
      <w:pPr>
        <w:spacing w:line="276" w:lineRule="auto"/>
        <w:rPr>
          <w:rFonts w:ascii="Times New Roman" w:hAnsi="Times New Roman" w:cs="Times New Roman"/>
        </w:rPr>
      </w:pPr>
      <w:r>
        <w:rPr>
          <w:rFonts w:ascii="Times New Roman" w:hAnsi="Times New Roman" w:cs="Times New Roman"/>
        </w:rPr>
        <w:tab/>
        <w:t>The SHEP: Initially Implementing Goals</w:t>
      </w:r>
      <w:r>
        <w:rPr>
          <w:rFonts w:ascii="Times New Roman" w:hAnsi="Times New Roman" w:cs="Times New Roman"/>
        </w:rPr>
        <w:tab/>
      </w:r>
      <w:r>
        <w:rPr>
          <w:rFonts w:ascii="Times New Roman" w:hAnsi="Times New Roman" w:cs="Times New Roman"/>
        </w:rPr>
        <w:tab/>
        <w:t xml:space="preserve">Page </w:t>
      </w:r>
      <w:r w:rsidR="0081370A">
        <w:rPr>
          <w:rFonts w:ascii="Times New Roman" w:hAnsi="Times New Roman" w:cs="Times New Roman"/>
        </w:rPr>
        <w:t>7</w:t>
      </w:r>
    </w:p>
    <w:p w:rsidR="00962B43" w:rsidRDefault="00962B43" w:rsidP="00AB5D50">
      <w:pPr>
        <w:spacing w:line="276" w:lineRule="auto"/>
        <w:rPr>
          <w:rFonts w:ascii="Times New Roman" w:hAnsi="Times New Roman" w:cs="Times New Roman"/>
        </w:rPr>
      </w:pPr>
      <w:r>
        <w:rPr>
          <w:rFonts w:ascii="Times New Roman" w:hAnsi="Times New Roman" w:cs="Times New Roman"/>
        </w:rPr>
        <w:tab/>
        <w:t>The SHEP: Improving the Model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w:t>
      </w:r>
      <w:r w:rsidR="0081370A">
        <w:rPr>
          <w:rFonts w:ascii="Times New Roman" w:hAnsi="Times New Roman" w:cs="Times New Roman"/>
        </w:rPr>
        <w:t xml:space="preserve"> 8</w:t>
      </w:r>
    </w:p>
    <w:p w:rsidR="00962B43" w:rsidRDefault="00962B43" w:rsidP="00AB5D50">
      <w:pPr>
        <w:spacing w:line="276" w:lineRule="auto"/>
        <w:rPr>
          <w:rFonts w:ascii="Times New Roman" w:hAnsi="Times New Roman" w:cs="Times New Roman"/>
        </w:rPr>
      </w:pPr>
    </w:p>
    <w:p w:rsidR="00962B43" w:rsidRDefault="00962B43" w:rsidP="00AB5D50">
      <w:pPr>
        <w:spacing w:line="276" w:lineRule="auto"/>
        <w:rPr>
          <w:rFonts w:ascii="Times New Roman" w:hAnsi="Times New Roman" w:cs="Times New Roman"/>
        </w:rPr>
      </w:pPr>
      <w:r>
        <w:rPr>
          <w:rFonts w:ascii="Times New Roman" w:hAnsi="Times New Roman" w:cs="Times New Roman"/>
        </w:rPr>
        <w:t xml:space="preserve">Conclusions &amp; Recommendations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Page </w:t>
      </w:r>
      <w:r w:rsidR="003B44FA">
        <w:rPr>
          <w:rFonts w:ascii="Times New Roman" w:hAnsi="Times New Roman" w:cs="Times New Roman"/>
        </w:rPr>
        <w:t>10</w:t>
      </w:r>
    </w:p>
    <w:p w:rsidR="00962B43" w:rsidRDefault="00962B43" w:rsidP="00AB5D50">
      <w:pPr>
        <w:spacing w:line="276" w:lineRule="auto"/>
        <w:rPr>
          <w:rFonts w:ascii="Times New Roman" w:hAnsi="Times New Roman" w:cs="Times New Roman"/>
        </w:rPr>
      </w:pPr>
      <w:r>
        <w:rPr>
          <w:rFonts w:ascii="Times New Roman" w:hAnsi="Times New Roman" w:cs="Times New Roman"/>
        </w:rPr>
        <w:tab/>
        <w:t>Initial SHEP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Page </w:t>
      </w:r>
      <w:r w:rsidR="003B44FA">
        <w:rPr>
          <w:rFonts w:ascii="Times New Roman" w:hAnsi="Times New Roman" w:cs="Times New Roman"/>
        </w:rPr>
        <w:t>10</w:t>
      </w:r>
    </w:p>
    <w:p w:rsidR="00962B43" w:rsidRDefault="00962B43" w:rsidP="00AB5D50">
      <w:pPr>
        <w:spacing w:line="276" w:lineRule="auto"/>
        <w:rPr>
          <w:rFonts w:ascii="Times New Roman" w:hAnsi="Times New Roman" w:cs="Times New Roman"/>
        </w:rPr>
      </w:pPr>
      <w:r>
        <w:rPr>
          <w:rFonts w:ascii="Times New Roman" w:hAnsi="Times New Roman" w:cs="Times New Roman"/>
        </w:rPr>
        <w:tab/>
        <w:t>Amended SHEP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Page </w:t>
      </w:r>
      <w:r w:rsidR="003B44FA">
        <w:rPr>
          <w:rFonts w:ascii="Times New Roman" w:hAnsi="Times New Roman" w:cs="Times New Roman"/>
        </w:rPr>
        <w:t>10</w:t>
      </w:r>
    </w:p>
    <w:p w:rsidR="00962B43" w:rsidRDefault="00962B43" w:rsidP="00AB5D50">
      <w:pPr>
        <w:spacing w:line="276" w:lineRule="auto"/>
        <w:rPr>
          <w:rFonts w:ascii="Times New Roman" w:hAnsi="Times New Roman" w:cs="Times New Roman"/>
        </w:rPr>
      </w:pPr>
      <w:r>
        <w:rPr>
          <w:rFonts w:ascii="Times New Roman" w:hAnsi="Times New Roman" w:cs="Times New Roman"/>
        </w:rPr>
        <w:tab/>
        <w:t xml:space="preserve">Final Points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w:t>
      </w:r>
      <w:r w:rsidR="0081370A">
        <w:rPr>
          <w:rFonts w:ascii="Times New Roman" w:hAnsi="Times New Roman" w:cs="Times New Roman"/>
        </w:rPr>
        <w:t xml:space="preserve"> 1</w:t>
      </w:r>
      <w:r w:rsidR="003B44FA">
        <w:rPr>
          <w:rFonts w:ascii="Times New Roman" w:hAnsi="Times New Roman" w:cs="Times New Roman"/>
        </w:rPr>
        <w:t>1</w:t>
      </w:r>
    </w:p>
    <w:p w:rsidR="00AB5D50" w:rsidRDefault="00AB5D50" w:rsidP="00AB5D50">
      <w:pPr>
        <w:spacing w:line="276" w:lineRule="auto"/>
        <w:rPr>
          <w:rFonts w:ascii="Times New Roman" w:hAnsi="Times New Roman" w:cs="Times New Roman"/>
        </w:rPr>
      </w:pPr>
    </w:p>
    <w:p w:rsidR="0081370A" w:rsidRDefault="0081370A" w:rsidP="00AB5D50">
      <w:pPr>
        <w:spacing w:line="276" w:lineRule="auto"/>
        <w:rPr>
          <w:rFonts w:ascii="Times New Roman" w:hAnsi="Times New Roman" w:cs="Times New Roman"/>
        </w:rPr>
      </w:pPr>
      <w:r>
        <w:rPr>
          <w:rFonts w:ascii="Times New Roman" w:hAnsi="Times New Roman" w:cs="Times New Roman"/>
        </w:rPr>
        <w:t>Appendix 1: Figures &amp; Models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 1</w:t>
      </w:r>
      <w:r w:rsidR="003B44FA">
        <w:rPr>
          <w:rFonts w:ascii="Times New Roman" w:hAnsi="Times New Roman" w:cs="Times New Roman"/>
        </w:rPr>
        <w:t>2</w:t>
      </w:r>
    </w:p>
    <w:p w:rsidR="0081370A" w:rsidRDefault="0081370A" w:rsidP="00AB5D50">
      <w:pPr>
        <w:spacing w:line="276" w:lineRule="auto"/>
        <w:rPr>
          <w:rFonts w:ascii="Times New Roman" w:hAnsi="Times New Roman" w:cs="Times New Roman"/>
        </w:rPr>
      </w:pPr>
      <w:r>
        <w:rPr>
          <w:rFonts w:ascii="Times New Roman" w:hAnsi="Times New Roman" w:cs="Times New Roman"/>
        </w:rPr>
        <w:tab/>
        <w:t>Figure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 1</w:t>
      </w:r>
      <w:r w:rsidR="003B44FA">
        <w:rPr>
          <w:rFonts w:ascii="Times New Roman" w:hAnsi="Times New Roman" w:cs="Times New Roman"/>
        </w:rPr>
        <w:t>2</w:t>
      </w:r>
    </w:p>
    <w:p w:rsidR="0081370A" w:rsidRDefault="0081370A" w:rsidP="00AB5D50">
      <w:pPr>
        <w:spacing w:line="276" w:lineRule="auto"/>
        <w:rPr>
          <w:rFonts w:ascii="Times New Roman" w:hAnsi="Times New Roman" w:cs="Times New Roman"/>
        </w:rPr>
      </w:pPr>
      <w:r>
        <w:rPr>
          <w:rFonts w:ascii="Times New Roman" w:hAnsi="Times New Roman" w:cs="Times New Roman"/>
        </w:rPr>
        <w:tab/>
        <w:t>Figure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 1</w:t>
      </w:r>
      <w:r w:rsidR="003B44FA">
        <w:rPr>
          <w:rFonts w:ascii="Times New Roman" w:hAnsi="Times New Roman" w:cs="Times New Roman"/>
        </w:rPr>
        <w:t>2</w:t>
      </w:r>
    </w:p>
    <w:p w:rsidR="00AB5D50" w:rsidRDefault="0081370A" w:rsidP="00AB5D50">
      <w:pPr>
        <w:spacing w:line="276" w:lineRule="auto"/>
        <w:rPr>
          <w:rFonts w:ascii="Times New Roman" w:hAnsi="Times New Roman" w:cs="Times New Roman"/>
        </w:rPr>
      </w:pPr>
      <w:r>
        <w:rPr>
          <w:rFonts w:ascii="Times New Roman" w:hAnsi="Times New Roman" w:cs="Times New Roman"/>
        </w:rPr>
        <w:tab/>
        <w:t>Figure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 1</w:t>
      </w:r>
      <w:r w:rsidR="003B44FA">
        <w:rPr>
          <w:rFonts w:ascii="Times New Roman" w:hAnsi="Times New Roman" w:cs="Times New Roman"/>
        </w:rPr>
        <w:t>2</w:t>
      </w:r>
    </w:p>
    <w:p w:rsidR="0081370A" w:rsidRDefault="0081370A" w:rsidP="00AB5D50">
      <w:pPr>
        <w:spacing w:line="276" w:lineRule="auto"/>
        <w:rPr>
          <w:rFonts w:ascii="Times New Roman" w:hAnsi="Times New Roman" w:cs="Times New Roman"/>
        </w:rPr>
      </w:pPr>
      <w:r>
        <w:rPr>
          <w:rFonts w:ascii="Times New Roman" w:hAnsi="Times New Roman" w:cs="Times New Roman"/>
        </w:rPr>
        <w:tab/>
        <w:t>Model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Page 1</w:t>
      </w:r>
      <w:r w:rsidR="003B44FA">
        <w:rPr>
          <w:rFonts w:ascii="Times New Roman" w:hAnsi="Times New Roman" w:cs="Times New Roman"/>
        </w:rPr>
        <w:t>3</w:t>
      </w:r>
    </w:p>
    <w:p w:rsidR="0081370A" w:rsidRDefault="0081370A" w:rsidP="00AB5D50">
      <w:pPr>
        <w:spacing w:line="276" w:lineRule="auto"/>
        <w:rPr>
          <w:rFonts w:ascii="Times New Roman" w:hAnsi="Times New Roman" w:cs="Times New Roman"/>
        </w:rPr>
      </w:pPr>
    </w:p>
    <w:p w:rsidR="0081370A" w:rsidRDefault="0081370A" w:rsidP="00AB5D50">
      <w:pPr>
        <w:spacing w:line="276" w:lineRule="auto"/>
        <w:rPr>
          <w:rFonts w:ascii="Times New Roman" w:hAnsi="Times New Roman" w:cs="Times New Roman"/>
        </w:rPr>
      </w:pPr>
      <w:r>
        <w:rPr>
          <w:rFonts w:ascii="Times New Roman" w:hAnsi="Times New Roman" w:cs="Times New Roman"/>
        </w:rPr>
        <w:t>Appendix 2: References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B44FA">
        <w:rPr>
          <w:rFonts w:ascii="Times New Roman" w:hAnsi="Times New Roman" w:cs="Times New Roman"/>
        </w:rPr>
        <w:t>Page 14</w:t>
      </w: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AB5D50" w:rsidRDefault="00AB5D50" w:rsidP="00AB5D50">
      <w:pPr>
        <w:spacing w:line="276" w:lineRule="auto"/>
        <w:rPr>
          <w:rFonts w:ascii="Times New Roman" w:hAnsi="Times New Roman" w:cs="Times New Roman"/>
        </w:rPr>
      </w:pPr>
    </w:p>
    <w:p w:rsidR="00635BC9" w:rsidRDefault="00635BC9" w:rsidP="005519EB">
      <w:pPr>
        <w:spacing w:line="276" w:lineRule="auto"/>
        <w:rPr>
          <w:rFonts w:ascii="Times New Roman" w:hAnsi="Times New Roman" w:cs="Times New Roman"/>
        </w:rPr>
      </w:pPr>
    </w:p>
    <w:p w:rsidR="00AB5D50" w:rsidRDefault="00AB5D50" w:rsidP="005519EB">
      <w:pPr>
        <w:spacing w:line="276" w:lineRule="auto"/>
        <w:rPr>
          <w:rFonts w:ascii="Times New Roman" w:hAnsi="Times New Roman" w:cs="Times New Roman"/>
        </w:rPr>
      </w:pPr>
    </w:p>
    <w:p w:rsidR="0022422D" w:rsidRDefault="0022422D" w:rsidP="005519EB">
      <w:pPr>
        <w:spacing w:line="276" w:lineRule="auto"/>
        <w:rPr>
          <w:rFonts w:ascii="Times New Roman" w:hAnsi="Times New Roman" w:cs="Times New Roman"/>
        </w:rPr>
      </w:pPr>
    </w:p>
    <w:p w:rsidR="00A151D8" w:rsidRDefault="00AB5D50" w:rsidP="00844EAA">
      <w:pPr>
        <w:spacing w:line="360" w:lineRule="auto"/>
        <w:rPr>
          <w:rFonts w:ascii="Times New Roman" w:hAnsi="Times New Roman" w:cs="Times New Roman"/>
          <w:b/>
          <w:bCs/>
          <w:color w:val="44546A" w:themeColor="text2"/>
        </w:rPr>
      </w:pPr>
      <w:r w:rsidRPr="00AB5D50">
        <w:rPr>
          <w:rFonts w:ascii="Times New Roman" w:hAnsi="Times New Roman" w:cs="Times New Roman"/>
          <w:b/>
          <w:bCs/>
          <w:color w:val="44546A" w:themeColor="text2"/>
        </w:rPr>
        <w:lastRenderedPageBreak/>
        <w:t>Executive Summar</w:t>
      </w:r>
      <w:r w:rsidR="00A151D8">
        <w:rPr>
          <w:rFonts w:ascii="Times New Roman" w:hAnsi="Times New Roman" w:cs="Times New Roman"/>
          <w:b/>
          <w:bCs/>
          <w:color w:val="44546A" w:themeColor="text2"/>
        </w:rPr>
        <w:t>y</w:t>
      </w:r>
    </w:p>
    <w:p w:rsidR="00A151D8" w:rsidRDefault="00A151D8" w:rsidP="00844EAA">
      <w:pPr>
        <w:spacing w:line="360" w:lineRule="auto"/>
        <w:rPr>
          <w:rFonts w:ascii="Times New Roman" w:hAnsi="Times New Roman" w:cs="Times New Roman"/>
          <w:b/>
          <w:bCs/>
          <w:color w:val="44546A" w:themeColor="text2"/>
        </w:rPr>
      </w:pPr>
    </w:p>
    <w:p w:rsidR="00A151D8" w:rsidRDefault="00A151D8" w:rsidP="00844EAA">
      <w:pPr>
        <w:spacing w:line="360" w:lineRule="auto"/>
        <w:jc w:val="both"/>
        <w:rPr>
          <w:rFonts w:ascii="Times New Roman" w:hAnsi="Times New Roman" w:cs="Times New Roman"/>
        </w:rPr>
      </w:pPr>
      <w:r>
        <w:rPr>
          <w:rFonts w:ascii="Times New Roman" w:hAnsi="Times New Roman" w:cs="Times New Roman"/>
        </w:rPr>
        <w:t xml:space="preserve">This report explores the </w:t>
      </w:r>
      <w:r w:rsidR="00FC5490">
        <w:rPr>
          <w:rFonts w:ascii="Times New Roman" w:hAnsi="Times New Roman" w:cs="Times New Roman"/>
        </w:rPr>
        <w:t>issues present in the modern-day economy regarding low progression rate</w:t>
      </w:r>
      <w:r w:rsidR="001C6B30">
        <w:rPr>
          <w:rFonts w:ascii="Times New Roman" w:hAnsi="Times New Roman" w:cs="Times New Roman"/>
        </w:rPr>
        <w:t xml:space="preserve"> </w:t>
      </w:r>
      <w:r w:rsidR="00FC5490">
        <w:rPr>
          <w:rFonts w:ascii="Times New Roman" w:hAnsi="Times New Roman" w:cs="Times New Roman"/>
        </w:rPr>
        <w:t xml:space="preserve">schools. Using a regression model we are able to view the variety of causal factors stemming from social and economic factors in relation to the background and environment of school pupils/students. The model moves through two sets of intermediary factors which account for the lost error value between the </w:t>
      </w:r>
      <w:r w:rsidR="00672F44">
        <w:rPr>
          <w:rFonts w:ascii="Times New Roman" w:hAnsi="Times New Roman" w:cs="Times New Roman"/>
        </w:rPr>
        <w:t>casual</w:t>
      </w:r>
      <w:r w:rsidR="00FC5490">
        <w:rPr>
          <w:rFonts w:ascii="Times New Roman" w:hAnsi="Times New Roman" w:cs="Times New Roman"/>
        </w:rPr>
        <w:t xml:space="preserve"> instruments and the </w:t>
      </w:r>
      <w:r w:rsidR="00672F44">
        <w:rPr>
          <w:rFonts w:ascii="Times New Roman" w:hAnsi="Times New Roman" w:cs="Times New Roman"/>
        </w:rPr>
        <w:t>overall effect. The primary intermediary factors take into account how the causes effect the overall situation in which pupils are found. The secondary intermediary factors extend these to personal social, economic and knowledge and understanding (K&amp;U) based attributes in the students’ home and educational life. These create an initially assumed strong model to judge progression issues.</w:t>
      </w:r>
    </w:p>
    <w:p w:rsidR="00672F44" w:rsidRDefault="00672F44" w:rsidP="00844EAA">
      <w:pPr>
        <w:spacing w:line="360" w:lineRule="auto"/>
        <w:jc w:val="both"/>
        <w:rPr>
          <w:rFonts w:ascii="Times New Roman" w:hAnsi="Times New Roman" w:cs="Times New Roman"/>
        </w:rPr>
      </w:pPr>
    </w:p>
    <w:p w:rsidR="00672F44" w:rsidRPr="00A151D8" w:rsidRDefault="00672F44" w:rsidP="00844EAA">
      <w:pPr>
        <w:spacing w:line="360" w:lineRule="auto"/>
        <w:jc w:val="both"/>
        <w:rPr>
          <w:rFonts w:ascii="Times New Roman" w:hAnsi="Times New Roman" w:cs="Times New Roman"/>
          <w:sz w:val="28"/>
          <w:szCs w:val="28"/>
        </w:rPr>
      </w:pPr>
      <w:r>
        <w:rPr>
          <w:rFonts w:ascii="Times New Roman" w:hAnsi="Times New Roman" w:cs="Times New Roman"/>
        </w:rPr>
        <w:t>This model is used in the context of issues which are highlighted by various widening access teams around the UK who aim to increase progression rates from schools in the lowest ranked areas of deprivation. This is observed through the path of identifying and targeting needs and making an attempt to implement improvements through methods such as the Schools for Higher Education Programme</w:t>
      </w:r>
      <w:r w:rsidR="005C69B0">
        <w:rPr>
          <w:rFonts w:ascii="Times New Roman" w:hAnsi="Times New Roman" w:cs="Times New Roman"/>
        </w:rPr>
        <w:t xml:space="preserve"> (SHEP)</w:t>
      </w:r>
      <w:r>
        <w:rPr>
          <w:rFonts w:ascii="Times New Roman" w:hAnsi="Times New Roman" w:cs="Times New Roman"/>
        </w:rPr>
        <w:t xml:space="preserve">. </w:t>
      </w:r>
      <w:r w:rsidR="005C69B0">
        <w:rPr>
          <w:rFonts w:ascii="Times New Roman" w:hAnsi="Times New Roman" w:cs="Times New Roman"/>
        </w:rPr>
        <w:t>This analysis explores different social and economic methods used under the idea of the SHEP</w:t>
      </w:r>
      <w:r>
        <w:rPr>
          <w:rFonts w:ascii="Times New Roman" w:hAnsi="Times New Roman" w:cs="Times New Roman"/>
        </w:rPr>
        <w:t xml:space="preserve"> </w:t>
      </w:r>
      <w:r w:rsidR="005C69B0">
        <w:rPr>
          <w:rFonts w:ascii="Times New Roman" w:hAnsi="Times New Roman" w:cs="Times New Roman"/>
        </w:rPr>
        <w:t xml:space="preserve">and finds moderately successful data with many flaws with desperate room for social modelling improvement. </w:t>
      </w:r>
    </w:p>
    <w:p w:rsidR="00635BC9" w:rsidRPr="00D90CAB" w:rsidRDefault="00635BC9" w:rsidP="00844EAA">
      <w:pPr>
        <w:spacing w:line="360" w:lineRule="auto"/>
        <w:rPr>
          <w:rFonts w:ascii="Times New Roman" w:hAnsi="Times New Roman" w:cs="Times New Roman"/>
          <w:b/>
          <w:bCs/>
          <w:color w:val="44546A" w:themeColor="text2"/>
          <w:sz w:val="28"/>
          <w:szCs w:val="28"/>
        </w:rPr>
      </w:pPr>
    </w:p>
    <w:p w:rsidR="00635BC9" w:rsidRPr="00D90CAB" w:rsidRDefault="00635BC9" w:rsidP="00844EAA">
      <w:pPr>
        <w:spacing w:line="360" w:lineRule="auto"/>
        <w:rPr>
          <w:rFonts w:ascii="Times New Roman" w:hAnsi="Times New Roman" w:cs="Times New Roman"/>
          <w:b/>
          <w:bCs/>
          <w:color w:val="44546A" w:themeColor="text2"/>
          <w:sz w:val="28"/>
          <w:szCs w:val="28"/>
        </w:rPr>
      </w:pPr>
    </w:p>
    <w:p w:rsidR="00922998" w:rsidRPr="00D90CAB" w:rsidRDefault="00922998" w:rsidP="00844EAA">
      <w:pPr>
        <w:spacing w:line="360" w:lineRule="auto"/>
        <w:rPr>
          <w:rFonts w:ascii="Times New Roman" w:hAnsi="Times New Roman" w:cs="Times New Roman"/>
          <w:b/>
          <w:bCs/>
          <w:color w:val="44546A" w:themeColor="text2"/>
        </w:rPr>
      </w:pPr>
    </w:p>
    <w:p w:rsidR="006E374F" w:rsidRPr="00D90CAB" w:rsidRDefault="006E374F" w:rsidP="00844EAA">
      <w:pPr>
        <w:spacing w:line="360" w:lineRule="auto"/>
        <w:rPr>
          <w:rFonts w:ascii="Times New Roman" w:hAnsi="Times New Roman" w:cs="Times New Roman"/>
          <w:b/>
          <w:bCs/>
          <w:color w:val="44546A" w:themeColor="text2"/>
        </w:rPr>
      </w:pPr>
    </w:p>
    <w:p w:rsidR="006E374F" w:rsidRPr="00D90CAB" w:rsidRDefault="006E374F" w:rsidP="00844EAA">
      <w:pPr>
        <w:spacing w:line="360" w:lineRule="auto"/>
        <w:rPr>
          <w:rFonts w:ascii="Times New Roman" w:hAnsi="Times New Roman" w:cs="Times New Roman"/>
          <w:b/>
          <w:bCs/>
          <w:color w:val="44546A" w:themeColor="text2"/>
        </w:rPr>
      </w:pPr>
    </w:p>
    <w:p w:rsidR="006E374F" w:rsidRPr="00D90CAB" w:rsidRDefault="006E374F" w:rsidP="00844EAA">
      <w:pPr>
        <w:spacing w:line="360" w:lineRule="auto"/>
        <w:rPr>
          <w:rFonts w:ascii="Times New Roman" w:hAnsi="Times New Roman" w:cs="Times New Roman"/>
          <w:b/>
          <w:bCs/>
          <w:color w:val="44546A" w:themeColor="text2"/>
        </w:rPr>
      </w:pPr>
    </w:p>
    <w:p w:rsidR="006E374F" w:rsidRPr="00D90CAB" w:rsidRDefault="006E374F" w:rsidP="00844EAA">
      <w:pPr>
        <w:spacing w:line="360" w:lineRule="auto"/>
        <w:rPr>
          <w:rFonts w:ascii="Times New Roman" w:hAnsi="Times New Roman" w:cs="Times New Roman"/>
          <w:b/>
          <w:bCs/>
          <w:color w:val="44546A" w:themeColor="text2"/>
        </w:rPr>
      </w:pPr>
    </w:p>
    <w:p w:rsidR="006E374F" w:rsidRPr="00D90CAB" w:rsidRDefault="006E374F" w:rsidP="00844EAA">
      <w:pPr>
        <w:spacing w:line="360" w:lineRule="auto"/>
        <w:rPr>
          <w:rFonts w:ascii="Times New Roman" w:hAnsi="Times New Roman" w:cs="Times New Roman"/>
          <w:b/>
          <w:bCs/>
          <w:color w:val="44546A" w:themeColor="text2"/>
        </w:rPr>
      </w:pPr>
    </w:p>
    <w:p w:rsidR="006E374F" w:rsidRPr="00D90CAB" w:rsidRDefault="006E374F" w:rsidP="00844EAA">
      <w:pPr>
        <w:spacing w:line="360" w:lineRule="auto"/>
        <w:rPr>
          <w:rFonts w:ascii="Times New Roman" w:hAnsi="Times New Roman" w:cs="Times New Roman"/>
          <w:b/>
          <w:bCs/>
          <w:color w:val="44546A" w:themeColor="text2"/>
        </w:rPr>
      </w:pPr>
    </w:p>
    <w:p w:rsidR="005519EB" w:rsidRDefault="005519EB" w:rsidP="00844EAA">
      <w:pPr>
        <w:spacing w:line="360" w:lineRule="auto"/>
        <w:rPr>
          <w:rFonts w:ascii="Times New Roman" w:hAnsi="Times New Roman" w:cs="Times New Roman"/>
          <w:b/>
          <w:bCs/>
          <w:color w:val="44546A" w:themeColor="text2"/>
        </w:rPr>
      </w:pPr>
    </w:p>
    <w:p w:rsidR="00AB5D50" w:rsidRDefault="00AB5D50" w:rsidP="00844EAA">
      <w:pPr>
        <w:spacing w:line="360" w:lineRule="auto"/>
        <w:rPr>
          <w:rFonts w:ascii="Times New Roman" w:hAnsi="Times New Roman" w:cs="Times New Roman"/>
          <w:b/>
          <w:bCs/>
          <w:color w:val="44546A" w:themeColor="text2"/>
        </w:rPr>
      </w:pPr>
    </w:p>
    <w:p w:rsidR="00AB5D50" w:rsidRDefault="00AB5D50" w:rsidP="00844EAA">
      <w:pPr>
        <w:spacing w:line="360" w:lineRule="auto"/>
        <w:rPr>
          <w:rFonts w:ascii="Times New Roman" w:hAnsi="Times New Roman" w:cs="Times New Roman"/>
          <w:b/>
          <w:bCs/>
          <w:color w:val="44546A" w:themeColor="text2"/>
        </w:rPr>
      </w:pPr>
    </w:p>
    <w:p w:rsidR="00844EAA" w:rsidRDefault="00844EAA" w:rsidP="00844EAA">
      <w:pPr>
        <w:spacing w:line="360" w:lineRule="auto"/>
        <w:rPr>
          <w:rFonts w:ascii="Times New Roman" w:hAnsi="Times New Roman" w:cs="Times New Roman"/>
          <w:b/>
          <w:bCs/>
          <w:color w:val="44546A" w:themeColor="text2"/>
        </w:rPr>
      </w:pPr>
    </w:p>
    <w:p w:rsidR="006E374F" w:rsidRPr="00D90CAB" w:rsidRDefault="00706390" w:rsidP="00844EAA">
      <w:pPr>
        <w:spacing w:line="360" w:lineRule="auto"/>
        <w:rPr>
          <w:rFonts w:ascii="Times New Roman" w:hAnsi="Times New Roman" w:cs="Times New Roman"/>
          <w:b/>
          <w:bCs/>
          <w:color w:val="44546A" w:themeColor="text2"/>
        </w:rPr>
      </w:pPr>
      <w:r>
        <w:rPr>
          <w:rFonts w:ascii="Times New Roman" w:hAnsi="Times New Roman" w:cs="Times New Roman"/>
          <w:b/>
          <w:bCs/>
          <w:color w:val="44546A" w:themeColor="text2"/>
        </w:rPr>
        <w:lastRenderedPageBreak/>
        <w:t>Introduction &amp; Background</w:t>
      </w:r>
    </w:p>
    <w:p w:rsidR="006E374F" w:rsidRPr="00D90CAB" w:rsidRDefault="006E374F" w:rsidP="00844EAA">
      <w:pPr>
        <w:spacing w:line="360" w:lineRule="auto"/>
        <w:rPr>
          <w:rFonts w:ascii="Times New Roman" w:hAnsi="Times New Roman" w:cs="Times New Roman"/>
          <w:b/>
          <w:bCs/>
          <w:color w:val="44546A" w:themeColor="text2"/>
        </w:rPr>
      </w:pPr>
    </w:p>
    <w:p w:rsidR="006E374F" w:rsidRDefault="00091F3A" w:rsidP="00844EAA">
      <w:pPr>
        <w:spacing w:line="360" w:lineRule="auto"/>
        <w:jc w:val="both"/>
        <w:rPr>
          <w:rFonts w:ascii="Times New Roman" w:hAnsi="Times New Roman" w:cs="Times New Roman"/>
        </w:rPr>
      </w:pPr>
      <w:r>
        <w:rPr>
          <w:rFonts w:ascii="Times New Roman" w:hAnsi="Times New Roman" w:cs="Times New Roman"/>
        </w:rPr>
        <w:t xml:space="preserve">It can be argued that there </w:t>
      </w:r>
      <w:r w:rsidR="001C6B30">
        <w:rPr>
          <w:rFonts w:ascii="Times New Roman" w:hAnsi="Times New Roman" w:cs="Times New Roman"/>
        </w:rPr>
        <w:t>isn’t</w:t>
      </w:r>
      <w:r>
        <w:rPr>
          <w:rFonts w:ascii="Times New Roman" w:hAnsi="Times New Roman" w:cs="Times New Roman"/>
        </w:rPr>
        <w:t xml:space="preserve"> equal opportunity across schools, particularly within Glasgow</w:t>
      </w:r>
      <w:r w:rsidR="001C6B30">
        <w:rPr>
          <w:rFonts w:ascii="Times New Roman" w:hAnsi="Times New Roman" w:cs="Times New Roman"/>
        </w:rPr>
        <w:t>/Scotland</w:t>
      </w:r>
      <w:r>
        <w:rPr>
          <w:rFonts w:ascii="Times New Roman" w:hAnsi="Times New Roman" w:cs="Times New Roman"/>
        </w:rPr>
        <w:t xml:space="preserve"> in this case. Many schools may be viewed from a linear perspective</w:t>
      </w:r>
      <w:r w:rsidR="00D170F7">
        <w:rPr>
          <w:rFonts w:ascii="Times New Roman" w:hAnsi="Times New Roman" w:cs="Times New Roman"/>
        </w:rPr>
        <w:t xml:space="preserve"> </w:t>
      </w:r>
      <w:r>
        <w:rPr>
          <w:rFonts w:ascii="Times New Roman" w:hAnsi="Times New Roman" w:cs="Times New Roman"/>
        </w:rPr>
        <w:t xml:space="preserve">based on causal factors such as school </w:t>
      </w:r>
      <w:r w:rsidR="00D170F7">
        <w:rPr>
          <w:rFonts w:ascii="Times New Roman" w:hAnsi="Times New Roman" w:cs="Times New Roman"/>
        </w:rPr>
        <w:t>reputation</w:t>
      </w:r>
      <w:r>
        <w:rPr>
          <w:rFonts w:ascii="Times New Roman" w:hAnsi="Times New Roman" w:cs="Times New Roman"/>
        </w:rPr>
        <w:t xml:space="preserve">, </w:t>
      </w:r>
      <w:r w:rsidR="00D170F7">
        <w:rPr>
          <w:rFonts w:ascii="Times New Roman" w:hAnsi="Times New Roman" w:cs="Times New Roman"/>
        </w:rPr>
        <w:t>historical results, affluence of students</w:t>
      </w:r>
      <w:r>
        <w:rPr>
          <w:rFonts w:ascii="Times New Roman" w:hAnsi="Times New Roman" w:cs="Times New Roman"/>
        </w:rPr>
        <w:t xml:space="preserve"> etc.</w:t>
      </w:r>
      <w:r w:rsidR="00D170F7">
        <w:rPr>
          <w:rFonts w:ascii="Times New Roman" w:hAnsi="Times New Roman" w:cs="Times New Roman"/>
        </w:rPr>
        <w:t xml:space="preserve"> However, t</w:t>
      </w:r>
      <w:r>
        <w:rPr>
          <w:rFonts w:ascii="Times New Roman" w:hAnsi="Times New Roman" w:cs="Times New Roman"/>
        </w:rPr>
        <w:t>here may be equal</w:t>
      </w:r>
      <w:r w:rsidR="00D170F7">
        <w:rPr>
          <w:rFonts w:ascii="Times New Roman" w:hAnsi="Times New Roman" w:cs="Times New Roman"/>
        </w:rPr>
        <w:t>,</w:t>
      </w:r>
      <w:r>
        <w:rPr>
          <w:rFonts w:ascii="Times New Roman" w:hAnsi="Times New Roman" w:cs="Times New Roman"/>
        </w:rPr>
        <w:t xml:space="preserve"> if not greater</w:t>
      </w:r>
      <w:r w:rsidR="00D170F7">
        <w:rPr>
          <w:rFonts w:ascii="Times New Roman" w:hAnsi="Times New Roman" w:cs="Times New Roman"/>
        </w:rPr>
        <w:t>,</w:t>
      </w:r>
      <w:r>
        <w:rPr>
          <w:rFonts w:ascii="Times New Roman" w:hAnsi="Times New Roman" w:cs="Times New Roman"/>
        </w:rPr>
        <w:t xml:space="preserve"> opportunity lurking in traditionally lower achieving schools</w:t>
      </w:r>
      <w:r w:rsidR="00D170F7">
        <w:rPr>
          <w:rFonts w:ascii="Times New Roman" w:hAnsi="Times New Roman" w:cs="Times New Roman"/>
        </w:rPr>
        <w:t xml:space="preserve">. </w:t>
      </w:r>
      <w:r w:rsidR="001C6B30">
        <w:rPr>
          <w:rFonts w:ascii="Times New Roman" w:hAnsi="Times New Roman" w:cs="Times New Roman"/>
        </w:rPr>
        <w:t>This</w:t>
      </w:r>
      <w:r w:rsidR="00D170F7">
        <w:rPr>
          <w:rFonts w:ascii="Times New Roman" w:hAnsi="Times New Roman" w:cs="Times New Roman"/>
        </w:rPr>
        <w:t xml:space="preserve"> may be disguised by many intermediary factors involving student mentality or even the teachers’ perspective or understanding regarding </w:t>
      </w:r>
      <w:r>
        <w:rPr>
          <w:rFonts w:ascii="Times New Roman" w:hAnsi="Times New Roman" w:cs="Times New Roman"/>
        </w:rPr>
        <w:t xml:space="preserve"> </w:t>
      </w:r>
      <w:r w:rsidR="00D170F7">
        <w:rPr>
          <w:rFonts w:ascii="Times New Roman" w:hAnsi="Times New Roman" w:cs="Times New Roman"/>
        </w:rPr>
        <w:t>their</w:t>
      </w:r>
      <w:r w:rsidR="001C6B30">
        <w:rPr>
          <w:rFonts w:ascii="Times New Roman" w:hAnsi="Times New Roman" w:cs="Times New Roman"/>
        </w:rPr>
        <w:t xml:space="preserve"> pupils;</w:t>
      </w:r>
      <w:r w:rsidR="00D170F7">
        <w:rPr>
          <w:rFonts w:ascii="Times New Roman" w:hAnsi="Times New Roman" w:cs="Times New Roman"/>
        </w:rPr>
        <w:t xml:space="preserve"> </w:t>
      </w:r>
      <w:r w:rsidR="001C6B30">
        <w:rPr>
          <w:rFonts w:ascii="Times New Roman" w:hAnsi="Times New Roman" w:cs="Times New Roman"/>
        </w:rPr>
        <w:t>s</w:t>
      </w:r>
      <w:r w:rsidR="00D170F7">
        <w:rPr>
          <w:rFonts w:ascii="Times New Roman" w:hAnsi="Times New Roman" w:cs="Times New Roman"/>
        </w:rPr>
        <w:t xml:space="preserve">tudents who </w:t>
      </w:r>
      <w:r w:rsidR="001C6B30">
        <w:rPr>
          <w:rFonts w:ascii="Times New Roman" w:hAnsi="Times New Roman" w:cs="Times New Roman"/>
        </w:rPr>
        <w:t>may</w:t>
      </w:r>
      <w:r w:rsidR="00D170F7">
        <w:rPr>
          <w:rFonts w:ascii="Times New Roman" w:hAnsi="Times New Roman" w:cs="Times New Roman"/>
        </w:rPr>
        <w:t xml:space="preserve"> not necessarily fit into their norm. The inclusion of these intermediary factors significantly affect a regressed model of future achievement (</w:t>
      </w:r>
      <w:r w:rsidR="00A727D6">
        <w:rPr>
          <w:rFonts w:ascii="Times New Roman" w:hAnsi="Times New Roman" w:cs="Times New Roman"/>
        </w:rPr>
        <w:t>Koop, 2007</w:t>
      </w:r>
      <w:r w:rsidR="00D170F7">
        <w:rPr>
          <w:rFonts w:ascii="Times New Roman" w:hAnsi="Times New Roman" w:cs="Times New Roman"/>
        </w:rPr>
        <w:t>).</w:t>
      </w:r>
    </w:p>
    <w:p w:rsidR="00D170F7" w:rsidRDefault="00D170F7" w:rsidP="00844EAA">
      <w:pPr>
        <w:spacing w:line="360" w:lineRule="auto"/>
        <w:jc w:val="both"/>
        <w:rPr>
          <w:rFonts w:ascii="Times New Roman" w:hAnsi="Times New Roman" w:cs="Times New Roman"/>
        </w:rPr>
      </w:pPr>
    </w:p>
    <w:p w:rsidR="00D170F7" w:rsidRDefault="00D170F7" w:rsidP="00844EAA">
      <w:pPr>
        <w:spacing w:line="360" w:lineRule="auto"/>
        <w:jc w:val="both"/>
        <w:rPr>
          <w:rFonts w:ascii="Times New Roman" w:hAnsi="Times New Roman" w:cs="Times New Roman"/>
        </w:rPr>
      </w:pPr>
      <w:r>
        <w:rPr>
          <w:rFonts w:ascii="Times New Roman" w:hAnsi="Times New Roman" w:cs="Times New Roman"/>
        </w:rPr>
        <w:t xml:space="preserve">At the University of Strathclyde, </w:t>
      </w:r>
      <w:r w:rsidR="00634900">
        <w:rPr>
          <w:rFonts w:ascii="Times New Roman" w:hAnsi="Times New Roman" w:cs="Times New Roman"/>
        </w:rPr>
        <w:t>the Widening Access team exists to aid this problem of mismatch on the path of causation. If we observe academic potential</w:t>
      </w:r>
      <w:r w:rsidR="006671D5">
        <w:rPr>
          <w:rFonts w:ascii="Times New Roman" w:hAnsi="Times New Roman" w:cs="Times New Roman"/>
        </w:rPr>
        <w:t>, or a semantically similar term,</w:t>
      </w:r>
      <w:r w:rsidR="00634900">
        <w:rPr>
          <w:rFonts w:ascii="Times New Roman" w:hAnsi="Times New Roman" w:cs="Times New Roman"/>
        </w:rPr>
        <w:t xml:space="preserve"> as the </w:t>
      </w:r>
      <w:r w:rsidR="006671D5">
        <w:rPr>
          <w:rFonts w:ascii="Times New Roman" w:hAnsi="Times New Roman" w:cs="Times New Roman"/>
        </w:rPr>
        <w:t>regressed</w:t>
      </w:r>
      <w:r w:rsidR="00634900">
        <w:rPr>
          <w:rFonts w:ascii="Times New Roman" w:hAnsi="Times New Roman" w:cs="Times New Roman"/>
        </w:rPr>
        <w:t xml:space="preserve"> variable, we see that observing</w:t>
      </w:r>
      <w:r w:rsidR="006671D5">
        <w:rPr>
          <w:rFonts w:ascii="Times New Roman" w:hAnsi="Times New Roman" w:cs="Times New Roman"/>
        </w:rPr>
        <w:t xml:space="preserve"> only factors from standard or highly achieving schools leads to huge selection bias</w:t>
      </w:r>
      <w:r w:rsidR="00D6634C">
        <w:rPr>
          <w:rFonts w:ascii="Times New Roman" w:hAnsi="Times New Roman" w:cs="Times New Roman"/>
        </w:rPr>
        <w:t xml:space="preserve"> (Hindricks, Myles, 2013)</w:t>
      </w:r>
      <w:r w:rsidR="006671D5">
        <w:rPr>
          <w:rFonts w:ascii="Times New Roman" w:hAnsi="Times New Roman" w:cs="Times New Roman"/>
        </w:rPr>
        <w:t xml:space="preserve">. Casual factors may include things such as the hierarchy of </w:t>
      </w:r>
      <w:r w:rsidR="0097054E">
        <w:rPr>
          <w:rFonts w:ascii="Times New Roman" w:hAnsi="Times New Roman" w:cs="Times New Roman"/>
        </w:rPr>
        <w:t>school reputation</w:t>
      </w:r>
      <w:r w:rsidR="006671D5">
        <w:rPr>
          <w:rFonts w:ascii="Times New Roman" w:hAnsi="Times New Roman" w:cs="Times New Roman"/>
        </w:rPr>
        <w:t>,</w:t>
      </w:r>
      <w:r w:rsidR="0097054E">
        <w:rPr>
          <w:rFonts w:ascii="Times New Roman" w:hAnsi="Times New Roman" w:cs="Times New Roman"/>
        </w:rPr>
        <w:t xml:space="preserve"> school perception, general environment etc</w:t>
      </w:r>
      <w:r w:rsidR="006671D5">
        <w:rPr>
          <w:rFonts w:ascii="Times New Roman" w:hAnsi="Times New Roman" w:cs="Times New Roman"/>
        </w:rPr>
        <w:t>.</w:t>
      </w:r>
      <w:r w:rsidR="0097054E">
        <w:rPr>
          <w:rFonts w:ascii="Times New Roman" w:hAnsi="Times New Roman" w:cs="Times New Roman"/>
        </w:rPr>
        <w:t xml:space="preserve"> (MacLeod, Urquiola, </w:t>
      </w:r>
      <w:r w:rsidR="00712F87">
        <w:rPr>
          <w:rFonts w:ascii="Times New Roman" w:hAnsi="Times New Roman" w:cs="Times New Roman"/>
        </w:rPr>
        <w:t>2009</w:t>
      </w:r>
      <w:r w:rsidR="0097054E">
        <w:rPr>
          <w:rFonts w:ascii="Times New Roman" w:hAnsi="Times New Roman" w:cs="Times New Roman"/>
        </w:rPr>
        <w:t>).</w:t>
      </w:r>
      <w:r w:rsidR="006671D5">
        <w:rPr>
          <w:rFonts w:ascii="Times New Roman" w:hAnsi="Times New Roman" w:cs="Times New Roman"/>
        </w:rPr>
        <w:t xml:space="preserve"> As described, these </w:t>
      </w:r>
      <w:r w:rsidR="0097054E">
        <w:rPr>
          <w:rFonts w:ascii="Times New Roman" w:hAnsi="Times New Roman" w:cs="Times New Roman"/>
        </w:rPr>
        <w:t>factors are plentiful in bias towards high progression rate, high</w:t>
      </w:r>
      <w:r w:rsidR="00712F87">
        <w:rPr>
          <w:rFonts w:ascii="Times New Roman" w:hAnsi="Times New Roman" w:cs="Times New Roman"/>
        </w:rPr>
        <w:t>ly</w:t>
      </w:r>
      <w:r w:rsidR="0097054E">
        <w:rPr>
          <w:rFonts w:ascii="Times New Roman" w:hAnsi="Times New Roman" w:cs="Times New Roman"/>
        </w:rPr>
        <w:t xml:space="preserve"> achieving schools. </w:t>
      </w:r>
      <w:r w:rsidR="00712F87">
        <w:rPr>
          <w:rFonts w:ascii="Times New Roman" w:hAnsi="Times New Roman" w:cs="Times New Roman"/>
        </w:rPr>
        <w:t>They fail to account for many differential factors. Factors which appear in an everlasting quantity</w:t>
      </w:r>
      <w:r w:rsidR="00C45ADF">
        <w:rPr>
          <w:rFonts w:ascii="Times New Roman" w:hAnsi="Times New Roman" w:cs="Times New Roman"/>
        </w:rPr>
        <w:t>, which perhaps may place students in lower achieving schools but do not directly affect their grades. Hence, their observed reputation is poor but at closer look, their real reputation is good and must be identified.</w:t>
      </w:r>
      <w:r w:rsidR="00712F87">
        <w:rPr>
          <w:rFonts w:ascii="Times New Roman" w:hAnsi="Times New Roman" w:cs="Times New Roman"/>
        </w:rPr>
        <w:t xml:space="preserve"> Some </w:t>
      </w:r>
      <w:r w:rsidR="001C6B30">
        <w:rPr>
          <w:rFonts w:ascii="Times New Roman" w:hAnsi="Times New Roman" w:cs="Times New Roman"/>
        </w:rPr>
        <w:t>factors</w:t>
      </w:r>
      <w:r w:rsidR="00712F87">
        <w:rPr>
          <w:rFonts w:ascii="Times New Roman" w:hAnsi="Times New Roman" w:cs="Times New Roman"/>
        </w:rPr>
        <w:t xml:space="preserve"> held by underachieving schools include</w:t>
      </w:r>
      <w:r w:rsidR="00C45ADF">
        <w:rPr>
          <w:rFonts w:ascii="Times New Roman" w:hAnsi="Times New Roman" w:cs="Times New Roman"/>
        </w:rPr>
        <w:t xml:space="preserve"> things like low family income, requirement to care, family surrounding,</w:t>
      </w:r>
      <w:r w:rsidR="00883F5C">
        <w:rPr>
          <w:rFonts w:ascii="Times New Roman" w:hAnsi="Times New Roman" w:cs="Times New Roman"/>
        </w:rPr>
        <w:t xml:space="preserve"> mental stability</w:t>
      </w:r>
      <w:r w:rsidR="00C45ADF">
        <w:rPr>
          <w:rFonts w:ascii="Times New Roman" w:hAnsi="Times New Roman" w:cs="Times New Roman"/>
        </w:rPr>
        <w:t xml:space="preserve"> lack of belief and so on. </w:t>
      </w:r>
    </w:p>
    <w:p w:rsidR="006671D5" w:rsidRDefault="006671D5" w:rsidP="00844EAA">
      <w:pPr>
        <w:spacing w:line="360" w:lineRule="auto"/>
        <w:jc w:val="both"/>
        <w:rPr>
          <w:rFonts w:ascii="Times New Roman" w:hAnsi="Times New Roman" w:cs="Times New Roman"/>
        </w:rPr>
      </w:pPr>
    </w:p>
    <w:p w:rsidR="007427CF" w:rsidRDefault="006671D5" w:rsidP="00844EAA">
      <w:pPr>
        <w:spacing w:line="360" w:lineRule="auto"/>
        <w:jc w:val="both"/>
        <w:rPr>
          <w:rFonts w:ascii="Times New Roman" w:hAnsi="Times New Roman" w:cs="Times New Roman"/>
        </w:rPr>
      </w:pPr>
      <w:r>
        <w:rPr>
          <w:rFonts w:ascii="Times New Roman" w:hAnsi="Times New Roman" w:cs="Times New Roman"/>
        </w:rPr>
        <w:t>The role</w:t>
      </w:r>
      <w:r w:rsidR="001C6B30">
        <w:rPr>
          <w:rFonts w:ascii="Times New Roman" w:hAnsi="Times New Roman" w:cs="Times New Roman"/>
        </w:rPr>
        <w:t xml:space="preserve"> </w:t>
      </w:r>
      <w:r>
        <w:rPr>
          <w:rFonts w:ascii="Times New Roman" w:hAnsi="Times New Roman" w:cs="Times New Roman"/>
        </w:rPr>
        <w:t>of Strathclyde’s Widening Access Team is to highlight these intermediary factors within underachieving schools and utilise their tools and resources to optimise potential within these factors</w:t>
      </w:r>
      <w:r w:rsidR="001C6B30">
        <w:rPr>
          <w:rFonts w:ascii="Times New Roman" w:hAnsi="Times New Roman" w:cs="Times New Roman"/>
        </w:rPr>
        <w:t>. T</w:t>
      </w:r>
      <w:r>
        <w:rPr>
          <w:rFonts w:ascii="Times New Roman" w:hAnsi="Times New Roman" w:cs="Times New Roman"/>
        </w:rPr>
        <w:t>herefore</w:t>
      </w:r>
      <w:r w:rsidR="001C6B30">
        <w:rPr>
          <w:rFonts w:ascii="Times New Roman" w:hAnsi="Times New Roman" w:cs="Times New Roman"/>
        </w:rPr>
        <w:t>,</w:t>
      </w:r>
      <w:r>
        <w:rPr>
          <w:rFonts w:ascii="Times New Roman" w:hAnsi="Times New Roman" w:cs="Times New Roman"/>
        </w:rPr>
        <w:t xml:space="preserve"> automatically selecting viable candidates from otherwise unexplored parts of the traditional causal portion of the academic potential regression. That is, identifying </w:t>
      </w:r>
      <w:r w:rsidR="001C6B30">
        <w:rPr>
          <w:rFonts w:ascii="Times New Roman" w:hAnsi="Times New Roman" w:cs="Times New Roman"/>
        </w:rPr>
        <w:t xml:space="preserve">deserving </w:t>
      </w:r>
      <w:r>
        <w:rPr>
          <w:rFonts w:ascii="Times New Roman" w:hAnsi="Times New Roman" w:cs="Times New Roman"/>
        </w:rPr>
        <w:t>students from low and poor progression rate schools in order to equalise the</w:t>
      </w:r>
      <w:r w:rsidR="001C6B30">
        <w:rPr>
          <w:rFonts w:ascii="Times New Roman" w:hAnsi="Times New Roman" w:cs="Times New Roman"/>
        </w:rPr>
        <w:t>m</w:t>
      </w:r>
      <w:r>
        <w:rPr>
          <w:rFonts w:ascii="Times New Roman" w:hAnsi="Times New Roman" w:cs="Times New Roman"/>
        </w:rPr>
        <w:t xml:space="preserve"> </w:t>
      </w:r>
      <w:r w:rsidR="001C6B30">
        <w:rPr>
          <w:rFonts w:ascii="Times New Roman" w:hAnsi="Times New Roman" w:cs="Times New Roman"/>
        </w:rPr>
        <w:t>equivalents attending</w:t>
      </w:r>
      <w:r>
        <w:rPr>
          <w:rFonts w:ascii="Times New Roman" w:hAnsi="Times New Roman" w:cs="Times New Roman"/>
        </w:rPr>
        <w:t xml:space="preserve"> higher progression rate schools. </w:t>
      </w:r>
      <w:r w:rsidR="0061430A">
        <w:rPr>
          <w:rFonts w:ascii="Times New Roman" w:hAnsi="Times New Roman" w:cs="Times New Roman"/>
        </w:rPr>
        <w:t xml:space="preserve">Using </w:t>
      </w:r>
      <w:r w:rsidR="001C6B30">
        <w:rPr>
          <w:rFonts w:ascii="Times New Roman" w:hAnsi="Times New Roman" w:cs="Times New Roman"/>
        </w:rPr>
        <w:t xml:space="preserve">tools </w:t>
      </w:r>
      <w:r w:rsidR="0061430A">
        <w:rPr>
          <w:rFonts w:ascii="Times New Roman" w:hAnsi="Times New Roman" w:cs="Times New Roman"/>
        </w:rPr>
        <w:t xml:space="preserve">such as the One Day Event </w:t>
      </w:r>
      <w:r w:rsidR="001C6B30">
        <w:rPr>
          <w:rFonts w:ascii="Times New Roman" w:hAnsi="Times New Roman" w:cs="Times New Roman"/>
        </w:rPr>
        <w:t>we observe</w:t>
      </w:r>
      <w:r w:rsidR="0061430A">
        <w:rPr>
          <w:rFonts w:ascii="Times New Roman" w:hAnsi="Times New Roman" w:cs="Times New Roman"/>
        </w:rPr>
        <w:t xml:space="preserve"> randomised control trial</w:t>
      </w:r>
      <w:r w:rsidR="001C6B30">
        <w:rPr>
          <w:rFonts w:ascii="Times New Roman" w:hAnsi="Times New Roman" w:cs="Times New Roman"/>
        </w:rPr>
        <w:t>s</w:t>
      </w:r>
      <w:r w:rsidR="0061430A">
        <w:rPr>
          <w:rFonts w:ascii="Times New Roman" w:hAnsi="Times New Roman" w:cs="Times New Roman"/>
        </w:rPr>
        <w:t xml:space="preserve"> (</w:t>
      </w:r>
      <w:r w:rsidR="00916CD3">
        <w:rPr>
          <w:rFonts w:ascii="Times New Roman" w:hAnsi="Times New Roman" w:cs="Times New Roman"/>
        </w:rPr>
        <w:t>MacLeod, Urquiola, 2009</w:t>
      </w:r>
      <w:r w:rsidR="0061430A">
        <w:rPr>
          <w:rFonts w:ascii="Times New Roman" w:hAnsi="Times New Roman" w:cs="Times New Roman"/>
        </w:rPr>
        <w:t xml:space="preserve">). </w:t>
      </w:r>
      <w:r w:rsidR="00DF3215">
        <w:rPr>
          <w:rFonts w:ascii="Times New Roman" w:hAnsi="Times New Roman" w:cs="Times New Roman"/>
        </w:rPr>
        <w:t xml:space="preserve">This is where students can be recognised on an equal level </w:t>
      </w:r>
      <w:r w:rsidR="001C6B30">
        <w:rPr>
          <w:rFonts w:ascii="Times New Roman" w:hAnsi="Times New Roman" w:cs="Times New Roman"/>
        </w:rPr>
        <w:t>of</w:t>
      </w:r>
      <w:r w:rsidR="00DF3215">
        <w:rPr>
          <w:rFonts w:ascii="Times New Roman" w:hAnsi="Times New Roman" w:cs="Times New Roman"/>
        </w:rPr>
        <w:t xml:space="preserve"> ability</w:t>
      </w:r>
      <w:r w:rsidR="001C6B30">
        <w:rPr>
          <w:rFonts w:ascii="Times New Roman" w:hAnsi="Times New Roman" w:cs="Times New Roman"/>
        </w:rPr>
        <w:t>, r</w:t>
      </w:r>
      <w:r w:rsidR="00DF3215">
        <w:rPr>
          <w:rFonts w:ascii="Times New Roman" w:hAnsi="Times New Roman" w:cs="Times New Roman"/>
        </w:rPr>
        <w:t>ather than having their mean academic attribute values skewed by unfortunate conditions.</w:t>
      </w:r>
      <w:r w:rsidR="0061430A">
        <w:rPr>
          <w:rFonts w:ascii="Times New Roman" w:hAnsi="Times New Roman" w:cs="Times New Roman"/>
        </w:rPr>
        <w:t xml:space="preserve"> </w:t>
      </w:r>
      <w:r w:rsidR="00DF3215">
        <w:rPr>
          <w:rFonts w:ascii="Times New Roman" w:hAnsi="Times New Roman" w:cs="Times New Roman"/>
        </w:rPr>
        <w:t>Th</w:t>
      </w:r>
      <w:r w:rsidR="001C6B30">
        <w:rPr>
          <w:rFonts w:ascii="Times New Roman" w:hAnsi="Times New Roman" w:cs="Times New Roman"/>
        </w:rPr>
        <w:t>is</w:t>
      </w:r>
      <w:r w:rsidR="00DF3215">
        <w:rPr>
          <w:rFonts w:ascii="Times New Roman" w:hAnsi="Times New Roman" w:cs="Times New Roman"/>
        </w:rPr>
        <w:t xml:space="preserve"> equality is </w:t>
      </w:r>
      <w:r w:rsidR="00DF3215">
        <w:rPr>
          <w:rFonts w:ascii="Times New Roman" w:hAnsi="Times New Roman" w:cs="Times New Roman"/>
        </w:rPr>
        <w:lastRenderedPageBreak/>
        <w:t xml:space="preserve">created by randomisation and therefore the creation of unbiased results. </w:t>
      </w:r>
      <w:r w:rsidR="0061430A">
        <w:rPr>
          <w:rFonts w:ascii="Times New Roman" w:hAnsi="Times New Roman" w:cs="Times New Roman"/>
        </w:rPr>
        <w:t xml:space="preserve">By isolating </w:t>
      </w:r>
      <w:r w:rsidR="00892F50">
        <w:rPr>
          <w:rFonts w:ascii="Times New Roman" w:hAnsi="Times New Roman" w:cs="Times New Roman"/>
        </w:rPr>
        <w:t>students</w:t>
      </w:r>
      <w:r w:rsidR="0061430A">
        <w:rPr>
          <w:rFonts w:ascii="Times New Roman" w:hAnsi="Times New Roman" w:cs="Times New Roman"/>
        </w:rPr>
        <w:t xml:space="preserve"> believed by peers to have undiscovered/underutilised potential, they are put on the same level as otherwise ‘standard’ university applicants which can lead to outputs such as confidence increase, self-belief, desire for university etc. Therefore, contribut</w:t>
      </w:r>
      <w:r w:rsidR="001C6B30">
        <w:rPr>
          <w:rFonts w:ascii="Times New Roman" w:hAnsi="Times New Roman" w:cs="Times New Roman"/>
        </w:rPr>
        <w:t>ing</w:t>
      </w:r>
      <w:r w:rsidR="0061430A">
        <w:rPr>
          <w:rFonts w:ascii="Times New Roman" w:hAnsi="Times New Roman" w:cs="Times New Roman"/>
        </w:rPr>
        <w:t xml:space="preserve"> to the aggregate output of higher academic potential. If the </w:t>
      </w:r>
      <w:r w:rsidR="001C6B30">
        <w:rPr>
          <w:rFonts w:ascii="Times New Roman" w:hAnsi="Times New Roman" w:cs="Times New Roman"/>
        </w:rPr>
        <w:t xml:space="preserve">widening access teams, </w:t>
      </w:r>
      <w:r w:rsidR="0061430A">
        <w:rPr>
          <w:rFonts w:ascii="Times New Roman" w:hAnsi="Times New Roman" w:cs="Times New Roman"/>
        </w:rPr>
        <w:t>teachers, school representatives and students harmonise and comply with propo</w:t>
      </w:r>
      <w:r w:rsidR="007F0E70">
        <w:rPr>
          <w:rFonts w:ascii="Times New Roman" w:hAnsi="Times New Roman" w:cs="Times New Roman"/>
        </w:rPr>
        <w:t>sitions, a clean model of student opportunity equality across high, intermediate and low progression rate schools can be satisfied.</w:t>
      </w:r>
      <w:r w:rsidR="00C526EA">
        <w:rPr>
          <w:rFonts w:ascii="Times New Roman" w:hAnsi="Times New Roman" w:cs="Times New Roman"/>
        </w:rPr>
        <w:t xml:space="preserve"> Students can be encouraged to view university as an option</w:t>
      </w:r>
      <w:r w:rsidR="001C6B30">
        <w:rPr>
          <w:rFonts w:ascii="Times New Roman" w:hAnsi="Times New Roman" w:cs="Times New Roman"/>
        </w:rPr>
        <w:t xml:space="preserve"> </w:t>
      </w:r>
      <w:r w:rsidR="00C526EA">
        <w:rPr>
          <w:rFonts w:ascii="Times New Roman" w:hAnsi="Times New Roman" w:cs="Times New Roman"/>
        </w:rPr>
        <w:t>regardless of their background</w:t>
      </w:r>
      <w:r w:rsidR="001C6B30">
        <w:rPr>
          <w:rFonts w:ascii="Times New Roman" w:hAnsi="Times New Roman" w:cs="Times New Roman"/>
        </w:rPr>
        <w:t xml:space="preserve"> </w:t>
      </w:r>
      <w:r w:rsidR="00C526EA">
        <w:rPr>
          <w:rFonts w:ascii="Times New Roman" w:hAnsi="Times New Roman" w:cs="Times New Roman"/>
        </w:rPr>
        <w:t xml:space="preserve">position. </w:t>
      </w:r>
      <w:r w:rsidR="001C6B30">
        <w:rPr>
          <w:rFonts w:ascii="Times New Roman" w:hAnsi="Times New Roman" w:cs="Times New Roman"/>
        </w:rPr>
        <w:t>With</w:t>
      </w:r>
      <w:r w:rsidR="00C526EA">
        <w:rPr>
          <w:rFonts w:ascii="Times New Roman" w:hAnsi="Times New Roman" w:cs="Times New Roman"/>
        </w:rPr>
        <w:t xml:space="preserve"> the right mindset, it’s possible for </w:t>
      </w:r>
      <w:r w:rsidR="00844EAA">
        <w:rPr>
          <w:rFonts w:ascii="Times New Roman" w:hAnsi="Times New Roman" w:cs="Times New Roman"/>
        </w:rPr>
        <w:t>pupils</w:t>
      </w:r>
      <w:r w:rsidR="00C526EA">
        <w:rPr>
          <w:rFonts w:ascii="Times New Roman" w:hAnsi="Times New Roman" w:cs="Times New Roman"/>
        </w:rPr>
        <w:t xml:space="preserve"> to attain university level output. </w:t>
      </w:r>
      <w:r w:rsidR="001C6B30">
        <w:rPr>
          <w:rFonts w:ascii="Times New Roman" w:hAnsi="Times New Roman" w:cs="Times New Roman"/>
        </w:rPr>
        <w:t>Of</w:t>
      </w:r>
      <w:r w:rsidR="00C526EA">
        <w:rPr>
          <w:rFonts w:ascii="Times New Roman" w:hAnsi="Times New Roman" w:cs="Times New Roman"/>
        </w:rPr>
        <w:t xml:space="preserve"> course, </w:t>
      </w:r>
      <w:r w:rsidR="00844EAA">
        <w:rPr>
          <w:rFonts w:ascii="Times New Roman" w:hAnsi="Times New Roman" w:cs="Times New Roman"/>
        </w:rPr>
        <w:t xml:space="preserve">this </w:t>
      </w:r>
      <w:r w:rsidR="00C526EA">
        <w:rPr>
          <w:rFonts w:ascii="Times New Roman" w:hAnsi="Times New Roman" w:cs="Times New Roman"/>
        </w:rPr>
        <w:t>acts in favour also of the Strathclyde team and diversity and opportunity in the Business School.</w:t>
      </w: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5519EB" w:rsidRDefault="005519EB" w:rsidP="00844EAA">
      <w:pPr>
        <w:spacing w:line="360" w:lineRule="auto"/>
        <w:jc w:val="both"/>
        <w:rPr>
          <w:rFonts w:ascii="Times New Roman" w:hAnsi="Times New Roman" w:cs="Times New Roman"/>
          <w:b/>
          <w:bCs/>
          <w:color w:val="44546A" w:themeColor="text2"/>
        </w:rPr>
      </w:pPr>
    </w:p>
    <w:p w:rsidR="004D28FE" w:rsidRPr="007427CF" w:rsidRDefault="004D28FE" w:rsidP="00844EAA">
      <w:pPr>
        <w:spacing w:line="360" w:lineRule="auto"/>
        <w:jc w:val="both"/>
        <w:rPr>
          <w:rFonts w:ascii="Times New Roman" w:hAnsi="Times New Roman" w:cs="Times New Roman"/>
        </w:rPr>
      </w:pPr>
      <w:r>
        <w:rPr>
          <w:rFonts w:ascii="Times New Roman" w:hAnsi="Times New Roman" w:cs="Times New Roman"/>
          <w:b/>
          <w:bCs/>
          <w:color w:val="44546A" w:themeColor="text2"/>
        </w:rPr>
        <w:lastRenderedPageBreak/>
        <w:t>Analysis of Projects</w:t>
      </w:r>
    </w:p>
    <w:p w:rsidR="004D28FE" w:rsidRPr="00C526EA" w:rsidRDefault="004D28FE" w:rsidP="00844EAA">
      <w:pPr>
        <w:spacing w:line="360" w:lineRule="auto"/>
        <w:rPr>
          <w:rFonts w:ascii="Times New Roman" w:hAnsi="Times New Roman" w:cs="Times New Roman"/>
        </w:rPr>
      </w:pPr>
    </w:p>
    <w:p w:rsidR="0089108D" w:rsidRDefault="0089108D" w:rsidP="00844EAA">
      <w:pPr>
        <w:spacing w:line="360" w:lineRule="auto"/>
        <w:jc w:val="both"/>
        <w:rPr>
          <w:rFonts w:ascii="Times New Roman" w:hAnsi="Times New Roman" w:cs="Times New Roman"/>
        </w:rPr>
      </w:pPr>
      <w:r>
        <w:rPr>
          <w:rFonts w:ascii="Times New Roman" w:hAnsi="Times New Roman" w:cs="Times New Roman"/>
        </w:rPr>
        <w:t xml:space="preserve">Analysing the procedures and success of projects within widening access teams can be analysed in a similar way to public social/economic issues in an economy (Hoxby, 1999). </w:t>
      </w:r>
      <w:r w:rsidR="0053103D">
        <w:rPr>
          <w:rFonts w:ascii="Times New Roman" w:hAnsi="Times New Roman" w:cs="Times New Roman"/>
        </w:rPr>
        <w:t xml:space="preserve">In the context of schooling, the needs of the children must first be identified to highlights areas for targeting. These amendments/improvements must then not only be developed by external sources such as widening access teams, but they must also be implemented internally by schools themselves. Action can then be taken upon these issues through the aid of other externals such as motivational sources such as large corporations, relatable </w:t>
      </w:r>
      <w:r w:rsidR="009437A1">
        <w:rPr>
          <w:rFonts w:ascii="Times New Roman" w:hAnsi="Times New Roman" w:cs="Times New Roman"/>
        </w:rPr>
        <w:t>people and influencers –</w:t>
      </w:r>
      <w:r w:rsidR="0053103D">
        <w:rPr>
          <w:rFonts w:ascii="Times New Roman" w:hAnsi="Times New Roman" w:cs="Times New Roman"/>
        </w:rPr>
        <w:t xml:space="preserve"> to the pupils and miscellaneous extra-curricular</w:t>
      </w:r>
      <w:r w:rsidR="009437A1">
        <w:rPr>
          <w:rFonts w:ascii="Times New Roman" w:hAnsi="Times New Roman" w:cs="Times New Roman"/>
        </w:rPr>
        <w:t xml:space="preserve"> bodies</w:t>
      </w:r>
      <w:r w:rsidR="0053103D">
        <w:rPr>
          <w:rFonts w:ascii="Times New Roman" w:hAnsi="Times New Roman" w:cs="Times New Roman"/>
        </w:rPr>
        <w:t>.</w:t>
      </w:r>
      <w:r w:rsidR="009437A1">
        <w:rPr>
          <w:rFonts w:ascii="Times New Roman" w:hAnsi="Times New Roman" w:cs="Times New Roman"/>
        </w:rPr>
        <w:t xml:space="preserve"> All with the goal to satisfy the inspiration goals of the associated widening access teams. </w:t>
      </w:r>
      <w:r w:rsidR="0053103D">
        <w:rPr>
          <w:rFonts w:ascii="Times New Roman" w:hAnsi="Times New Roman" w:cs="Times New Roman"/>
        </w:rPr>
        <w:t>A sponsorship and funding perspective is usually taken by these sources. Finally, the impact of the success of these interventions can then be analysed using the improved method of regression discussed previously.</w:t>
      </w:r>
      <w:r w:rsidR="00864715">
        <w:rPr>
          <w:rFonts w:ascii="Times New Roman" w:hAnsi="Times New Roman" w:cs="Times New Roman"/>
        </w:rPr>
        <w:t xml:space="preserve"> It’s been analysed previously that there is indeed positive correlation and explanatory value between widening access success and labour market improvement (Parsons, Bynner, 2007).</w:t>
      </w:r>
    </w:p>
    <w:p w:rsidR="0089108D" w:rsidRDefault="0089108D" w:rsidP="00844EAA">
      <w:pPr>
        <w:spacing w:line="360" w:lineRule="auto"/>
        <w:rPr>
          <w:rFonts w:ascii="Times New Roman" w:hAnsi="Times New Roman" w:cs="Times New Roman"/>
        </w:rPr>
      </w:pPr>
    </w:p>
    <w:p w:rsidR="0089108D" w:rsidRPr="0089108D" w:rsidRDefault="0089108D" w:rsidP="00844EAA">
      <w:pPr>
        <w:spacing w:line="360" w:lineRule="auto"/>
        <w:rPr>
          <w:rFonts w:ascii="Times New Roman" w:hAnsi="Times New Roman" w:cs="Times New Roman"/>
          <w:b/>
          <w:bCs/>
          <w:color w:val="4472C4" w:themeColor="accent1"/>
        </w:rPr>
      </w:pPr>
      <w:r w:rsidRPr="0089108D">
        <w:rPr>
          <w:rFonts w:ascii="Times New Roman" w:hAnsi="Times New Roman" w:cs="Times New Roman"/>
          <w:b/>
          <w:bCs/>
          <w:color w:val="4472C4" w:themeColor="accent1"/>
        </w:rPr>
        <w:t>Identifying</w:t>
      </w:r>
      <w:r w:rsidR="00BA6F99">
        <w:rPr>
          <w:rFonts w:ascii="Times New Roman" w:hAnsi="Times New Roman" w:cs="Times New Roman"/>
          <w:b/>
          <w:bCs/>
          <w:color w:val="4472C4" w:themeColor="accent1"/>
        </w:rPr>
        <w:t xml:space="preserve"> &amp; Targeting</w:t>
      </w:r>
      <w:r w:rsidRPr="0089108D">
        <w:rPr>
          <w:rFonts w:ascii="Times New Roman" w:hAnsi="Times New Roman" w:cs="Times New Roman"/>
          <w:b/>
          <w:bCs/>
          <w:color w:val="4472C4" w:themeColor="accent1"/>
        </w:rPr>
        <w:t xml:space="preserve"> Needs of Participants</w:t>
      </w:r>
    </w:p>
    <w:p w:rsidR="0089108D" w:rsidRDefault="0089108D" w:rsidP="00844EAA">
      <w:pPr>
        <w:spacing w:line="360" w:lineRule="auto"/>
        <w:rPr>
          <w:rFonts w:ascii="Times New Roman" w:hAnsi="Times New Roman" w:cs="Times New Roman"/>
        </w:rPr>
      </w:pPr>
    </w:p>
    <w:p w:rsidR="00214C81" w:rsidRDefault="0089108D" w:rsidP="00844EAA">
      <w:pPr>
        <w:spacing w:line="360" w:lineRule="auto"/>
        <w:jc w:val="both"/>
        <w:rPr>
          <w:rFonts w:ascii="Times New Roman" w:hAnsi="Times New Roman" w:cs="Times New Roman"/>
        </w:rPr>
      </w:pPr>
      <w:r>
        <w:rPr>
          <w:rFonts w:ascii="Times New Roman" w:hAnsi="Times New Roman" w:cs="Times New Roman"/>
        </w:rPr>
        <w:t xml:space="preserve">It’s well known that the goal of any school is to </w:t>
      </w:r>
      <w:r w:rsidR="00EC1401">
        <w:rPr>
          <w:rFonts w:ascii="Times New Roman" w:hAnsi="Times New Roman" w:cs="Times New Roman"/>
        </w:rPr>
        <w:t xml:space="preserve">educate and output strong additions to its country’s economy. </w:t>
      </w:r>
      <w:r w:rsidR="00214C81">
        <w:rPr>
          <w:rFonts w:ascii="Times New Roman" w:hAnsi="Times New Roman" w:cs="Times New Roman"/>
        </w:rPr>
        <w:t xml:space="preserve">However, it’s been observed that every child may not have been given or have attained the opportunity to explore their full potential. To draw on the intermediary factors discussed previously, </w:t>
      </w:r>
      <w:r w:rsidR="00304E67">
        <w:rPr>
          <w:rFonts w:ascii="Times New Roman" w:hAnsi="Times New Roman" w:cs="Times New Roman"/>
        </w:rPr>
        <w:t xml:space="preserve">socioeconomic factors like </w:t>
      </w:r>
      <w:r w:rsidR="00214C81">
        <w:rPr>
          <w:rFonts w:ascii="Times New Roman" w:hAnsi="Times New Roman" w:cs="Times New Roman"/>
        </w:rPr>
        <w:t>family income ha</w:t>
      </w:r>
      <w:r w:rsidR="00141D24">
        <w:rPr>
          <w:rFonts w:ascii="Times New Roman" w:hAnsi="Times New Roman" w:cs="Times New Roman"/>
        </w:rPr>
        <w:t>ve</w:t>
      </w:r>
      <w:r w:rsidR="00214C81">
        <w:rPr>
          <w:rFonts w:ascii="Times New Roman" w:hAnsi="Times New Roman" w:cs="Times New Roman"/>
        </w:rPr>
        <w:t xml:space="preserve"> proven to have large positive correlation with academic results. For example, </w:t>
      </w:r>
      <w:r w:rsidR="00B01F9D">
        <w:rPr>
          <w:rFonts w:ascii="Times New Roman" w:hAnsi="Times New Roman" w:cs="Times New Roman"/>
        </w:rPr>
        <w:t>from an early age (</w:t>
      </w:r>
      <w:r w:rsidR="00141D24">
        <w:rPr>
          <w:rFonts w:ascii="Times New Roman" w:hAnsi="Times New Roman" w:cs="Times New Roman"/>
        </w:rPr>
        <w:t>P4-S2</w:t>
      </w:r>
      <w:r w:rsidR="00B01F9D">
        <w:rPr>
          <w:rFonts w:ascii="Times New Roman" w:hAnsi="Times New Roman" w:cs="Times New Roman"/>
        </w:rPr>
        <w:t xml:space="preserve">) the most deprived pupils have an average attainment record of up to half – in numeracy based subjects – than the least deprived pupils in the school (Figure 1). </w:t>
      </w:r>
      <w:r w:rsidR="000A1DB5">
        <w:rPr>
          <w:rFonts w:ascii="Times New Roman" w:hAnsi="Times New Roman" w:cs="Times New Roman"/>
        </w:rPr>
        <w:t xml:space="preserve">As </w:t>
      </w:r>
      <w:r w:rsidR="00A85902">
        <w:rPr>
          <w:rFonts w:ascii="Times New Roman" w:hAnsi="Times New Roman" w:cs="Times New Roman"/>
        </w:rPr>
        <w:t xml:space="preserve">education moves towards Highers and Advanced Highers, it’s been reported that the majority of students who </w:t>
      </w:r>
      <w:r w:rsidR="008A4E3F">
        <w:rPr>
          <w:rFonts w:ascii="Times New Roman" w:hAnsi="Times New Roman" w:cs="Times New Roman"/>
        </w:rPr>
        <w:t>remain in school to take</w:t>
      </w:r>
      <w:r w:rsidR="00A85902">
        <w:rPr>
          <w:rFonts w:ascii="Times New Roman" w:hAnsi="Times New Roman" w:cs="Times New Roman"/>
        </w:rPr>
        <w:t xml:space="preserve"> these exams come from higher-income backgrounds</w:t>
      </w:r>
      <w:r w:rsidR="00522FD2">
        <w:rPr>
          <w:rFonts w:ascii="Times New Roman" w:hAnsi="Times New Roman" w:cs="Times New Roman"/>
        </w:rPr>
        <w:t>, with 63% of these pupils obtaining a formal degree by 22/23. As opposed to the 14% of pre-higher leavers obtaining an equal degree by that age (Lannelli, Howieson, 2008).</w:t>
      </w:r>
      <w:r w:rsidR="00A900C5">
        <w:rPr>
          <w:rFonts w:ascii="Times New Roman" w:hAnsi="Times New Roman" w:cs="Times New Roman"/>
        </w:rPr>
        <w:t xml:space="preserve"> Family income does not directly mean pupils won’t reach university but does imply many families want children to move into a work life earlier or, that families simply cannot fund university life. This idea of income can be further extended to many non-financial family circumstances which affect a pupils ability to reach university.</w:t>
      </w:r>
    </w:p>
    <w:p w:rsidR="00214C81" w:rsidRDefault="00214C81" w:rsidP="00844EAA">
      <w:pPr>
        <w:spacing w:line="360" w:lineRule="auto"/>
        <w:jc w:val="both"/>
        <w:rPr>
          <w:rFonts w:ascii="Times New Roman" w:hAnsi="Times New Roman" w:cs="Times New Roman"/>
        </w:rPr>
      </w:pPr>
    </w:p>
    <w:p w:rsidR="00E301D1" w:rsidRDefault="000A1DB5" w:rsidP="00844EAA">
      <w:pPr>
        <w:spacing w:line="360" w:lineRule="auto"/>
        <w:jc w:val="both"/>
        <w:rPr>
          <w:rFonts w:ascii="Times New Roman" w:hAnsi="Times New Roman" w:cs="Times New Roman"/>
        </w:rPr>
      </w:pPr>
      <w:r>
        <w:rPr>
          <w:rFonts w:ascii="Times New Roman" w:hAnsi="Times New Roman" w:cs="Times New Roman"/>
        </w:rPr>
        <w:t>Additionally, t</w:t>
      </w:r>
      <w:r w:rsidR="00EC1401">
        <w:rPr>
          <w:rFonts w:ascii="Times New Roman" w:hAnsi="Times New Roman" w:cs="Times New Roman"/>
        </w:rPr>
        <w:t xml:space="preserve">he success of students is a function of many </w:t>
      </w:r>
      <w:r w:rsidR="00A900C5">
        <w:rPr>
          <w:rFonts w:ascii="Times New Roman" w:hAnsi="Times New Roman" w:cs="Times New Roman"/>
        </w:rPr>
        <w:t xml:space="preserve">other </w:t>
      </w:r>
      <w:r w:rsidR="00EC1401">
        <w:rPr>
          <w:rFonts w:ascii="Times New Roman" w:hAnsi="Times New Roman" w:cs="Times New Roman"/>
        </w:rPr>
        <w:t>things</w:t>
      </w:r>
      <w:r w:rsidR="00A900C5">
        <w:rPr>
          <w:rFonts w:ascii="Times New Roman" w:hAnsi="Times New Roman" w:cs="Times New Roman"/>
        </w:rPr>
        <w:t xml:space="preserve"> – m</w:t>
      </w:r>
      <w:r w:rsidR="00EC1401">
        <w:rPr>
          <w:rFonts w:ascii="Times New Roman" w:hAnsi="Times New Roman" w:cs="Times New Roman"/>
        </w:rPr>
        <w:t xml:space="preserve">any factors which involve the participation of teachers and optimal government intervention. However, the majority of these functional factors are reliant on a variety of subjective contributories such as the pupils’ compliance with rules, regulation and school content. </w:t>
      </w:r>
      <w:r w:rsidR="008D12D5">
        <w:rPr>
          <w:rFonts w:ascii="Times New Roman" w:hAnsi="Times New Roman" w:cs="Times New Roman"/>
        </w:rPr>
        <w:t xml:space="preserve">The variability in these factors may be highly dependent upon the discussed primary intermediary factors like income, family position etc. </w:t>
      </w:r>
      <w:r w:rsidR="00EC1401">
        <w:rPr>
          <w:rFonts w:ascii="Times New Roman" w:hAnsi="Times New Roman" w:cs="Times New Roman"/>
        </w:rPr>
        <w:t>The big issue here is that pupils should be approaching these things from a far more objective point of view</w:t>
      </w:r>
      <w:r w:rsidR="008D12D5">
        <w:rPr>
          <w:rFonts w:ascii="Times New Roman" w:hAnsi="Times New Roman" w:cs="Times New Roman"/>
        </w:rPr>
        <w:t xml:space="preserve"> and </w:t>
      </w:r>
      <w:r w:rsidR="00EC1401">
        <w:rPr>
          <w:rFonts w:ascii="Times New Roman" w:hAnsi="Times New Roman" w:cs="Times New Roman"/>
        </w:rPr>
        <w:t>tackled from a rational angle.</w:t>
      </w:r>
      <w:r w:rsidR="00A900C5">
        <w:rPr>
          <w:rFonts w:ascii="Times New Roman" w:hAnsi="Times New Roman" w:cs="Times New Roman"/>
        </w:rPr>
        <w:t xml:space="preserve"> T</w:t>
      </w:r>
      <w:r w:rsidR="00C57380">
        <w:rPr>
          <w:rFonts w:ascii="Times New Roman" w:hAnsi="Times New Roman" w:cs="Times New Roman"/>
        </w:rPr>
        <w:t xml:space="preserve">his implies that many pupils </w:t>
      </w:r>
      <w:r w:rsidR="00A900C5">
        <w:rPr>
          <w:rFonts w:ascii="Times New Roman" w:hAnsi="Times New Roman" w:cs="Times New Roman"/>
        </w:rPr>
        <w:t>may</w:t>
      </w:r>
      <w:r w:rsidR="00C57380">
        <w:rPr>
          <w:rFonts w:ascii="Times New Roman" w:hAnsi="Times New Roman" w:cs="Times New Roman"/>
        </w:rPr>
        <w:t xml:space="preserve"> not engage, realise or identify their true potential due to their potential lack of belief in themselves, lack of awareness or perhaps, even care. These are all factors which can be influenced and changed, for the better. Pupils are capable of self-growth and encouragement but many times require aid. </w:t>
      </w:r>
    </w:p>
    <w:p w:rsidR="00E301D1" w:rsidRDefault="00E301D1" w:rsidP="00844EAA">
      <w:pPr>
        <w:spacing w:line="360" w:lineRule="auto"/>
        <w:jc w:val="both"/>
        <w:rPr>
          <w:rFonts w:ascii="Times New Roman" w:hAnsi="Times New Roman" w:cs="Times New Roman"/>
        </w:rPr>
      </w:pPr>
    </w:p>
    <w:p w:rsidR="0089108D" w:rsidRDefault="00EC1401" w:rsidP="00844EAA">
      <w:pPr>
        <w:spacing w:line="360" w:lineRule="auto"/>
        <w:jc w:val="both"/>
        <w:rPr>
          <w:rFonts w:ascii="Times New Roman" w:hAnsi="Times New Roman" w:cs="Times New Roman"/>
        </w:rPr>
      </w:pPr>
      <w:r>
        <w:rPr>
          <w:rFonts w:ascii="Times New Roman" w:hAnsi="Times New Roman" w:cs="Times New Roman"/>
        </w:rPr>
        <w:t xml:space="preserve">Therefore, the job of any widening access team is to identify the areas in which </w:t>
      </w:r>
      <w:r w:rsidR="00E301D1">
        <w:rPr>
          <w:rFonts w:ascii="Times New Roman" w:hAnsi="Times New Roman" w:cs="Times New Roman"/>
        </w:rPr>
        <w:t>these</w:t>
      </w:r>
      <w:r>
        <w:rPr>
          <w:rFonts w:ascii="Times New Roman" w:hAnsi="Times New Roman" w:cs="Times New Roman"/>
        </w:rPr>
        <w:t xml:space="preserve"> error</w:t>
      </w:r>
      <w:r w:rsidR="00E301D1">
        <w:rPr>
          <w:rFonts w:ascii="Times New Roman" w:hAnsi="Times New Roman" w:cs="Times New Roman"/>
        </w:rPr>
        <w:t>s</w:t>
      </w:r>
      <w:r>
        <w:rPr>
          <w:rFonts w:ascii="Times New Roman" w:hAnsi="Times New Roman" w:cs="Times New Roman"/>
        </w:rPr>
        <w:t xml:space="preserve"> is occurring and make their best persuasive and inspiring attempt to shift them to the latter.</w:t>
      </w:r>
      <w:r w:rsidR="00E301D1">
        <w:rPr>
          <w:rFonts w:ascii="Times New Roman" w:hAnsi="Times New Roman" w:cs="Times New Roman"/>
        </w:rPr>
        <w:t xml:space="preserve"> They must use their leverage</w:t>
      </w:r>
      <w:r w:rsidR="00A900C5">
        <w:rPr>
          <w:rFonts w:ascii="Times New Roman" w:hAnsi="Times New Roman" w:cs="Times New Roman"/>
        </w:rPr>
        <w:t xml:space="preserve">, </w:t>
      </w:r>
      <w:r w:rsidR="00E301D1">
        <w:rPr>
          <w:rFonts w:ascii="Times New Roman" w:hAnsi="Times New Roman" w:cs="Times New Roman"/>
        </w:rPr>
        <w:t>exposure</w:t>
      </w:r>
      <w:r w:rsidR="00A900C5">
        <w:rPr>
          <w:rFonts w:ascii="Times New Roman" w:hAnsi="Times New Roman" w:cs="Times New Roman"/>
        </w:rPr>
        <w:t xml:space="preserve"> and political power</w:t>
      </w:r>
      <w:r w:rsidR="00E301D1">
        <w:rPr>
          <w:rFonts w:ascii="Times New Roman" w:hAnsi="Times New Roman" w:cs="Times New Roman"/>
        </w:rPr>
        <w:t xml:space="preserve"> </w:t>
      </w:r>
      <w:r w:rsidR="00A900C5">
        <w:rPr>
          <w:rFonts w:ascii="Times New Roman" w:hAnsi="Times New Roman" w:cs="Times New Roman"/>
        </w:rPr>
        <w:t xml:space="preserve">to </w:t>
      </w:r>
      <w:r w:rsidR="00E301D1">
        <w:rPr>
          <w:rFonts w:ascii="Times New Roman" w:hAnsi="Times New Roman" w:cs="Times New Roman"/>
        </w:rPr>
        <w:t xml:space="preserve">raise funding </w:t>
      </w:r>
      <w:r w:rsidR="00A900C5">
        <w:rPr>
          <w:rFonts w:ascii="Times New Roman" w:hAnsi="Times New Roman" w:cs="Times New Roman"/>
        </w:rPr>
        <w:t xml:space="preserve">in order </w:t>
      </w:r>
      <w:r w:rsidR="00E301D1">
        <w:rPr>
          <w:rFonts w:ascii="Times New Roman" w:hAnsi="Times New Roman" w:cs="Times New Roman"/>
        </w:rPr>
        <w:t xml:space="preserve">to open opportunity and present this to pupils in places where </w:t>
      </w:r>
      <w:r w:rsidR="00A900C5">
        <w:rPr>
          <w:rFonts w:ascii="Times New Roman" w:hAnsi="Times New Roman" w:cs="Times New Roman"/>
        </w:rPr>
        <w:t>capability I present but suppressed by factors going unrealised.</w:t>
      </w:r>
      <w:r w:rsidR="00272A42">
        <w:rPr>
          <w:rFonts w:ascii="Times New Roman" w:hAnsi="Times New Roman" w:cs="Times New Roman"/>
        </w:rPr>
        <w:t xml:space="preserve"> </w:t>
      </w:r>
      <w:r w:rsidR="00642DFA">
        <w:rPr>
          <w:rFonts w:ascii="Times New Roman" w:hAnsi="Times New Roman" w:cs="Times New Roman"/>
        </w:rPr>
        <w:t xml:space="preserve">If we recall the effect variable of academic potential and extend this to post-graduation earnings, we can view this as a strong summary statistic of all implications which come with it. That is, where a </w:t>
      </w:r>
      <w:r w:rsidR="00F65C3C">
        <w:rPr>
          <w:rFonts w:ascii="Times New Roman" w:hAnsi="Times New Roman" w:cs="Times New Roman"/>
        </w:rPr>
        <w:t xml:space="preserve">typical lifetime income gap between graduates and non-graduates is around £600,000 </w:t>
      </w:r>
      <w:r w:rsidR="00642DFA">
        <w:rPr>
          <w:rFonts w:ascii="Times New Roman" w:hAnsi="Times New Roman" w:cs="Times New Roman"/>
        </w:rPr>
        <w:t xml:space="preserve"> (Dearden et al, 2010)</w:t>
      </w:r>
      <w:r w:rsidR="00F65C3C">
        <w:rPr>
          <w:rFonts w:ascii="Times New Roman" w:hAnsi="Times New Roman" w:cs="Times New Roman"/>
        </w:rPr>
        <w:t xml:space="preserve">, widening access teams aim to close this gap by focusing on the factors contributing to these implied respective incomes. A good place to begin implementing this idea of socioeconomic analysis and analysis of other social matters within school pupils, is by identifying the schools which are vulnerable to these things. Most commonly, these can be </w:t>
      </w:r>
      <w:r w:rsidR="00D40E42">
        <w:rPr>
          <w:rFonts w:ascii="Times New Roman" w:hAnsi="Times New Roman" w:cs="Times New Roman"/>
        </w:rPr>
        <w:t>identified</w:t>
      </w:r>
      <w:r w:rsidR="00F65C3C">
        <w:rPr>
          <w:rFonts w:ascii="Times New Roman" w:hAnsi="Times New Roman" w:cs="Times New Roman"/>
        </w:rPr>
        <w:t xml:space="preserve"> using </w:t>
      </w:r>
      <w:r w:rsidR="00272A42">
        <w:rPr>
          <w:rFonts w:ascii="Times New Roman" w:hAnsi="Times New Roman" w:cs="Times New Roman"/>
        </w:rPr>
        <w:t xml:space="preserve">the Scottish Index of Multiple Deprivation (SIMD) – identifying schools with the most deprived, therefore statistically likely to lack intermediary factors discussed, pupils and giving a platform to manufacture development/encouragement projects on. </w:t>
      </w:r>
      <w:r w:rsidR="008007F7">
        <w:rPr>
          <w:rFonts w:ascii="Times New Roman" w:hAnsi="Times New Roman" w:cs="Times New Roman"/>
        </w:rPr>
        <w:t xml:space="preserve">This analysis is based on factors such as family stability, family income and quality of residence (involving drug/alcohol abuse etc.). </w:t>
      </w:r>
      <w:r w:rsidR="00443F4A">
        <w:rPr>
          <w:rFonts w:ascii="Times New Roman" w:hAnsi="Times New Roman" w:cs="Times New Roman"/>
        </w:rPr>
        <w:t xml:space="preserve">Thus, we proceed with the identified areas </w:t>
      </w:r>
      <w:r w:rsidR="008007F7">
        <w:rPr>
          <w:rFonts w:ascii="Times New Roman" w:hAnsi="Times New Roman" w:cs="Times New Roman"/>
        </w:rPr>
        <w:t>‘</w:t>
      </w:r>
      <w:r w:rsidR="00443F4A">
        <w:rPr>
          <w:rFonts w:ascii="Times New Roman" w:hAnsi="Times New Roman" w:cs="Times New Roman"/>
        </w:rPr>
        <w:t>causal facto</w:t>
      </w:r>
      <w:r w:rsidR="008007F7">
        <w:rPr>
          <w:rFonts w:ascii="Times New Roman" w:hAnsi="Times New Roman" w:cs="Times New Roman"/>
        </w:rPr>
        <w:t>rs’ discussed previously</w:t>
      </w:r>
      <w:r w:rsidR="00443F4A">
        <w:rPr>
          <w:rFonts w:ascii="Times New Roman" w:hAnsi="Times New Roman" w:cs="Times New Roman"/>
        </w:rPr>
        <w:t xml:space="preserve"> and </w:t>
      </w:r>
      <w:r w:rsidR="008007F7">
        <w:rPr>
          <w:rFonts w:ascii="Times New Roman" w:hAnsi="Times New Roman" w:cs="Times New Roman"/>
        </w:rPr>
        <w:t xml:space="preserve">the </w:t>
      </w:r>
      <w:r w:rsidR="00443F4A">
        <w:rPr>
          <w:rFonts w:ascii="Times New Roman" w:hAnsi="Times New Roman" w:cs="Times New Roman"/>
        </w:rPr>
        <w:t>observable social</w:t>
      </w:r>
      <w:r w:rsidR="008007F7">
        <w:rPr>
          <w:rFonts w:ascii="Times New Roman" w:hAnsi="Times New Roman" w:cs="Times New Roman"/>
        </w:rPr>
        <w:t xml:space="preserve"> and </w:t>
      </w:r>
      <w:r w:rsidR="00443F4A">
        <w:rPr>
          <w:rFonts w:ascii="Times New Roman" w:hAnsi="Times New Roman" w:cs="Times New Roman"/>
        </w:rPr>
        <w:t xml:space="preserve">economic factors </w:t>
      </w:r>
      <w:r w:rsidR="008007F7">
        <w:rPr>
          <w:rFonts w:ascii="Times New Roman" w:hAnsi="Times New Roman" w:cs="Times New Roman"/>
        </w:rPr>
        <w:t>as latterly mentioned – being the</w:t>
      </w:r>
      <w:r w:rsidR="00443F4A">
        <w:rPr>
          <w:rFonts w:ascii="Times New Roman" w:hAnsi="Times New Roman" w:cs="Times New Roman"/>
        </w:rPr>
        <w:t xml:space="preserve"> </w:t>
      </w:r>
      <w:r w:rsidR="008007F7">
        <w:rPr>
          <w:rFonts w:ascii="Times New Roman" w:hAnsi="Times New Roman" w:cs="Times New Roman"/>
        </w:rPr>
        <w:t>‘</w:t>
      </w:r>
      <w:r w:rsidR="00443F4A">
        <w:rPr>
          <w:rFonts w:ascii="Times New Roman" w:hAnsi="Times New Roman" w:cs="Times New Roman"/>
        </w:rPr>
        <w:t>primary intermediaries</w:t>
      </w:r>
      <w:r w:rsidR="008007F7">
        <w:rPr>
          <w:rFonts w:ascii="Times New Roman" w:hAnsi="Times New Roman" w:cs="Times New Roman"/>
        </w:rPr>
        <w:t xml:space="preserve">’ </w:t>
      </w:r>
      <w:r w:rsidR="00A83AB9">
        <w:rPr>
          <w:rFonts w:ascii="Times New Roman" w:hAnsi="Times New Roman" w:cs="Times New Roman"/>
        </w:rPr>
        <w:t>(Model 1)</w:t>
      </w:r>
      <w:r w:rsidR="008007F7">
        <w:rPr>
          <w:rFonts w:ascii="Times New Roman" w:hAnsi="Times New Roman" w:cs="Times New Roman"/>
        </w:rPr>
        <w:t>.</w:t>
      </w:r>
    </w:p>
    <w:p w:rsidR="00EC1401" w:rsidRDefault="00EC1401" w:rsidP="00844EAA">
      <w:pPr>
        <w:spacing w:line="360" w:lineRule="auto"/>
        <w:rPr>
          <w:rFonts w:ascii="Times New Roman" w:hAnsi="Times New Roman" w:cs="Times New Roman"/>
        </w:rPr>
      </w:pPr>
    </w:p>
    <w:p w:rsidR="00844EAA" w:rsidRDefault="00844EAA" w:rsidP="00844EAA">
      <w:pPr>
        <w:spacing w:line="360" w:lineRule="auto"/>
        <w:rPr>
          <w:rFonts w:ascii="Times New Roman" w:hAnsi="Times New Roman" w:cs="Times New Roman"/>
          <w:b/>
          <w:bCs/>
          <w:color w:val="4472C4" w:themeColor="accent1"/>
        </w:rPr>
      </w:pPr>
    </w:p>
    <w:p w:rsidR="00913407" w:rsidRPr="00272A42" w:rsidRDefault="00757D15" w:rsidP="00844EAA">
      <w:pPr>
        <w:spacing w:line="360" w:lineRule="auto"/>
        <w:rPr>
          <w:rFonts w:ascii="Times New Roman" w:hAnsi="Times New Roman" w:cs="Times New Roman"/>
          <w:b/>
          <w:bCs/>
        </w:rPr>
      </w:pPr>
      <w:r>
        <w:rPr>
          <w:rFonts w:ascii="Times New Roman" w:hAnsi="Times New Roman" w:cs="Times New Roman"/>
          <w:b/>
          <w:bCs/>
          <w:color w:val="4472C4" w:themeColor="accent1"/>
        </w:rPr>
        <w:lastRenderedPageBreak/>
        <w:t xml:space="preserve">The SHEP: Initially </w:t>
      </w:r>
      <w:r w:rsidR="00272A42" w:rsidRPr="00272A42">
        <w:rPr>
          <w:rFonts w:ascii="Times New Roman" w:hAnsi="Times New Roman" w:cs="Times New Roman"/>
          <w:b/>
          <w:bCs/>
          <w:color w:val="4472C4" w:themeColor="accent1"/>
        </w:rPr>
        <w:t xml:space="preserve">Implementing </w:t>
      </w:r>
      <w:r w:rsidR="00D40E42" w:rsidRPr="00272A42">
        <w:rPr>
          <w:rFonts w:ascii="Times New Roman" w:hAnsi="Times New Roman" w:cs="Times New Roman"/>
          <w:b/>
          <w:bCs/>
          <w:color w:val="4472C4" w:themeColor="accent1"/>
        </w:rPr>
        <w:t>Goals</w:t>
      </w:r>
    </w:p>
    <w:p w:rsidR="00272A42" w:rsidRDefault="00272A42" w:rsidP="00844EAA">
      <w:pPr>
        <w:spacing w:line="360" w:lineRule="auto"/>
        <w:rPr>
          <w:rFonts w:ascii="Times New Roman" w:hAnsi="Times New Roman" w:cs="Times New Roman"/>
        </w:rPr>
      </w:pPr>
    </w:p>
    <w:p w:rsidR="00272A42" w:rsidRDefault="004B3AC1" w:rsidP="00844EAA">
      <w:pPr>
        <w:spacing w:line="360" w:lineRule="auto"/>
        <w:jc w:val="both"/>
        <w:rPr>
          <w:rFonts w:ascii="Times New Roman" w:hAnsi="Times New Roman" w:cs="Times New Roman"/>
        </w:rPr>
      </w:pPr>
      <w:r>
        <w:rPr>
          <w:rFonts w:ascii="Times New Roman" w:hAnsi="Times New Roman" w:cs="Times New Roman"/>
        </w:rPr>
        <w:t>After using the SIMD as a tool to highlight troubled schools and expanding this through the application of similar circumstances to other selected establishments, widening access teams are able to make the link between primary and secondary intermediary factors (Model 1). This gives the opportunity to interact with pupils who statistically hold poor primary factors and highlight which of the secondary ones are affected.</w:t>
      </w:r>
      <w:r w:rsidR="00BB3DD9">
        <w:rPr>
          <w:rFonts w:ascii="Times New Roman" w:hAnsi="Times New Roman" w:cs="Times New Roman"/>
        </w:rPr>
        <w:t xml:space="preserve"> With issues identified, widening access teams must work in conjunction with schools and externals to create policy and systems which open opportunity to these pupils. This first can be seen in free tuition for Scottish students attending Scottish universities (Sosu et al, 2016). This reduces the impact of factors such as university costs however, still may leave worry of additional loans and many social factors. </w:t>
      </w:r>
    </w:p>
    <w:p w:rsidR="009446A4" w:rsidRDefault="009446A4" w:rsidP="00844EAA">
      <w:pPr>
        <w:spacing w:line="360" w:lineRule="auto"/>
        <w:jc w:val="both"/>
        <w:rPr>
          <w:rFonts w:ascii="Times New Roman" w:hAnsi="Times New Roman" w:cs="Times New Roman"/>
        </w:rPr>
      </w:pPr>
    </w:p>
    <w:p w:rsidR="00C1396F" w:rsidRDefault="009446A4" w:rsidP="00844EAA">
      <w:pPr>
        <w:spacing w:line="360" w:lineRule="auto"/>
        <w:jc w:val="both"/>
        <w:rPr>
          <w:rFonts w:ascii="Times New Roman" w:hAnsi="Times New Roman" w:cs="Times New Roman"/>
        </w:rPr>
      </w:pPr>
      <w:r>
        <w:rPr>
          <w:rFonts w:ascii="Times New Roman" w:hAnsi="Times New Roman" w:cs="Times New Roman"/>
        </w:rPr>
        <w:t xml:space="preserve">A system called The Schools for Higher Education Programme (SHEP) aims to tackle many of these social issues in an educational context </w:t>
      </w:r>
      <w:r w:rsidR="00A96132">
        <w:rPr>
          <w:rFonts w:ascii="Times New Roman" w:hAnsi="Times New Roman" w:cs="Times New Roman"/>
        </w:rPr>
        <w:t xml:space="preserve">of low progression rate schools </w:t>
      </w:r>
      <w:r>
        <w:rPr>
          <w:rFonts w:ascii="Times New Roman" w:hAnsi="Times New Roman" w:cs="Times New Roman"/>
        </w:rPr>
        <w:t xml:space="preserve">(Sosu </w:t>
      </w:r>
      <w:r w:rsidR="00A96132">
        <w:rPr>
          <w:rFonts w:ascii="Times New Roman" w:hAnsi="Times New Roman" w:cs="Times New Roman"/>
        </w:rPr>
        <w:t>e</w:t>
      </w:r>
      <w:r>
        <w:rPr>
          <w:rFonts w:ascii="Times New Roman" w:hAnsi="Times New Roman" w:cs="Times New Roman"/>
        </w:rPr>
        <w:t>t al, 2016).</w:t>
      </w:r>
      <w:r w:rsidR="00A96132">
        <w:rPr>
          <w:rFonts w:ascii="Times New Roman" w:hAnsi="Times New Roman" w:cs="Times New Roman"/>
        </w:rPr>
        <w:t xml:space="preserve"> Taking place with pupils aged 14-18</w:t>
      </w:r>
      <w:r w:rsidR="00E72A9E">
        <w:rPr>
          <w:rFonts w:ascii="Times New Roman" w:hAnsi="Times New Roman" w:cs="Times New Roman"/>
        </w:rPr>
        <w:t xml:space="preserve"> in schools with progression rates of 22% or lower</w:t>
      </w:r>
      <w:r w:rsidR="00A96132">
        <w:rPr>
          <w:rFonts w:ascii="Times New Roman" w:hAnsi="Times New Roman" w:cs="Times New Roman"/>
        </w:rPr>
        <w:t xml:space="preserve">, the SHEP enforces </w:t>
      </w:r>
      <w:r w:rsidR="008007F7">
        <w:rPr>
          <w:rFonts w:ascii="Times New Roman" w:hAnsi="Times New Roman" w:cs="Times New Roman"/>
        </w:rPr>
        <w:t xml:space="preserve">many methods of student encouragement. </w:t>
      </w:r>
      <w:r w:rsidR="00D74A97">
        <w:rPr>
          <w:rFonts w:ascii="Times New Roman" w:hAnsi="Times New Roman" w:cs="Times New Roman"/>
        </w:rPr>
        <w:t>Over past years, this system has developed into a variety of groups focusing on schools. Some recognisable ones include FOCUS West who work in thirty schools, ASPIRENorth in ten, LEAPS in nineteen and LIFT OFF in fourteen (Sosu</w:t>
      </w:r>
      <w:r w:rsidR="00261BD9">
        <w:rPr>
          <w:rFonts w:ascii="Times New Roman" w:hAnsi="Times New Roman" w:cs="Times New Roman"/>
        </w:rPr>
        <w:t xml:space="preserve"> et al</w:t>
      </w:r>
      <w:r w:rsidR="00D74A97">
        <w:rPr>
          <w:rFonts w:ascii="Times New Roman" w:hAnsi="Times New Roman" w:cs="Times New Roman"/>
        </w:rPr>
        <w:t>, 2016). Tasks</w:t>
      </w:r>
      <w:r w:rsidR="008007F7">
        <w:rPr>
          <w:rFonts w:ascii="Times New Roman" w:hAnsi="Times New Roman" w:cs="Times New Roman"/>
        </w:rPr>
        <w:t xml:space="preserve"> include </w:t>
      </w:r>
      <w:r w:rsidR="00A96132">
        <w:rPr>
          <w:rFonts w:ascii="Times New Roman" w:hAnsi="Times New Roman" w:cs="Times New Roman"/>
        </w:rPr>
        <w:t xml:space="preserve">personal interaction with pupils and guidance regarding general transition skills such as improved study methods, lectures/information on university transition, personal guidance with skills and application processes etc., making students aware of options available to them. This may be </w:t>
      </w:r>
      <w:r w:rsidR="00382BDC">
        <w:rPr>
          <w:rFonts w:ascii="Times New Roman" w:hAnsi="Times New Roman" w:cs="Times New Roman"/>
        </w:rPr>
        <w:t>general however, can help consolidate factors such as correct subject paths, ability to create application content etc.</w:t>
      </w:r>
      <w:r w:rsidR="00A96132">
        <w:rPr>
          <w:rFonts w:ascii="Times New Roman" w:hAnsi="Times New Roman" w:cs="Times New Roman"/>
        </w:rPr>
        <w:t xml:space="preserve"> </w:t>
      </w:r>
      <w:r w:rsidR="00382BDC">
        <w:rPr>
          <w:rFonts w:ascii="Times New Roman" w:hAnsi="Times New Roman" w:cs="Times New Roman"/>
        </w:rPr>
        <w:t xml:space="preserve">But still, </w:t>
      </w:r>
      <w:r w:rsidR="00382BDC" w:rsidRPr="005E7ABD">
        <w:rPr>
          <w:rFonts w:ascii="Times New Roman" w:hAnsi="Times New Roman" w:cs="Times New Roman"/>
        </w:rPr>
        <w:t>personal/social factors may still remain.</w:t>
      </w:r>
      <w:r w:rsidR="00382BDC">
        <w:rPr>
          <w:rFonts w:ascii="Times New Roman" w:hAnsi="Times New Roman" w:cs="Times New Roman"/>
        </w:rPr>
        <w:t xml:space="preserve"> </w:t>
      </w:r>
      <w:r w:rsidR="006E51B1">
        <w:rPr>
          <w:rFonts w:ascii="Times New Roman" w:hAnsi="Times New Roman" w:cs="Times New Roman"/>
        </w:rPr>
        <w:t xml:space="preserve">This is difficult to identify as statistical data often doesn’t exist on factors such as upbringing/family situation which leads to things like behaviour, effort, confidence etc. </w:t>
      </w:r>
      <w:r w:rsidR="00C1396F">
        <w:rPr>
          <w:rFonts w:ascii="Times New Roman" w:hAnsi="Times New Roman" w:cs="Times New Roman"/>
        </w:rPr>
        <w:t xml:space="preserve">Studies composed over 2012 to 2014 saw higher education progression rate tested in schools within one std.dev of the average progression rate at the time (Sosu et al, 2016). These tests accounted primarily for the improvement of directly tangible intermediary factors, knowledge and understanding-based (Model 1). </w:t>
      </w:r>
      <w:r w:rsidR="009E415F">
        <w:rPr>
          <w:rFonts w:ascii="Times New Roman" w:hAnsi="Times New Roman" w:cs="Times New Roman"/>
        </w:rPr>
        <w:t>Although lacking social factor improvement, from 2012-2014 low progression rate schools increased their progression rate more so than non-low progression rate schools (Figure 2).</w:t>
      </w:r>
    </w:p>
    <w:p w:rsidR="00B713C9" w:rsidRDefault="00B713C9" w:rsidP="00844EAA">
      <w:pPr>
        <w:spacing w:line="360" w:lineRule="auto"/>
        <w:jc w:val="both"/>
        <w:rPr>
          <w:rFonts w:ascii="Times New Roman" w:hAnsi="Times New Roman" w:cs="Times New Roman"/>
        </w:rPr>
      </w:pPr>
    </w:p>
    <w:p w:rsidR="00B1545C" w:rsidRDefault="00B1545C" w:rsidP="00844EAA">
      <w:pPr>
        <w:spacing w:line="360" w:lineRule="auto"/>
        <w:jc w:val="both"/>
        <w:rPr>
          <w:rFonts w:ascii="Times New Roman" w:hAnsi="Times New Roman" w:cs="Times New Roman"/>
        </w:rPr>
      </w:pPr>
      <w:r>
        <w:rPr>
          <w:rFonts w:ascii="Times New Roman" w:hAnsi="Times New Roman" w:cs="Times New Roman"/>
        </w:rPr>
        <w:lastRenderedPageBreak/>
        <w:t xml:space="preserve">After this 2012-2014 testing, SHEP amendments were successful. With SHEP selected schools containing a higher amount of students from the most deprived areas compared to non-SHEP selected schools (43% vs. 13%) (Sosu et al, 2016), SHEP schools were seen to contain a greater progression rate than non-SHEP (Figure 2). This translated to a higher education progression increase of 4.1% for SHEP and only 1.3% for non’. Apart from the social issue, this model still contains surface problems. These include </w:t>
      </w:r>
      <w:r w:rsidR="00BA6F99">
        <w:rPr>
          <w:rFonts w:ascii="Times New Roman" w:hAnsi="Times New Roman" w:cs="Times New Roman"/>
        </w:rPr>
        <w:t xml:space="preserve">(1) </w:t>
      </w:r>
      <w:r>
        <w:rPr>
          <w:rFonts w:ascii="Times New Roman" w:hAnsi="Times New Roman" w:cs="Times New Roman"/>
        </w:rPr>
        <w:t>SHEP eligibility becoming non-existent for schools due to their increased progression rate and thus creating a domino effect of subsequent decline. And also</w:t>
      </w:r>
      <w:r w:rsidR="00BA6F99">
        <w:rPr>
          <w:rFonts w:ascii="Times New Roman" w:hAnsi="Times New Roman" w:cs="Times New Roman"/>
        </w:rPr>
        <w:t xml:space="preserve"> (2)</w:t>
      </w:r>
      <w:r>
        <w:rPr>
          <w:rFonts w:ascii="Times New Roman" w:hAnsi="Times New Roman" w:cs="Times New Roman"/>
        </w:rPr>
        <w:t xml:space="preserve">, many </w:t>
      </w:r>
      <w:r w:rsidR="00C97E00">
        <w:rPr>
          <w:rFonts w:ascii="Times New Roman" w:hAnsi="Times New Roman" w:cs="Times New Roman"/>
        </w:rPr>
        <w:t>treated</w:t>
      </w:r>
      <w:r>
        <w:rPr>
          <w:rFonts w:ascii="Times New Roman" w:hAnsi="Times New Roman" w:cs="Times New Roman"/>
        </w:rPr>
        <w:t xml:space="preserve"> groups in this evaluation are skewed</w:t>
      </w:r>
      <w:r w:rsidR="00BA6F99">
        <w:rPr>
          <w:rFonts w:ascii="Times New Roman" w:hAnsi="Times New Roman" w:cs="Times New Roman"/>
        </w:rPr>
        <w:t xml:space="preserve"> as they cannot account for proper t-test results due to the remaining lack of social attributes (Model 1).</w:t>
      </w:r>
    </w:p>
    <w:p w:rsidR="00B1545C" w:rsidRDefault="00B1545C" w:rsidP="00844EAA">
      <w:pPr>
        <w:spacing w:line="360" w:lineRule="auto"/>
        <w:jc w:val="both"/>
        <w:rPr>
          <w:rFonts w:ascii="Times New Roman" w:hAnsi="Times New Roman" w:cs="Times New Roman"/>
        </w:rPr>
      </w:pPr>
    </w:p>
    <w:p w:rsidR="00B1545C" w:rsidRPr="00BA6F99" w:rsidRDefault="00757D15" w:rsidP="00844EAA">
      <w:pPr>
        <w:spacing w:line="360" w:lineRule="auto"/>
        <w:jc w:val="both"/>
        <w:rPr>
          <w:rFonts w:ascii="Times New Roman" w:hAnsi="Times New Roman" w:cs="Times New Roman"/>
          <w:b/>
          <w:bCs/>
          <w:color w:val="4472C4" w:themeColor="accent1"/>
        </w:rPr>
      </w:pPr>
      <w:r>
        <w:rPr>
          <w:rFonts w:ascii="Times New Roman" w:hAnsi="Times New Roman" w:cs="Times New Roman"/>
          <w:b/>
          <w:bCs/>
          <w:color w:val="4472C4" w:themeColor="accent1"/>
        </w:rPr>
        <w:t>The SHEP: Improving the Model</w:t>
      </w:r>
    </w:p>
    <w:p w:rsidR="00B1545C" w:rsidRDefault="00B1545C" w:rsidP="00844EAA">
      <w:pPr>
        <w:spacing w:line="360" w:lineRule="auto"/>
        <w:jc w:val="both"/>
        <w:rPr>
          <w:rFonts w:ascii="Times New Roman" w:hAnsi="Times New Roman" w:cs="Times New Roman"/>
        </w:rPr>
      </w:pPr>
    </w:p>
    <w:p w:rsidR="003703D9" w:rsidRDefault="00D8224E" w:rsidP="00844EAA">
      <w:pPr>
        <w:spacing w:line="360" w:lineRule="auto"/>
        <w:jc w:val="both"/>
        <w:rPr>
          <w:rFonts w:ascii="Times New Roman" w:hAnsi="Times New Roman" w:cs="Times New Roman"/>
        </w:rPr>
      </w:pPr>
      <w:r>
        <w:rPr>
          <w:rFonts w:ascii="Times New Roman" w:hAnsi="Times New Roman" w:cs="Times New Roman"/>
        </w:rPr>
        <w:t>Many of the SHEP’s aims extend to various other programmes such as the Middle Years Information System (MidYIS) and the Secondary On Screen Computerised Assessment (SOSCA) (Sosu, 2016). These both aim to use historic data and pupil’s social attributes to forecast grades</w:t>
      </w:r>
      <w:r w:rsidR="005F3502">
        <w:rPr>
          <w:rFonts w:ascii="Times New Roman" w:hAnsi="Times New Roman" w:cs="Times New Roman"/>
        </w:rPr>
        <w:t xml:space="preserve"> and highlight specific areas in which recommendations can be</w:t>
      </w:r>
      <w:r>
        <w:rPr>
          <w:rFonts w:ascii="Times New Roman" w:hAnsi="Times New Roman" w:cs="Times New Roman"/>
        </w:rPr>
        <w:t>. However, although these begin to take into account social factors, they do not in fact amend them</w:t>
      </w:r>
      <w:r w:rsidR="00E72A9E">
        <w:rPr>
          <w:rFonts w:ascii="Times New Roman" w:hAnsi="Times New Roman" w:cs="Times New Roman"/>
        </w:rPr>
        <w:t>.</w:t>
      </w:r>
      <w:r w:rsidR="00B713C9">
        <w:rPr>
          <w:rFonts w:ascii="Times New Roman" w:hAnsi="Times New Roman" w:cs="Times New Roman"/>
        </w:rPr>
        <w:t xml:space="preserve"> Encouragement is one thing but changing a pupils social situation is not linear.</w:t>
      </w:r>
      <w:r w:rsidR="00E72A9E">
        <w:rPr>
          <w:rFonts w:ascii="Times New Roman" w:hAnsi="Times New Roman" w:cs="Times New Roman"/>
        </w:rPr>
        <w:t xml:space="preserve"> </w:t>
      </w:r>
      <w:r w:rsidR="00BA6F99">
        <w:rPr>
          <w:rFonts w:ascii="Times New Roman" w:hAnsi="Times New Roman" w:cs="Times New Roman"/>
        </w:rPr>
        <w:t>There</w:t>
      </w:r>
      <w:r w:rsidR="00E72A9E">
        <w:rPr>
          <w:rFonts w:ascii="Times New Roman" w:hAnsi="Times New Roman" w:cs="Times New Roman"/>
        </w:rPr>
        <w:t xml:space="preserve"> may be succes</w:t>
      </w:r>
      <w:r w:rsidR="00BA6F99">
        <w:rPr>
          <w:rFonts w:ascii="Times New Roman" w:hAnsi="Times New Roman" w:cs="Times New Roman"/>
        </w:rPr>
        <w:t>s</w:t>
      </w:r>
      <w:r w:rsidR="00E72A9E">
        <w:rPr>
          <w:rFonts w:ascii="Times New Roman" w:hAnsi="Times New Roman" w:cs="Times New Roman"/>
        </w:rPr>
        <w:t xml:space="preserve"> in improving knowledge of university and financial materials however, social issues must be tackled on a far more psychological basis</w:t>
      </w:r>
      <w:r w:rsidR="00BA6F99">
        <w:rPr>
          <w:rFonts w:ascii="Times New Roman" w:hAnsi="Times New Roman" w:cs="Times New Roman"/>
        </w:rPr>
        <w:t xml:space="preserve"> – as it is observed that much of progression improvement comes from social intermediaries (SFC, 2015; Model 1)</w:t>
      </w:r>
      <w:r w:rsidR="00E72A9E">
        <w:rPr>
          <w:rFonts w:ascii="Times New Roman" w:hAnsi="Times New Roman" w:cs="Times New Roman"/>
        </w:rPr>
        <w:t xml:space="preserve">. </w:t>
      </w:r>
      <w:r w:rsidR="00BA6F99">
        <w:rPr>
          <w:rFonts w:ascii="Times New Roman" w:hAnsi="Times New Roman" w:cs="Times New Roman"/>
        </w:rPr>
        <w:t>Simply, pupils may have potential to be the next Bill Gates however, they face strong mental barriers.</w:t>
      </w:r>
    </w:p>
    <w:p w:rsidR="006536F1" w:rsidRDefault="006536F1" w:rsidP="00844EAA">
      <w:pPr>
        <w:spacing w:line="360" w:lineRule="auto"/>
        <w:jc w:val="both"/>
        <w:rPr>
          <w:rFonts w:ascii="Times New Roman" w:hAnsi="Times New Roman" w:cs="Times New Roman"/>
        </w:rPr>
      </w:pPr>
    </w:p>
    <w:p w:rsidR="006536F1" w:rsidRDefault="006536F1" w:rsidP="00844EAA">
      <w:pPr>
        <w:spacing w:line="360" w:lineRule="auto"/>
        <w:jc w:val="both"/>
        <w:rPr>
          <w:rFonts w:ascii="Times New Roman" w:hAnsi="Times New Roman" w:cs="Times New Roman"/>
        </w:rPr>
      </w:pPr>
      <w:r>
        <w:rPr>
          <w:rFonts w:ascii="Times New Roman" w:hAnsi="Times New Roman" w:cs="Times New Roman"/>
        </w:rPr>
        <w:t xml:space="preserve">Family conditions, family trends (family businesses etc.) and upbringing </w:t>
      </w:r>
      <w:r w:rsidR="006D4648">
        <w:rPr>
          <w:rFonts w:ascii="Times New Roman" w:hAnsi="Times New Roman" w:cs="Times New Roman"/>
        </w:rPr>
        <w:t>(</w:t>
      </w:r>
      <w:r w:rsidR="00F0450C">
        <w:rPr>
          <w:rFonts w:ascii="Times New Roman" w:hAnsi="Times New Roman" w:cs="Times New Roman"/>
        </w:rPr>
        <w:t>primary intermediaries</w:t>
      </w:r>
      <w:r w:rsidR="006D4648">
        <w:rPr>
          <w:rFonts w:ascii="Times New Roman" w:hAnsi="Times New Roman" w:cs="Times New Roman"/>
        </w:rPr>
        <w:t>)</w:t>
      </w:r>
      <w:r w:rsidR="00F0450C">
        <w:rPr>
          <w:rFonts w:ascii="Times New Roman" w:hAnsi="Times New Roman" w:cs="Times New Roman"/>
        </w:rPr>
        <w:t xml:space="preserve"> </w:t>
      </w:r>
      <w:r>
        <w:rPr>
          <w:rFonts w:ascii="Times New Roman" w:hAnsi="Times New Roman" w:cs="Times New Roman"/>
        </w:rPr>
        <w:t>all effect mental health, behaviour, effort/care and confidence</w:t>
      </w:r>
      <w:r w:rsidR="00F0450C">
        <w:rPr>
          <w:rFonts w:ascii="Times New Roman" w:hAnsi="Times New Roman" w:cs="Times New Roman"/>
        </w:rPr>
        <w:t xml:space="preserve"> </w:t>
      </w:r>
      <w:r w:rsidR="006D4648">
        <w:rPr>
          <w:rFonts w:ascii="Times New Roman" w:hAnsi="Times New Roman" w:cs="Times New Roman"/>
        </w:rPr>
        <w:t>(</w:t>
      </w:r>
      <w:r w:rsidR="00F0450C">
        <w:rPr>
          <w:rFonts w:ascii="Times New Roman" w:hAnsi="Times New Roman" w:cs="Times New Roman"/>
        </w:rPr>
        <w:t>secondary intermediaries</w:t>
      </w:r>
      <w:r w:rsidR="006D4648">
        <w:rPr>
          <w:rFonts w:ascii="Times New Roman" w:hAnsi="Times New Roman" w:cs="Times New Roman"/>
        </w:rPr>
        <w:t>)</w:t>
      </w:r>
      <w:r>
        <w:rPr>
          <w:rFonts w:ascii="Times New Roman" w:hAnsi="Times New Roman" w:cs="Times New Roman"/>
        </w:rPr>
        <w:t xml:space="preserve">. It’s no secret that these conditions can cause lower grades and thus, </w:t>
      </w:r>
      <w:r w:rsidR="00F0450C">
        <w:rPr>
          <w:rFonts w:ascii="Times New Roman" w:hAnsi="Times New Roman" w:cs="Times New Roman"/>
        </w:rPr>
        <w:t xml:space="preserve">lower </w:t>
      </w:r>
      <w:r>
        <w:rPr>
          <w:rFonts w:ascii="Times New Roman" w:hAnsi="Times New Roman" w:cs="Times New Roman"/>
        </w:rPr>
        <w:t xml:space="preserve">future attainment (Powis et al, 2007). Two SHEP amendments exist in aid of this – surrounding pupils who don’t attain sufficient grades. This is judged based on (1) social-intermediary ranking or, ‘attributes’ and (2) the conditions in which low grades were </w:t>
      </w:r>
      <w:r w:rsidR="00C2359D">
        <w:rPr>
          <w:rFonts w:ascii="Times New Roman" w:hAnsi="Times New Roman" w:cs="Times New Roman"/>
        </w:rPr>
        <w:t>obtained</w:t>
      </w:r>
      <w:r w:rsidR="00F0450C">
        <w:rPr>
          <w:rFonts w:ascii="Times New Roman" w:hAnsi="Times New Roman" w:cs="Times New Roman"/>
        </w:rPr>
        <w:t xml:space="preserve"> (Sosu et al, 2016)</w:t>
      </w:r>
      <w:r w:rsidR="00C2359D">
        <w:rPr>
          <w:rFonts w:ascii="Times New Roman" w:hAnsi="Times New Roman" w:cs="Times New Roman"/>
        </w:rPr>
        <w:t>.</w:t>
      </w:r>
      <w:r w:rsidR="00F0450C">
        <w:rPr>
          <w:rFonts w:ascii="Times New Roman" w:hAnsi="Times New Roman" w:cs="Times New Roman"/>
        </w:rPr>
        <w:t xml:space="preserve"> The first of these accounts for attributes such as communication skills, social skills, </w:t>
      </w:r>
      <w:r w:rsidR="006C4F2B">
        <w:rPr>
          <w:rFonts w:ascii="Times New Roman" w:hAnsi="Times New Roman" w:cs="Times New Roman"/>
        </w:rPr>
        <w:t xml:space="preserve">work experience, past qualifications, volunteering, general knowledge and ability to utilise stress correctly within these etc. (Sosu et al, 2016). </w:t>
      </w:r>
      <w:r w:rsidR="006C4F2B">
        <w:rPr>
          <w:rFonts w:ascii="Times New Roman" w:hAnsi="Times New Roman" w:cs="Times New Roman"/>
        </w:rPr>
        <w:lastRenderedPageBreak/>
        <w:t>This initially appears to be a weak model however due to the non-statistically measurable subjective-nature of it.</w:t>
      </w:r>
      <w:r w:rsidR="006D4648">
        <w:rPr>
          <w:rFonts w:ascii="Times New Roman" w:hAnsi="Times New Roman" w:cs="Times New Roman"/>
        </w:rPr>
        <w:t xml:space="preserve"> Regarding the second aid, despite positive intentions it is too backwards looking and fails to account for any amendable social factors in pupils’ lives in the relative future effecting final attainment. </w:t>
      </w:r>
      <w:r w:rsidR="005D177F">
        <w:rPr>
          <w:rFonts w:ascii="Times New Roman" w:hAnsi="Times New Roman" w:cs="Times New Roman"/>
        </w:rPr>
        <w:t xml:space="preserve">The SHEP can offer much aid but cannot change mentality, </w:t>
      </w:r>
      <w:r w:rsidR="00CA7C59">
        <w:rPr>
          <w:rFonts w:ascii="Times New Roman" w:hAnsi="Times New Roman" w:cs="Times New Roman"/>
        </w:rPr>
        <w:t xml:space="preserve">one-on-one interviews, student counselling etc. has history of only creating a face of false or short-lasting motivation/mental improvement. Pupils may still be too naïve and thus require real change in their surroundings.  </w:t>
      </w: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9D02A8" w:rsidRDefault="009D02A8" w:rsidP="00844EAA">
      <w:pPr>
        <w:spacing w:line="360" w:lineRule="auto"/>
        <w:jc w:val="both"/>
        <w:rPr>
          <w:rFonts w:ascii="Times New Roman" w:hAnsi="Times New Roman" w:cs="Times New Roman"/>
        </w:rPr>
      </w:pPr>
    </w:p>
    <w:p w:rsidR="00E72A9E" w:rsidRDefault="00E72A9E" w:rsidP="00844EAA">
      <w:pPr>
        <w:spacing w:line="360" w:lineRule="auto"/>
        <w:rPr>
          <w:rFonts w:ascii="Times New Roman" w:hAnsi="Times New Roman" w:cs="Times New Roman"/>
          <w:b/>
          <w:bCs/>
          <w:color w:val="4472C4" w:themeColor="accent1"/>
        </w:rPr>
      </w:pPr>
    </w:p>
    <w:p w:rsidR="004603B0" w:rsidRDefault="004603B0" w:rsidP="00844EAA">
      <w:pPr>
        <w:spacing w:line="360" w:lineRule="auto"/>
        <w:rPr>
          <w:rFonts w:ascii="Times New Roman" w:hAnsi="Times New Roman" w:cs="Times New Roman"/>
        </w:rPr>
      </w:pPr>
    </w:p>
    <w:p w:rsidR="004603B0" w:rsidRDefault="004603B0" w:rsidP="00844EAA">
      <w:pPr>
        <w:spacing w:line="360" w:lineRule="auto"/>
        <w:rPr>
          <w:rFonts w:ascii="Times New Roman" w:hAnsi="Times New Roman" w:cs="Times New Roman"/>
          <w:b/>
          <w:bCs/>
        </w:rPr>
      </w:pPr>
    </w:p>
    <w:p w:rsidR="00566794" w:rsidRDefault="00566794" w:rsidP="00844EAA">
      <w:pPr>
        <w:spacing w:line="360" w:lineRule="auto"/>
        <w:rPr>
          <w:rFonts w:ascii="Times New Roman" w:hAnsi="Times New Roman" w:cs="Times New Roman"/>
          <w:b/>
          <w:bCs/>
        </w:rPr>
      </w:pPr>
    </w:p>
    <w:p w:rsidR="00566794" w:rsidRDefault="00566794" w:rsidP="00844EAA">
      <w:pPr>
        <w:spacing w:line="360" w:lineRule="auto"/>
        <w:rPr>
          <w:rFonts w:ascii="Times New Roman" w:hAnsi="Times New Roman" w:cs="Times New Roman"/>
          <w:b/>
          <w:bCs/>
        </w:rPr>
      </w:pPr>
    </w:p>
    <w:p w:rsidR="00566794" w:rsidRDefault="00566794" w:rsidP="00844EAA">
      <w:pPr>
        <w:spacing w:line="360" w:lineRule="auto"/>
        <w:rPr>
          <w:rFonts w:ascii="Times New Roman" w:hAnsi="Times New Roman" w:cs="Times New Roman"/>
          <w:b/>
          <w:bCs/>
        </w:rPr>
      </w:pPr>
    </w:p>
    <w:p w:rsidR="00566794" w:rsidRDefault="00566794" w:rsidP="00844EAA">
      <w:pPr>
        <w:spacing w:line="360" w:lineRule="auto"/>
        <w:rPr>
          <w:rFonts w:ascii="Times New Roman" w:hAnsi="Times New Roman" w:cs="Times New Roman"/>
          <w:b/>
          <w:bCs/>
        </w:rPr>
      </w:pPr>
    </w:p>
    <w:p w:rsidR="00566794" w:rsidRDefault="00566794" w:rsidP="00844EAA">
      <w:pPr>
        <w:spacing w:line="360" w:lineRule="auto"/>
        <w:rPr>
          <w:rFonts w:ascii="Times New Roman" w:hAnsi="Times New Roman" w:cs="Times New Roman"/>
          <w:b/>
          <w:bCs/>
        </w:rPr>
      </w:pPr>
    </w:p>
    <w:p w:rsidR="00566794" w:rsidRDefault="00566794" w:rsidP="00844EAA">
      <w:pPr>
        <w:spacing w:line="360" w:lineRule="auto"/>
        <w:rPr>
          <w:rFonts w:ascii="Times New Roman" w:hAnsi="Times New Roman" w:cs="Times New Roman"/>
          <w:b/>
          <w:bCs/>
        </w:rPr>
      </w:pPr>
    </w:p>
    <w:p w:rsidR="006E374F" w:rsidRPr="00C526EA" w:rsidRDefault="006E374F" w:rsidP="00844EAA">
      <w:pPr>
        <w:spacing w:line="360" w:lineRule="auto"/>
        <w:rPr>
          <w:rFonts w:ascii="Times New Roman" w:hAnsi="Times New Roman" w:cs="Times New Roman"/>
        </w:rPr>
      </w:pPr>
    </w:p>
    <w:p w:rsidR="00844EAA" w:rsidRDefault="00BC7723" w:rsidP="00844EAA">
      <w:pPr>
        <w:spacing w:line="360" w:lineRule="auto"/>
        <w:rPr>
          <w:rFonts w:ascii="Times New Roman" w:hAnsi="Times New Roman" w:cs="Times New Roman"/>
        </w:rPr>
      </w:pPr>
      <w:r w:rsidRPr="00C526EA">
        <w:rPr>
          <w:rFonts w:ascii="Times New Roman" w:hAnsi="Times New Roman" w:cs="Times New Roman"/>
        </w:rPr>
        <w:t xml:space="preserve"> </w:t>
      </w:r>
    </w:p>
    <w:p w:rsidR="00D170F7" w:rsidRPr="00844EAA" w:rsidRDefault="004C5AEE" w:rsidP="00844EAA">
      <w:pPr>
        <w:spacing w:line="360" w:lineRule="auto"/>
        <w:rPr>
          <w:rFonts w:ascii="Times New Roman" w:hAnsi="Times New Roman" w:cs="Times New Roman"/>
        </w:rPr>
      </w:pPr>
      <w:r w:rsidRPr="00566794">
        <w:rPr>
          <w:rFonts w:ascii="Times New Roman" w:hAnsi="Times New Roman" w:cs="Times New Roman"/>
          <w:b/>
          <w:bCs/>
          <w:color w:val="44546A" w:themeColor="text2"/>
        </w:rPr>
        <w:lastRenderedPageBreak/>
        <w:t xml:space="preserve">Conclusions </w:t>
      </w:r>
      <w:r w:rsidR="00566794" w:rsidRPr="00566794">
        <w:rPr>
          <w:rFonts w:ascii="Times New Roman" w:hAnsi="Times New Roman" w:cs="Times New Roman"/>
          <w:b/>
          <w:bCs/>
          <w:color w:val="44546A" w:themeColor="text2"/>
        </w:rPr>
        <w:t>&amp; Recommendations</w:t>
      </w:r>
    </w:p>
    <w:p w:rsidR="00D170F7" w:rsidRDefault="00D170F7" w:rsidP="00844EAA">
      <w:pPr>
        <w:spacing w:line="360" w:lineRule="auto"/>
        <w:rPr>
          <w:rFonts w:ascii="Times New Roman" w:hAnsi="Times New Roman" w:cs="Times New Roman"/>
        </w:rPr>
      </w:pPr>
    </w:p>
    <w:p w:rsidR="00A7118D" w:rsidRPr="00A7118D" w:rsidRDefault="00A7118D" w:rsidP="00844EAA">
      <w:pPr>
        <w:spacing w:line="360" w:lineRule="auto"/>
        <w:rPr>
          <w:rFonts w:ascii="Times New Roman" w:hAnsi="Times New Roman" w:cs="Times New Roman"/>
          <w:b/>
          <w:bCs/>
          <w:color w:val="4472C4" w:themeColor="accent1"/>
        </w:rPr>
      </w:pPr>
      <w:r w:rsidRPr="00A7118D">
        <w:rPr>
          <w:rFonts w:ascii="Times New Roman" w:hAnsi="Times New Roman" w:cs="Times New Roman"/>
          <w:b/>
          <w:bCs/>
          <w:color w:val="4472C4" w:themeColor="accent1"/>
        </w:rPr>
        <w:t>Initial SHEP</w:t>
      </w:r>
    </w:p>
    <w:p w:rsidR="00A7118D" w:rsidRDefault="00A7118D" w:rsidP="00844EAA">
      <w:pPr>
        <w:spacing w:line="360" w:lineRule="auto"/>
        <w:rPr>
          <w:rFonts w:ascii="Times New Roman" w:hAnsi="Times New Roman" w:cs="Times New Roman"/>
        </w:rPr>
      </w:pPr>
    </w:p>
    <w:p w:rsidR="00EB6FE3" w:rsidRDefault="00EB6FE3" w:rsidP="00844EAA">
      <w:pPr>
        <w:spacing w:line="360" w:lineRule="auto"/>
        <w:jc w:val="both"/>
        <w:rPr>
          <w:rFonts w:ascii="Times New Roman" w:hAnsi="Times New Roman" w:cs="Times New Roman"/>
        </w:rPr>
      </w:pPr>
      <w:r>
        <w:rPr>
          <w:rFonts w:ascii="Times New Roman" w:hAnsi="Times New Roman" w:cs="Times New Roman"/>
        </w:rPr>
        <w:t>From modelling, we see that the original SHEP was moderately successful in improving the higher education progression rates in traditionally low progression rate schools. Most of the discussed non-social educational and economic factors were addressed by this model and successfully implemented aid of many causes and primary and secondary intermediary factors affecting progression rates. The overall improvement however, while reasonably noticeable compared to non-SHEP-aided schools, was fairly insignificant when considering the time period over which tests involving controlled and treated groups have spanned. Factors improved did include casual economic and educational factors by successfully enhancing knowledge of progression from school to university, improving teacher knowledge and understanding of progression – to continue to aid pupils, highlighting and supporting financial aid for lower-income families and finally, improving the pupils’ knowledge of subject paths and diversity (Sosu et al, 2016).</w:t>
      </w:r>
    </w:p>
    <w:p w:rsidR="00EB6FE3" w:rsidRDefault="00EB6FE3" w:rsidP="00844EAA">
      <w:pPr>
        <w:spacing w:line="360" w:lineRule="auto"/>
        <w:rPr>
          <w:rFonts w:ascii="Times New Roman" w:hAnsi="Times New Roman" w:cs="Times New Roman"/>
        </w:rPr>
      </w:pPr>
    </w:p>
    <w:p w:rsidR="00EB6FE3" w:rsidRDefault="00EB6FE3" w:rsidP="00844EAA">
      <w:pPr>
        <w:spacing w:line="360" w:lineRule="auto"/>
        <w:jc w:val="both"/>
        <w:rPr>
          <w:rFonts w:ascii="Times New Roman" w:hAnsi="Times New Roman" w:cs="Times New Roman"/>
        </w:rPr>
      </w:pPr>
      <w:r>
        <w:rPr>
          <w:rFonts w:ascii="Times New Roman" w:hAnsi="Times New Roman" w:cs="Times New Roman"/>
        </w:rPr>
        <w:t>This does highlight problems however. Primarily, although SAAS is in place to improve financial stability, it creates a debt burden-education potential trade-off which students may still be too young and thus too naïve to quantify.</w:t>
      </w:r>
      <w:r w:rsidR="00056C13">
        <w:rPr>
          <w:rFonts w:ascii="Times New Roman" w:hAnsi="Times New Roman" w:cs="Times New Roman"/>
        </w:rPr>
        <w:t xml:space="preserve"> This leaves a possibility of </w:t>
      </w:r>
      <w:r w:rsidR="0037708D">
        <w:rPr>
          <w:rFonts w:ascii="Times New Roman" w:hAnsi="Times New Roman" w:cs="Times New Roman"/>
        </w:rPr>
        <w:t>there being lower-income households left even worse-off if they value their children’s’ education and future potential over debt. Or, leaves the young people with unused potential and therefore a lesser-life than they may be capable of (CWA, 2016).</w:t>
      </w:r>
    </w:p>
    <w:p w:rsidR="00F0450C" w:rsidRDefault="00F0450C" w:rsidP="00844EAA">
      <w:pPr>
        <w:spacing w:line="360" w:lineRule="auto"/>
        <w:rPr>
          <w:rFonts w:ascii="Times New Roman" w:hAnsi="Times New Roman" w:cs="Times New Roman"/>
        </w:rPr>
      </w:pPr>
    </w:p>
    <w:p w:rsidR="00A7118D" w:rsidRPr="00A7118D" w:rsidRDefault="00A7118D" w:rsidP="00844EAA">
      <w:pPr>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t>Amended</w:t>
      </w:r>
      <w:r w:rsidRPr="00A7118D">
        <w:rPr>
          <w:rFonts w:ascii="Times New Roman" w:hAnsi="Times New Roman" w:cs="Times New Roman"/>
          <w:b/>
          <w:bCs/>
          <w:color w:val="4472C4" w:themeColor="accent1"/>
        </w:rPr>
        <w:t xml:space="preserve"> SHEP</w:t>
      </w:r>
    </w:p>
    <w:p w:rsidR="00A7118D" w:rsidRDefault="00A7118D" w:rsidP="00844EAA">
      <w:pPr>
        <w:spacing w:line="360" w:lineRule="auto"/>
        <w:rPr>
          <w:rFonts w:ascii="Times New Roman" w:hAnsi="Times New Roman" w:cs="Times New Roman"/>
        </w:rPr>
      </w:pPr>
    </w:p>
    <w:p w:rsidR="001D5705" w:rsidRDefault="001D5705" w:rsidP="00844EAA">
      <w:pPr>
        <w:spacing w:line="360" w:lineRule="auto"/>
        <w:jc w:val="both"/>
        <w:rPr>
          <w:rFonts w:ascii="Times New Roman" w:hAnsi="Times New Roman" w:cs="Times New Roman"/>
        </w:rPr>
      </w:pPr>
      <w:r>
        <w:rPr>
          <w:rFonts w:ascii="Times New Roman" w:hAnsi="Times New Roman" w:cs="Times New Roman"/>
        </w:rPr>
        <w:t xml:space="preserve">The amended SHEP aimed to take into account social factors </w:t>
      </w:r>
      <w:r w:rsidR="00536FAF">
        <w:rPr>
          <w:rFonts w:ascii="Times New Roman" w:hAnsi="Times New Roman" w:cs="Times New Roman"/>
        </w:rPr>
        <w:t>though the lens of attribute analysis and attainment conditional analysis. This approach qualifies for but fails to model and quantify these attributes and create a valid regression which highlights improvements in real-time. All observations of these approaches were purely based on personal preference and due to lack of knowledge</w:t>
      </w:r>
      <w:r w:rsidR="001D5687">
        <w:rPr>
          <w:rFonts w:ascii="Times New Roman" w:hAnsi="Times New Roman" w:cs="Times New Roman"/>
        </w:rPr>
        <w:t xml:space="preserve"> and </w:t>
      </w:r>
      <w:r w:rsidR="00536FAF">
        <w:rPr>
          <w:rFonts w:ascii="Times New Roman" w:hAnsi="Times New Roman" w:cs="Times New Roman"/>
        </w:rPr>
        <w:t>experience of teachers, pupils and parents regarding this subject matter, it</w:t>
      </w:r>
      <w:r w:rsidR="001D5687">
        <w:rPr>
          <w:rFonts w:ascii="Times New Roman" w:hAnsi="Times New Roman" w:cs="Times New Roman"/>
        </w:rPr>
        <w:t xml:space="preserve"> i</w:t>
      </w:r>
      <w:r w:rsidR="00536FAF">
        <w:rPr>
          <w:rFonts w:ascii="Times New Roman" w:hAnsi="Times New Roman" w:cs="Times New Roman"/>
        </w:rPr>
        <w:t xml:space="preserve">s </w:t>
      </w:r>
      <w:r w:rsidR="001D5687">
        <w:rPr>
          <w:rFonts w:ascii="Times New Roman" w:hAnsi="Times New Roman" w:cs="Times New Roman"/>
        </w:rPr>
        <w:t xml:space="preserve">simply </w:t>
      </w:r>
      <w:r w:rsidR="00536FAF">
        <w:rPr>
          <w:rFonts w:ascii="Times New Roman" w:hAnsi="Times New Roman" w:cs="Times New Roman"/>
        </w:rPr>
        <w:t>no surprise that results were null. Even, NullPointerException within regression.</w:t>
      </w:r>
      <w:r w:rsidR="001D5687">
        <w:rPr>
          <w:rFonts w:ascii="Times New Roman" w:hAnsi="Times New Roman" w:cs="Times New Roman"/>
        </w:rPr>
        <w:t xml:space="preserve"> </w:t>
      </w:r>
      <w:r w:rsidR="00A02B59">
        <w:rPr>
          <w:rFonts w:ascii="Times New Roman" w:hAnsi="Times New Roman" w:cs="Times New Roman"/>
        </w:rPr>
        <w:t xml:space="preserve">The second method of conditional analysis, as </w:t>
      </w:r>
      <w:r w:rsidR="00A02B59">
        <w:rPr>
          <w:rFonts w:ascii="Times New Roman" w:hAnsi="Times New Roman" w:cs="Times New Roman"/>
        </w:rPr>
        <w:lastRenderedPageBreak/>
        <w:t>discussed, was too backward-looking and relied heavily on trends which are mostly attributed to the previous non-social SHEP contributions.</w:t>
      </w:r>
    </w:p>
    <w:p w:rsidR="001D5705" w:rsidRDefault="001D5705" w:rsidP="00844EAA">
      <w:pPr>
        <w:spacing w:line="360" w:lineRule="auto"/>
        <w:rPr>
          <w:rFonts w:ascii="Times New Roman" w:hAnsi="Times New Roman" w:cs="Times New Roman"/>
        </w:rPr>
      </w:pPr>
    </w:p>
    <w:p w:rsidR="003A02B5" w:rsidRDefault="003A02B5" w:rsidP="00844EAA">
      <w:pPr>
        <w:spacing w:line="360" w:lineRule="auto"/>
        <w:jc w:val="both"/>
        <w:rPr>
          <w:rFonts w:ascii="Times New Roman" w:hAnsi="Times New Roman" w:cs="Times New Roman"/>
        </w:rPr>
      </w:pPr>
      <w:r>
        <w:rPr>
          <w:rFonts w:ascii="Times New Roman" w:hAnsi="Times New Roman" w:cs="Times New Roman"/>
        </w:rPr>
        <w:t xml:space="preserve">Although the SHEP makes pupils aware of their social surroundings, it does not make active amendments. There must be quantifiable models put in place, utilised by the students and associates, to account for home environment; parental support; bettering teacher knowledge of pupils’ home situations and how to act around this; bettering pupils’ knowledge of mentality (however may still be too young and naïve to understand); and, motivation through personal(to pupils) interests and mindfulness enhancing methods. </w:t>
      </w:r>
    </w:p>
    <w:p w:rsidR="003A02B5" w:rsidRPr="00C526EA" w:rsidRDefault="003A02B5" w:rsidP="00844EAA">
      <w:pPr>
        <w:spacing w:line="360" w:lineRule="auto"/>
        <w:rPr>
          <w:rFonts w:ascii="Times New Roman" w:hAnsi="Times New Roman" w:cs="Times New Roman"/>
        </w:rPr>
      </w:pPr>
    </w:p>
    <w:p w:rsidR="00D170F7" w:rsidRDefault="00D170F7" w:rsidP="00844EAA">
      <w:pPr>
        <w:spacing w:line="360" w:lineRule="auto"/>
        <w:rPr>
          <w:rFonts w:ascii="Times New Roman" w:hAnsi="Times New Roman" w:cs="Times New Roman"/>
        </w:rPr>
      </w:pPr>
    </w:p>
    <w:p w:rsidR="005D177F" w:rsidRPr="003A02B5" w:rsidRDefault="003A02B5" w:rsidP="00844EAA">
      <w:pPr>
        <w:spacing w:line="360" w:lineRule="auto"/>
        <w:rPr>
          <w:rFonts w:ascii="Times New Roman" w:hAnsi="Times New Roman" w:cs="Times New Roman"/>
          <w:b/>
          <w:bCs/>
          <w:color w:val="4472C4" w:themeColor="accent1"/>
        </w:rPr>
      </w:pPr>
      <w:r w:rsidRPr="003A02B5">
        <w:rPr>
          <w:rFonts w:ascii="Times New Roman" w:hAnsi="Times New Roman" w:cs="Times New Roman"/>
          <w:b/>
          <w:bCs/>
          <w:color w:val="4472C4" w:themeColor="accent1"/>
        </w:rPr>
        <w:t>Final Points</w:t>
      </w:r>
    </w:p>
    <w:p w:rsidR="003A02B5" w:rsidRDefault="003A02B5" w:rsidP="00844EAA">
      <w:pPr>
        <w:spacing w:line="360" w:lineRule="auto"/>
        <w:rPr>
          <w:rFonts w:ascii="Times New Roman" w:hAnsi="Times New Roman" w:cs="Times New Roman"/>
          <w:b/>
          <w:bCs/>
        </w:rPr>
      </w:pPr>
    </w:p>
    <w:p w:rsidR="00D170F7" w:rsidRPr="00C526EA" w:rsidRDefault="009D3B98" w:rsidP="00844EAA">
      <w:pPr>
        <w:spacing w:line="360" w:lineRule="auto"/>
        <w:jc w:val="both"/>
        <w:rPr>
          <w:rFonts w:ascii="Times New Roman" w:hAnsi="Times New Roman" w:cs="Times New Roman"/>
        </w:rPr>
      </w:pPr>
      <w:r>
        <w:rPr>
          <w:rFonts w:ascii="Times New Roman" w:hAnsi="Times New Roman" w:cs="Times New Roman"/>
        </w:rPr>
        <w:t xml:space="preserve">Overall, </w:t>
      </w:r>
      <w:r w:rsidR="001A71DF">
        <w:rPr>
          <w:rFonts w:ascii="Times New Roman" w:hAnsi="Times New Roman" w:cs="Times New Roman"/>
        </w:rPr>
        <w:t xml:space="preserve">there is almost sufficient statistical modelling to allow teachers, parents and pupils to work together successfully under the idea of the SHEP to improve knowledge and understanding of educational factors contributing to attainment. These factors statistically weight at most of the attainment model (Model 1) and therefore should account for most of it. However this isn’t the case. It is up to parents, teachers and most importantly pupils to use their own social intervention to create a mentality-enhancing social-educational environment. Although the related factors here may be weighted lower in the model, than the K&amp;U ones, just one of these factors could have greater mental impact than any K&amp;U. For example, poor mental health caused by parental abuse etc. could cause student suicide. Whereas confusion regarding the transition to university would be accurately assumed not to. Thus, forward-facing statistical modelling is required to </w:t>
      </w:r>
      <w:r w:rsidR="00894701">
        <w:rPr>
          <w:rFonts w:ascii="Times New Roman" w:hAnsi="Times New Roman" w:cs="Times New Roman"/>
        </w:rPr>
        <w:t>include areas of social improvement and support students’ social. knowledge of themselves and their surroundings.</w:t>
      </w:r>
    </w:p>
    <w:p w:rsidR="00D170F7" w:rsidRPr="00C526EA" w:rsidRDefault="00D170F7" w:rsidP="00844EAA">
      <w:pPr>
        <w:spacing w:line="360" w:lineRule="auto"/>
        <w:rPr>
          <w:rFonts w:ascii="Times New Roman" w:hAnsi="Times New Roman" w:cs="Times New Roman"/>
        </w:rPr>
      </w:pPr>
    </w:p>
    <w:p w:rsidR="00D170F7" w:rsidRPr="00C526EA" w:rsidRDefault="00D170F7" w:rsidP="00844EAA">
      <w:pPr>
        <w:spacing w:line="360" w:lineRule="auto"/>
        <w:rPr>
          <w:rFonts w:ascii="Times New Roman" w:hAnsi="Times New Roman" w:cs="Times New Roman"/>
        </w:rPr>
      </w:pPr>
    </w:p>
    <w:p w:rsidR="00D170F7" w:rsidRPr="00C526EA" w:rsidRDefault="00D170F7" w:rsidP="00844EAA">
      <w:pPr>
        <w:spacing w:line="360" w:lineRule="auto"/>
        <w:rPr>
          <w:rFonts w:ascii="Times New Roman" w:hAnsi="Times New Roman" w:cs="Times New Roman"/>
        </w:rPr>
      </w:pPr>
    </w:p>
    <w:p w:rsidR="00D170F7" w:rsidRPr="00D170F7" w:rsidRDefault="00D170F7" w:rsidP="00844EAA">
      <w:pPr>
        <w:spacing w:line="360" w:lineRule="auto"/>
        <w:rPr>
          <w:rFonts w:ascii="Times New Roman" w:hAnsi="Times New Roman" w:cs="Times New Roman"/>
        </w:rPr>
      </w:pPr>
    </w:p>
    <w:p w:rsidR="00D170F7" w:rsidRPr="00D170F7" w:rsidRDefault="00D170F7" w:rsidP="00844EAA">
      <w:pPr>
        <w:spacing w:line="360" w:lineRule="auto"/>
        <w:rPr>
          <w:rFonts w:ascii="Times New Roman" w:hAnsi="Times New Roman" w:cs="Times New Roman"/>
        </w:rPr>
      </w:pPr>
    </w:p>
    <w:p w:rsidR="00D170F7" w:rsidRPr="00D170F7" w:rsidRDefault="00D170F7" w:rsidP="00844EAA">
      <w:pPr>
        <w:spacing w:line="360" w:lineRule="auto"/>
        <w:rPr>
          <w:rFonts w:ascii="Times New Roman" w:hAnsi="Times New Roman" w:cs="Times New Roman"/>
        </w:rPr>
      </w:pPr>
    </w:p>
    <w:p w:rsidR="00D170F7" w:rsidRPr="00D170F7" w:rsidRDefault="00D170F7" w:rsidP="00844EAA">
      <w:pPr>
        <w:spacing w:line="360" w:lineRule="auto"/>
        <w:rPr>
          <w:rFonts w:ascii="Times New Roman" w:hAnsi="Times New Roman" w:cs="Times New Roman"/>
        </w:rPr>
      </w:pPr>
    </w:p>
    <w:p w:rsidR="00844EAA" w:rsidRDefault="00844EAA" w:rsidP="005519EB">
      <w:pPr>
        <w:spacing w:line="276" w:lineRule="auto"/>
        <w:rPr>
          <w:rFonts w:ascii="Times New Roman" w:hAnsi="Times New Roman" w:cs="Times New Roman"/>
        </w:rPr>
      </w:pPr>
    </w:p>
    <w:p w:rsidR="00B01F9D" w:rsidRDefault="00B01F9D" w:rsidP="005519EB">
      <w:pPr>
        <w:spacing w:line="276" w:lineRule="auto"/>
        <w:rPr>
          <w:rFonts w:ascii="Times New Roman" w:hAnsi="Times New Roman" w:cs="Times New Roman"/>
          <w:b/>
          <w:bCs/>
          <w:color w:val="44546A" w:themeColor="text2"/>
        </w:rPr>
      </w:pPr>
      <w:r>
        <w:rPr>
          <w:rFonts w:ascii="Times New Roman" w:hAnsi="Times New Roman" w:cs="Times New Roman"/>
          <w:b/>
          <w:bCs/>
          <w:color w:val="44546A" w:themeColor="text2"/>
        </w:rPr>
        <w:lastRenderedPageBreak/>
        <w:t>Appendix 1: Figures &amp; Models</w:t>
      </w:r>
    </w:p>
    <w:p w:rsidR="00B01F9D" w:rsidRDefault="00B01F9D" w:rsidP="005519EB">
      <w:pPr>
        <w:spacing w:line="276" w:lineRule="auto"/>
        <w:rPr>
          <w:rFonts w:ascii="Times New Roman" w:hAnsi="Times New Roman" w:cs="Times New Roman"/>
          <w:b/>
          <w:bCs/>
          <w:color w:val="44546A" w:themeColor="text2"/>
        </w:rPr>
      </w:pPr>
    </w:p>
    <w:p w:rsidR="00B01F9D" w:rsidRPr="00B01F9D" w:rsidRDefault="00B01F9D" w:rsidP="005519EB">
      <w:pPr>
        <w:spacing w:line="276" w:lineRule="auto"/>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Figure 1: </w:t>
      </w:r>
      <w:r w:rsidR="00842001">
        <w:rPr>
          <w:rFonts w:ascii="Times New Roman" w:hAnsi="Times New Roman" w:cs="Times New Roman"/>
          <w:b/>
          <w:bCs/>
          <w:color w:val="4472C4" w:themeColor="accent1"/>
        </w:rPr>
        <w:t>Numeracy-Based Subject Attainment Gap</w:t>
      </w:r>
      <w:r w:rsidR="0096469E">
        <w:rPr>
          <w:rFonts w:ascii="Times New Roman" w:hAnsi="Times New Roman" w:cs="Times New Roman"/>
          <w:b/>
          <w:bCs/>
          <w:color w:val="4472C4" w:themeColor="accent1"/>
        </w:rPr>
        <w:t xml:space="preserve"> (50%+ of Task Successful)</w:t>
      </w:r>
    </w:p>
    <w:p w:rsidR="00C1396F" w:rsidRDefault="00C1396F" w:rsidP="005519EB">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933450</wp:posOffset>
            </wp:positionH>
            <wp:positionV relativeFrom="paragraph">
              <wp:posOffset>194310</wp:posOffset>
            </wp:positionV>
            <wp:extent cx="3991610" cy="2279015"/>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png"/>
                    <pic:cNvPicPr/>
                  </pic:nvPicPr>
                  <pic:blipFill>
                    <a:blip r:embed="rId8">
                      <a:extLst>
                        <a:ext uri="{28A0092B-C50C-407E-A947-70E740481C1C}">
                          <a14:useLocalDpi xmlns:a14="http://schemas.microsoft.com/office/drawing/2010/main" val="0"/>
                        </a:ext>
                      </a:extLst>
                    </a:blip>
                    <a:stretch>
                      <a:fillRect/>
                    </a:stretch>
                  </pic:blipFill>
                  <pic:spPr>
                    <a:xfrm>
                      <a:off x="0" y="0"/>
                      <a:ext cx="3991610" cy="2279015"/>
                    </a:xfrm>
                    <a:prstGeom prst="rect">
                      <a:avLst/>
                    </a:prstGeom>
                  </pic:spPr>
                </pic:pic>
              </a:graphicData>
            </a:graphic>
            <wp14:sizeRelH relativeFrom="page">
              <wp14:pctWidth>0</wp14:pctWidth>
            </wp14:sizeRelH>
            <wp14:sizeRelV relativeFrom="page">
              <wp14:pctHeight>0</wp14:pctHeight>
            </wp14:sizeRelV>
          </wp:anchor>
        </w:drawing>
      </w: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89108D" w:rsidRDefault="0089108D"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6F0286" w:rsidRDefault="006F0286" w:rsidP="005519EB">
      <w:pPr>
        <w:spacing w:line="276" w:lineRule="auto"/>
        <w:rPr>
          <w:rFonts w:ascii="Times New Roman" w:hAnsi="Times New Roman" w:cs="Times New Roman"/>
        </w:rPr>
      </w:pPr>
    </w:p>
    <w:p w:rsidR="0089108D" w:rsidRDefault="0096469E" w:rsidP="005519EB">
      <w:pPr>
        <w:spacing w:line="276" w:lineRule="auto"/>
        <w:rPr>
          <w:rFonts w:ascii="Times New Roman" w:hAnsi="Times New Roman" w:cs="Times New Roman"/>
        </w:rPr>
      </w:pPr>
      <w:r>
        <w:rPr>
          <w:rFonts w:ascii="Times New Roman" w:hAnsi="Times New Roman" w:cs="Times New Roman"/>
        </w:rPr>
        <w:tab/>
        <w:t>(Sosu, Ellis, 2014)</w:t>
      </w:r>
    </w:p>
    <w:p w:rsidR="0089108D" w:rsidRDefault="0089108D" w:rsidP="005519EB">
      <w:pPr>
        <w:spacing w:line="276" w:lineRule="auto"/>
        <w:rPr>
          <w:rFonts w:ascii="Times New Roman" w:hAnsi="Times New Roman" w:cs="Times New Roman"/>
        </w:rPr>
      </w:pPr>
    </w:p>
    <w:p w:rsidR="00C1396F" w:rsidRPr="00C1396F" w:rsidRDefault="00C1396F" w:rsidP="005519EB">
      <w:pPr>
        <w:spacing w:line="276" w:lineRule="auto"/>
        <w:rPr>
          <w:rFonts w:ascii="Times New Roman" w:hAnsi="Times New Roman" w:cs="Times New Roman"/>
          <w:b/>
          <w:bCs/>
          <w:color w:val="4472C4" w:themeColor="accent1"/>
        </w:rPr>
      </w:pPr>
      <w:r w:rsidRPr="00C1396F">
        <w:rPr>
          <w:rFonts w:ascii="Times New Roman" w:hAnsi="Times New Roman" w:cs="Times New Roman"/>
          <w:b/>
          <w:bCs/>
          <w:color w:val="4472C4" w:themeColor="accent1"/>
        </w:rPr>
        <w:t>Figure 2: Progression Rate Comparison</w:t>
      </w: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1002276</wp:posOffset>
            </wp:positionH>
            <wp:positionV relativeFrom="paragraph">
              <wp:posOffset>44450</wp:posOffset>
            </wp:positionV>
            <wp:extent cx="3637935" cy="1664818"/>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01 at 08.37.42.png"/>
                    <pic:cNvPicPr/>
                  </pic:nvPicPr>
                  <pic:blipFill>
                    <a:blip r:embed="rId9">
                      <a:extLst>
                        <a:ext uri="{28A0092B-C50C-407E-A947-70E740481C1C}">
                          <a14:useLocalDpi xmlns:a14="http://schemas.microsoft.com/office/drawing/2010/main" val="0"/>
                        </a:ext>
                      </a:extLst>
                    </a:blip>
                    <a:stretch>
                      <a:fillRect/>
                    </a:stretch>
                  </pic:blipFill>
                  <pic:spPr>
                    <a:xfrm>
                      <a:off x="0" y="0"/>
                      <a:ext cx="3637935" cy="1664818"/>
                    </a:xfrm>
                    <a:prstGeom prst="rect">
                      <a:avLst/>
                    </a:prstGeom>
                  </pic:spPr>
                </pic:pic>
              </a:graphicData>
            </a:graphic>
            <wp14:sizeRelH relativeFrom="page">
              <wp14:pctWidth>0</wp14:pctWidth>
            </wp14:sizeRelH>
            <wp14:sizeRelV relativeFrom="page">
              <wp14:pctHeight>0</wp14:pctHeight>
            </wp14:sizeRelV>
          </wp:anchor>
        </w:drawing>
      </w: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Default="00C1396F" w:rsidP="005519EB">
      <w:pPr>
        <w:spacing w:line="276" w:lineRule="auto"/>
        <w:rPr>
          <w:rFonts w:ascii="Times New Roman" w:hAnsi="Times New Roman" w:cs="Times New Roman"/>
        </w:rPr>
      </w:pPr>
    </w:p>
    <w:p w:rsidR="00C1396F" w:rsidRPr="00C1396F" w:rsidRDefault="00C1396F" w:rsidP="005519EB">
      <w:pPr>
        <w:spacing w:line="276" w:lineRule="auto"/>
        <w:rPr>
          <w:rFonts w:ascii="Times New Roman" w:hAnsi="Times New Roman" w:cs="Times New Roman"/>
        </w:rPr>
      </w:pPr>
      <w:r>
        <w:rPr>
          <w:rFonts w:ascii="Times New Roman" w:hAnsi="Times New Roman" w:cs="Times New Roman"/>
        </w:rPr>
        <w:tab/>
        <w:t>(Sosu et al, 2016)</w:t>
      </w:r>
    </w:p>
    <w:p w:rsidR="00C1396F" w:rsidRDefault="00C1396F" w:rsidP="005519EB">
      <w:pPr>
        <w:spacing w:line="276" w:lineRule="auto"/>
        <w:rPr>
          <w:rFonts w:ascii="Times New Roman" w:hAnsi="Times New Roman" w:cs="Times New Roman"/>
        </w:rPr>
      </w:pPr>
    </w:p>
    <w:p w:rsidR="00C1396F" w:rsidRPr="00C1396F" w:rsidRDefault="00C1396F" w:rsidP="005519EB">
      <w:pPr>
        <w:spacing w:line="276" w:lineRule="auto"/>
        <w:rPr>
          <w:rFonts w:ascii="Times New Roman" w:hAnsi="Times New Roman" w:cs="Times New Roman"/>
          <w:b/>
          <w:bCs/>
          <w:color w:val="4472C4" w:themeColor="accent1"/>
        </w:rPr>
      </w:pPr>
      <w:r w:rsidRPr="00C1396F">
        <w:rPr>
          <w:rFonts w:ascii="Times New Roman" w:hAnsi="Times New Roman" w:cs="Times New Roman"/>
          <w:b/>
          <w:bCs/>
          <w:color w:val="4472C4" w:themeColor="accent1"/>
        </w:rPr>
        <w:t>Figure 3: SHEP Progression Rate Comparison</w:t>
      </w:r>
    </w:p>
    <w:p w:rsidR="00C1396F" w:rsidRDefault="00C1396F" w:rsidP="005519EB">
      <w:pPr>
        <w:spacing w:line="276" w:lineRule="auto"/>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0288" behindDoc="0" locked="0" layoutInCell="1" allowOverlap="1">
            <wp:simplePos x="0" y="0"/>
            <wp:positionH relativeFrom="column">
              <wp:posOffset>1002030</wp:posOffset>
            </wp:positionH>
            <wp:positionV relativeFrom="paragraph">
              <wp:posOffset>201233</wp:posOffset>
            </wp:positionV>
            <wp:extent cx="3651334" cy="1632783"/>
            <wp:effectExtent l="0" t="0" r="0" b="571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2-01 at 08.47.30.png"/>
                    <pic:cNvPicPr/>
                  </pic:nvPicPr>
                  <pic:blipFill>
                    <a:blip r:embed="rId10">
                      <a:extLst>
                        <a:ext uri="{28A0092B-C50C-407E-A947-70E740481C1C}">
                          <a14:useLocalDpi xmlns:a14="http://schemas.microsoft.com/office/drawing/2010/main" val="0"/>
                        </a:ext>
                      </a:extLst>
                    </a:blip>
                    <a:stretch>
                      <a:fillRect/>
                    </a:stretch>
                  </pic:blipFill>
                  <pic:spPr>
                    <a:xfrm>
                      <a:off x="0" y="0"/>
                      <a:ext cx="3651334" cy="16327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4472C4" w:themeColor="accent1"/>
        </w:rPr>
        <w:tab/>
      </w:r>
    </w:p>
    <w:p w:rsidR="00C1396F" w:rsidRDefault="00C1396F" w:rsidP="005519EB">
      <w:pPr>
        <w:spacing w:line="276" w:lineRule="auto"/>
        <w:rPr>
          <w:rFonts w:ascii="Times New Roman" w:hAnsi="Times New Roman" w:cs="Times New Roman"/>
          <w:b/>
          <w:bCs/>
          <w:color w:val="4472C4" w:themeColor="accent1"/>
        </w:rPr>
      </w:pPr>
    </w:p>
    <w:p w:rsidR="00C1396F" w:rsidRDefault="00C1396F" w:rsidP="005519EB">
      <w:pPr>
        <w:spacing w:line="276" w:lineRule="auto"/>
        <w:rPr>
          <w:rFonts w:ascii="Times New Roman" w:hAnsi="Times New Roman" w:cs="Times New Roman"/>
          <w:b/>
          <w:bCs/>
          <w:color w:val="4472C4" w:themeColor="accent1"/>
        </w:rPr>
      </w:pPr>
    </w:p>
    <w:p w:rsidR="00C1396F" w:rsidRDefault="00C1396F" w:rsidP="005519EB">
      <w:pPr>
        <w:spacing w:line="276" w:lineRule="auto"/>
        <w:rPr>
          <w:rFonts w:ascii="Times New Roman" w:hAnsi="Times New Roman" w:cs="Times New Roman"/>
          <w:b/>
          <w:bCs/>
          <w:color w:val="4472C4" w:themeColor="accent1"/>
        </w:rPr>
      </w:pPr>
    </w:p>
    <w:p w:rsidR="00C1396F" w:rsidRDefault="00C1396F" w:rsidP="005519EB">
      <w:pPr>
        <w:spacing w:line="276" w:lineRule="auto"/>
        <w:rPr>
          <w:rFonts w:ascii="Times New Roman" w:hAnsi="Times New Roman" w:cs="Times New Roman"/>
          <w:b/>
          <w:bCs/>
          <w:color w:val="4472C4" w:themeColor="accent1"/>
        </w:rPr>
      </w:pPr>
    </w:p>
    <w:p w:rsidR="00C1396F" w:rsidRDefault="00C1396F" w:rsidP="005519EB">
      <w:pPr>
        <w:spacing w:line="276" w:lineRule="auto"/>
        <w:rPr>
          <w:rFonts w:ascii="Times New Roman" w:hAnsi="Times New Roman" w:cs="Times New Roman"/>
          <w:b/>
          <w:bCs/>
          <w:color w:val="4472C4" w:themeColor="accent1"/>
        </w:rPr>
      </w:pPr>
    </w:p>
    <w:p w:rsidR="00C1396F" w:rsidRDefault="00C1396F" w:rsidP="005519EB">
      <w:pPr>
        <w:spacing w:line="276" w:lineRule="auto"/>
        <w:rPr>
          <w:rFonts w:ascii="Times New Roman" w:hAnsi="Times New Roman" w:cs="Times New Roman"/>
          <w:b/>
          <w:bCs/>
          <w:color w:val="4472C4" w:themeColor="accent1"/>
        </w:rPr>
      </w:pPr>
    </w:p>
    <w:p w:rsidR="00C1396F" w:rsidRDefault="00C1396F" w:rsidP="005519EB">
      <w:pPr>
        <w:spacing w:line="276" w:lineRule="auto"/>
        <w:rPr>
          <w:rFonts w:ascii="Times New Roman" w:hAnsi="Times New Roman" w:cs="Times New Roman"/>
          <w:b/>
          <w:bCs/>
          <w:color w:val="4472C4" w:themeColor="accent1"/>
        </w:rPr>
      </w:pPr>
    </w:p>
    <w:p w:rsidR="00C1396F" w:rsidRDefault="00C1396F" w:rsidP="00C1396F">
      <w:pPr>
        <w:spacing w:line="276" w:lineRule="auto"/>
        <w:rPr>
          <w:rFonts w:ascii="Times New Roman" w:hAnsi="Times New Roman" w:cs="Times New Roman"/>
          <w:b/>
          <w:bCs/>
          <w:color w:val="4472C4" w:themeColor="accent1"/>
        </w:rPr>
      </w:pPr>
    </w:p>
    <w:p w:rsidR="00C1396F" w:rsidRDefault="00C1396F" w:rsidP="00C1396F">
      <w:pPr>
        <w:spacing w:line="276" w:lineRule="auto"/>
        <w:rPr>
          <w:rFonts w:ascii="Times New Roman" w:hAnsi="Times New Roman" w:cs="Times New Roman"/>
          <w:b/>
          <w:bCs/>
          <w:color w:val="4472C4" w:themeColor="accent1"/>
        </w:rPr>
      </w:pPr>
    </w:p>
    <w:p w:rsidR="002E3CD2" w:rsidRDefault="00C1396F" w:rsidP="002E3CD2">
      <w:pPr>
        <w:spacing w:line="276" w:lineRule="auto"/>
        <w:ind w:firstLine="720"/>
        <w:rPr>
          <w:rFonts w:ascii="Times New Roman" w:hAnsi="Times New Roman" w:cs="Times New Roman"/>
        </w:rPr>
      </w:pPr>
      <w:r>
        <w:rPr>
          <w:rFonts w:ascii="Times New Roman" w:hAnsi="Times New Roman" w:cs="Times New Roman"/>
        </w:rPr>
        <w:t>(Sosu et al, 2016)</w:t>
      </w:r>
    </w:p>
    <w:p w:rsidR="006F0286" w:rsidRPr="002E3CD2" w:rsidRDefault="006F0286" w:rsidP="002E3CD2">
      <w:pPr>
        <w:spacing w:line="276" w:lineRule="auto"/>
        <w:rPr>
          <w:rFonts w:ascii="Times New Roman" w:hAnsi="Times New Roman" w:cs="Times New Roman"/>
        </w:rPr>
      </w:pPr>
      <w:r>
        <w:rPr>
          <w:rFonts w:ascii="Times New Roman" w:hAnsi="Times New Roman" w:cs="Times New Roman"/>
          <w:b/>
          <w:bCs/>
          <w:color w:val="4472C4" w:themeColor="accent1"/>
        </w:rPr>
        <w:lastRenderedPageBreak/>
        <w:t xml:space="preserve">Model 1: Regressing Academic Potential w/ </w:t>
      </w:r>
      <w:r w:rsidR="00400A64">
        <w:rPr>
          <w:rFonts w:ascii="Times New Roman" w:hAnsi="Times New Roman" w:cs="Times New Roman"/>
          <w:b/>
          <w:bCs/>
          <w:color w:val="4472C4" w:themeColor="accent1"/>
        </w:rPr>
        <w:t xml:space="preserve">Intermediate Effect </w:t>
      </w:r>
    </w:p>
    <w:p w:rsidR="0096469E" w:rsidRDefault="0096469E" w:rsidP="005519EB">
      <w:pPr>
        <w:spacing w:line="276" w:lineRule="auto"/>
        <w:rPr>
          <w:rFonts w:ascii="Times New Roman" w:hAnsi="Times New Roman" w:cs="Times New Roman"/>
          <w:b/>
          <w:bCs/>
          <w:color w:val="44546A" w:themeColor="text2"/>
        </w:rPr>
      </w:pPr>
    </w:p>
    <w:p w:rsidR="00290EBE" w:rsidRDefault="00290EBE" w:rsidP="005519EB">
      <w:pPr>
        <w:spacing w:line="276" w:lineRule="auto"/>
        <w:rPr>
          <w:rFonts w:ascii="Cambria Math" w:hAnsi="Cambria Math" w:cs="Calibri"/>
        </w:rPr>
      </w:pPr>
      <w:r w:rsidRPr="00A83AB9">
        <w:rPr>
          <w:rFonts w:ascii="Cambria Math" w:hAnsi="Cambria Math" w:cs="Calibri"/>
          <w:b/>
          <w:bCs/>
        </w:rPr>
        <w:t>Caus</w:t>
      </w:r>
      <w:r>
        <w:rPr>
          <w:rFonts w:ascii="Cambria Math" w:hAnsi="Cambria Math" w:cs="Calibri"/>
          <w:b/>
          <w:bCs/>
        </w:rPr>
        <w:t xml:space="preserve">al </w:t>
      </w:r>
      <w:r w:rsidR="00AB2EF2">
        <w:rPr>
          <w:rFonts w:ascii="Cambria Math" w:hAnsi="Cambria Math" w:cs="Calibri"/>
          <w:b/>
          <w:bCs/>
        </w:rPr>
        <w:t>Instrument</w:t>
      </w:r>
      <w:r w:rsidRPr="00A83AB9">
        <w:rPr>
          <w:rFonts w:ascii="Cambria Math" w:hAnsi="Cambria Math" w:cs="Calibri"/>
        </w:rPr>
        <w:t xml:space="preserve">: </w:t>
      </w:r>
    </w:p>
    <w:p w:rsidR="00290EBE" w:rsidRDefault="00290EBE" w:rsidP="005519EB">
      <w:pPr>
        <w:spacing w:line="276" w:lineRule="auto"/>
        <w:ind w:firstLine="720"/>
        <w:rPr>
          <w:rFonts w:ascii="Cambria Math" w:hAnsi="Cambria Math" w:cs="Calibri"/>
        </w:rPr>
      </w:pPr>
      <w:r w:rsidRPr="00A83AB9">
        <w:rPr>
          <w:rFonts w:ascii="Cambria Math" w:hAnsi="Cambria Math" w:cs="Calibri"/>
        </w:rPr>
        <w:t>Area of Residence</w:t>
      </w:r>
    </w:p>
    <w:p w:rsidR="001D5705" w:rsidRDefault="001D5705" w:rsidP="005519EB">
      <w:pPr>
        <w:spacing w:line="276" w:lineRule="auto"/>
        <w:ind w:firstLine="720"/>
        <w:rPr>
          <w:rFonts w:ascii="Cambria Math" w:hAnsi="Cambria Math" w:cs="Calibri"/>
        </w:rPr>
      </w:pPr>
      <w:r w:rsidRPr="00A83AB9">
        <w:rPr>
          <w:rFonts w:ascii="Cambria Math" w:hAnsi="Cambria Math" w:cs="Calibri"/>
        </w:rPr>
        <w:t>Type of School</w:t>
      </w:r>
    </w:p>
    <w:p w:rsidR="001D5705" w:rsidRDefault="001D5705" w:rsidP="005519EB">
      <w:pPr>
        <w:spacing w:line="276" w:lineRule="auto"/>
        <w:ind w:firstLine="720"/>
        <w:rPr>
          <w:rFonts w:ascii="Cambria Math" w:hAnsi="Cambria Math" w:cs="Calibri"/>
        </w:rPr>
      </w:pPr>
      <w:r>
        <w:rPr>
          <w:rFonts w:ascii="Cambria Math" w:hAnsi="Cambria Math" w:cs="Calibri"/>
        </w:rPr>
        <w:t>Resources Available</w:t>
      </w:r>
    </w:p>
    <w:p w:rsidR="001D5705" w:rsidRPr="00A83AB9" w:rsidRDefault="001D5705" w:rsidP="005519EB">
      <w:pPr>
        <w:spacing w:line="276" w:lineRule="auto"/>
        <w:ind w:firstLine="720"/>
        <w:rPr>
          <w:rFonts w:ascii="Cambria Math" w:hAnsi="Cambria Math" w:cs="Calibri"/>
        </w:rPr>
      </w:pPr>
      <w:r>
        <w:rPr>
          <w:rFonts w:ascii="Cambria Math" w:hAnsi="Cambria Math" w:cs="Calibri"/>
        </w:rPr>
        <w:t>Historic School Progression Rate</w:t>
      </w:r>
    </w:p>
    <w:p w:rsidR="00290EBE" w:rsidRDefault="00290EBE" w:rsidP="005519EB">
      <w:pPr>
        <w:spacing w:line="276" w:lineRule="auto"/>
        <w:rPr>
          <w:rFonts w:ascii="Cambria Math" w:hAnsi="Cambria Math" w:cs="Calibri"/>
          <w:b/>
          <w:bCs/>
        </w:rPr>
      </w:pPr>
    </w:p>
    <w:p w:rsidR="00290EBE" w:rsidRDefault="00543D04" w:rsidP="00543D04">
      <w:pPr>
        <w:spacing w:line="276" w:lineRule="auto"/>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sidRPr="00A83AB9">
        <w:rPr>
          <w:rFonts w:ascii="Cambria Math" w:hAnsi="Cambria Math" w:cs="Calibri"/>
          <w:b/>
          <w:bCs/>
        </w:rPr>
        <w:t>Intermediary (Primary)</w:t>
      </w:r>
      <w:r w:rsidR="00290EBE">
        <w:rPr>
          <w:rFonts w:ascii="Cambria Math" w:hAnsi="Cambria Math" w:cs="Calibri"/>
          <w:b/>
          <w:bCs/>
        </w:rPr>
        <w:t xml:space="preserve"> Factors</w:t>
      </w:r>
      <w:r w:rsidR="00290EBE" w:rsidRPr="00A83AB9">
        <w:rPr>
          <w:rFonts w:ascii="Cambria Math" w:hAnsi="Cambria Math" w:cs="Calibri"/>
        </w:rPr>
        <w:t xml:space="preserve">: </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Pr>
          <w:rFonts w:ascii="Cambria Math" w:hAnsi="Cambria Math" w:cs="Calibri"/>
        </w:rPr>
        <w:t xml:space="preserve">Family </w:t>
      </w:r>
      <w:r w:rsidR="00290EBE" w:rsidRPr="00A83AB9">
        <w:rPr>
          <w:rFonts w:ascii="Cambria Math" w:hAnsi="Cambria Math" w:cs="Calibri"/>
        </w:rPr>
        <w:t xml:space="preserve">Income </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sidRPr="00A83AB9">
        <w:rPr>
          <w:rFonts w:ascii="Cambria Math" w:hAnsi="Cambria Math" w:cs="Calibri"/>
        </w:rPr>
        <w:t>Young Carers</w:t>
      </w:r>
    </w:p>
    <w:p w:rsidR="00143152"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sidRPr="00A83AB9">
        <w:rPr>
          <w:rFonts w:ascii="Cambria Math" w:hAnsi="Cambria Math" w:cs="Calibri"/>
        </w:rPr>
        <w:t>Family Problems</w:t>
      </w:r>
      <w:r w:rsidR="00290EBE">
        <w:rPr>
          <w:rFonts w:ascii="Cambria Math" w:hAnsi="Cambria Math" w:cs="Calibri"/>
        </w:rPr>
        <w:t xml:space="preserve">/Upbringing </w:t>
      </w:r>
    </w:p>
    <w:p w:rsidR="00290EBE" w:rsidRPr="00A83AB9"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143152">
        <w:rPr>
          <w:rFonts w:ascii="Cambria Math" w:hAnsi="Cambria Math" w:cs="Calibri"/>
        </w:rPr>
        <w:t>Historic Family Trends</w:t>
      </w:r>
      <w:r w:rsidR="00290EBE" w:rsidRPr="00A83AB9">
        <w:rPr>
          <w:rFonts w:ascii="Cambria Math" w:hAnsi="Cambria Math" w:cs="Calibri"/>
        </w:rPr>
        <w:t xml:space="preserve"> </w:t>
      </w:r>
    </w:p>
    <w:p w:rsidR="00290EBE" w:rsidRDefault="00290EBE" w:rsidP="005519EB">
      <w:pPr>
        <w:spacing w:line="276" w:lineRule="auto"/>
        <w:rPr>
          <w:rFonts w:ascii="Cambria Math" w:hAnsi="Cambria Math" w:cs="Calibri"/>
          <w:b/>
          <w:bCs/>
        </w:rPr>
      </w:pPr>
    </w:p>
    <w:p w:rsidR="00290EBE" w:rsidRDefault="00543D04" w:rsidP="00543D04">
      <w:pPr>
        <w:spacing w:line="276" w:lineRule="auto"/>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sidRPr="00A83AB9">
        <w:rPr>
          <w:rFonts w:ascii="Cambria Math" w:hAnsi="Cambria Math" w:cs="Calibri"/>
          <w:b/>
          <w:bCs/>
        </w:rPr>
        <w:t>Intermediary (Secondary)</w:t>
      </w:r>
      <w:r w:rsidR="00290EBE">
        <w:rPr>
          <w:rFonts w:ascii="Cambria Math" w:hAnsi="Cambria Math" w:cs="Calibri"/>
          <w:b/>
          <w:bCs/>
        </w:rPr>
        <w:t xml:space="preserve"> Factors</w:t>
      </w:r>
      <w:r w:rsidR="00290EBE" w:rsidRPr="00A83AB9">
        <w:rPr>
          <w:rFonts w:ascii="Cambria Math" w:hAnsi="Cambria Math" w:cs="Calibri"/>
        </w:rPr>
        <w:t xml:space="preserve">: </w:t>
      </w:r>
    </w:p>
    <w:p w:rsidR="00841BC4"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841BC4">
        <w:rPr>
          <w:rFonts w:ascii="Cambria Math" w:hAnsi="Cambria Math" w:cs="Calibri"/>
        </w:rPr>
        <w:t>Mental Health</w:t>
      </w:r>
      <w:r w:rsidR="00B713C9">
        <w:rPr>
          <w:rFonts w:ascii="Cambria Math" w:hAnsi="Cambria Math" w:cs="Calibri"/>
        </w:rPr>
        <w:t xml:space="preserve"> (Social)</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sidRPr="00A83AB9">
        <w:rPr>
          <w:rFonts w:ascii="Cambria Math" w:hAnsi="Cambria Math" w:cs="Calibri"/>
        </w:rPr>
        <w:t>Behaviour</w:t>
      </w:r>
      <w:r w:rsidR="00B713C9">
        <w:rPr>
          <w:rFonts w:ascii="Cambria Math" w:hAnsi="Cambria Math" w:cs="Calibri"/>
        </w:rPr>
        <w:t xml:space="preserve"> (Social)</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sidRPr="00A83AB9">
        <w:rPr>
          <w:rFonts w:ascii="Cambria Math" w:hAnsi="Cambria Math" w:cs="Calibri"/>
        </w:rPr>
        <w:t>Effort</w:t>
      </w:r>
      <w:r w:rsidR="00382BDC">
        <w:rPr>
          <w:rFonts w:ascii="Cambria Math" w:hAnsi="Cambria Math" w:cs="Calibri"/>
        </w:rPr>
        <w:t>/Care for School</w:t>
      </w:r>
      <w:r w:rsidR="00B713C9">
        <w:rPr>
          <w:rFonts w:ascii="Cambria Math" w:hAnsi="Cambria Math" w:cs="Calibri"/>
        </w:rPr>
        <w:t xml:space="preserve"> (Social)</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Pr>
          <w:rFonts w:ascii="Cambria Math" w:hAnsi="Cambria Math" w:cs="Calibri"/>
        </w:rPr>
        <w:t>Confidence</w:t>
      </w:r>
      <w:r w:rsidR="00B713C9">
        <w:rPr>
          <w:rFonts w:ascii="Cambria Math" w:hAnsi="Cambria Math" w:cs="Calibri"/>
        </w:rPr>
        <w:t xml:space="preserve"> (Social)</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Pr>
          <w:rFonts w:ascii="Cambria Math" w:hAnsi="Cambria Math" w:cs="Calibri"/>
        </w:rPr>
        <w:t>Ability to Choose Subjects</w:t>
      </w:r>
      <w:r w:rsidR="00B713C9">
        <w:rPr>
          <w:rFonts w:ascii="Cambria Math" w:hAnsi="Cambria Math" w:cs="Calibri"/>
        </w:rPr>
        <w:t xml:space="preserve"> (K&amp;U)</w:t>
      </w:r>
    </w:p>
    <w:p w:rsidR="00143152"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143152">
        <w:rPr>
          <w:rFonts w:ascii="Cambria Math" w:hAnsi="Cambria Math" w:cs="Calibri"/>
        </w:rPr>
        <w:t>Lack of Belief in Ability to Attend University</w:t>
      </w:r>
      <w:r w:rsidR="00B713C9">
        <w:rPr>
          <w:rFonts w:ascii="Cambria Math" w:hAnsi="Cambria Math" w:cs="Calibri"/>
        </w:rPr>
        <w:t xml:space="preserve"> (K&amp;U)</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Pr>
          <w:rFonts w:ascii="Cambria Math" w:hAnsi="Cambria Math" w:cs="Calibri"/>
        </w:rPr>
        <w:t>Understanding of University</w:t>
      </w:r>
      <w:r w:rsidR="00B713C9">
        <w:rPr>
          <w:rFonts w:ascii="Cambria Math" w:hAnsi="Cambria Math" w:cs="Calibri"/>
        </w:rPr>
        <w:t xml:space="preserve"> (K&amp;U)</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Pr>
          <w:rFonts w:ascii="Cambria Math" w:hAnsi="Cambria Math" w:cs="Calibri"/>
        </w:rPr>
        <w:t xml:space="preserve">Implied Costs of University </w:t>
      </w:r>
      <w:r w:rsidR="00B713C9">
        <w:rPr>
          <w:rFonts w:ascii="Cambria Math" w:hAnsi="Cambria Math" w:cs="Calibri"/>
        </w:rPr>
        <w:t>(K&amp;U)</w:t>
      </w:r>
    </w:p>
    <w:p w:rsidR="00290EBE"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Pr>
          <w:rFonts w:ascii="Cambria Math" w:hAnsi="Cambria Math" w:cs="Calibri"/>
        </w:rPr>
        <w:t>Burden of Student Debt</w:t>
      </w:r>
      <w:r w:rsidR="00B713C9">
        <w:rPr>
          <w:rFonts w:ascii="Cambria Math" w:hAnsi="Cambria Math" w:cs="Calibri"/>
        </w:rPr>
        <w:t xml:space="preserve"> (K&amp;U)</w:t>
      </w:r>
    </w:p>
    <w:p w:rsidR="00290EBE" w:rsidRPr="0025359B" w:rsidRDefault="00543D04" w:rsidP="00543D04">
      <w:pPr>
        <w:spacing w:line="276" w:lineRule="auto"/>
        <w:ind w:left="720"/>
        <w:rPr>
          <w:rFonts w:ascii="Cambria Math" w:hAnsi="Cambria Math" w:cs="Calibri"/>
        </w:rPr>
      </w:pPr>
      <m:oMath>
        <m:r>
          <m:rPr>
            <m:sty m:val="bi"/>
          </m:rPr>
          <w:rPr>
            <w:rFonts w:ascii="Cambria Math" w:hAnsi="Cambria Math" w:cs="Calibri"/>
          </w:rPr>
          <m:t>→</m:t>
        </m:r>
      </m:oMath>
      <w:r>
        <w:rPr>
          <w:rFonts w:ascii="Cambria Math" w:eastAsiaTheme="minorEastAsia" w:hAnsi="Cambria Math" w:cs="Calibri"/>
          <w:b/>
          <w:bCs/>
        </w:rPr>
        <w:t xml:space="preserve"> </w:t>
      </w:r>
      <w:r w:rsidR="00290EBE">
        <w:rPr>
          <w:rFonts w:ascii="Cambria Math" w:hAnsi="Cambria Math" w:cs="Calibri"/>
        </w:rPr>
        <w:t>Ability to Create Convincing Applicative Material</w:t>
      </w:r>
      <w:r w:rsidR="00B713C9">
        <w:rPr>
          <w:rFonts w:ascii="Cambria Math" w:hAnsi="Cambria Math" w:cs="Calibri"/>
        </w:rPr>
        <w:t xml:space="preserve"> (K&amp;U)</w:t>
      </w:r>
    </w:p>
    <w:p w:rsidR="0025359B" w:rsidRDefault="0025359B" w:rsidP="005519EB">
      <w:pPr>
        <w:spacing w:line="276" w:lineRule="auto"/>
        <w:rPr>
          <w:rFonts w:ascii="Cambria Math" w:hAnsi="Cambria Math" w:cs="Calibri"/>
          <w:b/>
          <w:bCs/>
        </w:rPr>
      </w:pPr>
    </w:p>
    <w:p w:rsidR="00290EBE" w:rsidRDefault="00290EBE" w:rsidP="005519EB">
      <w:pPr>
        <w:spacing w:line="276" w:lineRule="auto"/>
        <w:rPr>
          <w:rFonts w:ascii="Cambria Math" w:hAnsi="Cambria Math" w:cs="Calibri"/>
        </w:rPr>
      </w:pPr>
      <w:r w:rsidRPr="00A83AB9">
        <w:rPr>
          <w:rFonts w:ascii="Cambria Math" w:hAnsi="Cambria Math" w:cs="Calibri"/>
          <w:b/>
          <w:bCs/>
        </w:rPr>
        <w:t>Effect</w:t>
      </w:r>
      <w:r>
        <w:rPr>
          <w:rFonts w:ascii="Cambria Math" w:hAnsi="Cambria Math" w:cs="Calibri"/>
          <w:b/>
          <w:bCs/>
        </w:rPr>
        <w:t>/Outcome</w:t>
      </w:r>
      <w:r w:rsidRPr="00A83AB9">
        <w:rPr>
          <w:rFonts w:ascii="Cambria Math" w:hAnsi="Cambria Math" w:cs="Calibri"/>
        </w:rPr>
        <w:t xml:space="preserve">: </w:t>
      </w:r>
    </w:p>
    <w:p w:rsidR="00290EBE" w:rsidRDefault="00290EBE" w:rsidP="005519EB">
      <w:pPr>
        <w:spacing w:line="276" w:lineRule="auto"/>
        <w:ind w:firstLine="720"/>
        <w:rPr>
          <w:rFonts w:ascii="Cambria Math" w:hAnsi="Cambria Math" w:cs="Calibri"/>
        </w:rPr>
      </w:pPr>
      <w:r w:rsidRPr="00A83AB9">
        <w:rPr>
          <w:rFonts w:ascii="Cambria Math" w:hAnsi="Cambria Math" w:cs="Calibri"/>
        </w:rPr>
        <w:t>Academic Response</w:t>
      </w:r>
      <w:r>
        <w:rPr>
          <w:rFonts w:ascii="Cambria Math" w:hAnsi="Cambria Math" w:cs="Calibri"/>
        </w:rPr>
        <w:t xml:space="preserve"> </w:t>
      </w:r>
    </w:p>
    <w:p w:rsidR="00DC148D" w:rsidRDefault="004F5397" w:rsidP="005519EB">
      <w:pPr>
        <w:spacing w:line="276" w:lineRule="auto"/>
        <w:ind w:firstLine="720"/>
        <w:rPr>
          <w:rFonts w:ascii="Cambria Math" w:hAnsi="Cambria Math" w:cs="Calibri"/>
        </w:rPr>
      </w:pPr>
      <w:r>
        <w:rPr>
          <w:rFonts w:ascii="Cambria Math" w:hAnsi="Cambria Math" w:cs="Calibri"/>
        </w:rPr>
        <w:t>Progression Rate</w:t>
      </w:r>
    </w:p>
    <w:p w:rsidR="004F5397" w:rsidRDefault="004F5397" w:rsidP="005519EB">
      <w:pPr>
        <w:spacing w:line="276" w:lineRule="auto"/>
        <w:ind w:firstLine="720"/>
        <w:rPr>
          <w:rFonts w:ascii="Cambria Math" w:hAnsi="Cambria Math" w:cs="Calibri"/>
        </w:rPr>
      </w:pPr>
      <w:r>
        <w:rPr>
          <w:rFonts w:ascii="Cambria Math" w:hAnsi="Cambria Math" w:cs="Calibri"/>
        </w:rPr>
        <w:t>Attainment of HE Qualifications</w:t>
      </w:r>
    </w:p>
    <w:p w:rsidR="004F5397" w:rsidRDefault="004F5397" w:rsidP="005519EB">
      <w:pPr>
        <w:spacing w:line="276" w:lineRule="auto"/>
        <w:ind w:firstLine="720"/>
        <w:rPr>
          <w:rFonts w:ascii="Cambria Math" w:hAnsi="Cambria Math" w:cs="Calibri"/>
        </w:rPr>
      </w:pPr>
      <w:r>
        <w:rPr>
          <w:rFonts w:ascii="Cambria Math" w:hAnsi="Cambria Math" w:cs="Calibri"/>
        </w:rPr>
        <w:t>Attainment of University Degree</w:t>
      </w:r>
    </w:p>
    <w:p w:rsidR="0096469E" w:rsidRPr="00290EBE" w:rsidRDefault="00290EBE" w:rsidP="005519EB">
      <w:pPr>
        <w:spacing w:line="276" w:lineRule="auto"/>
        <w:ind w:firstLine="720"/>
        <w:rPr>
          <w:rFonts w:ascii="Cambria Math" w:hAnsi="Cambria Math" w:cs="Calibri"/>
        </w:rPr>
      </w:pPr>
      <w:r>
        <w:rPr>
          <w:rFonts w:ascii="Cambria Math" w:hAnsi="Cambria Math" w:cs="Calibri"/>
        </w:rPr>
        <w:t>Post-Graduate Earnings</w:t>
      </w:r>
    </w:p>
    <w:p w:rsidR="000E56AB" w:rsidRDefault="000E56AB" w:rsidP="005519EB">
      <w:pPr>
        <w:spacing w:line="276" w:lineRule="auto"/>
        <w:rPr>
          <w:rFonts w:ascii="Times New Roman" w:hAnsi="Times New Roman" w:cs="Times New Roman"/>
          <w:b/>
          <w:bCs/>
          <w:color w:val="44546A" w:themeColor="text2"/>
        </w:rPr>
      </w:pPr>
    </w:p>
    <w:p w:rsidR="000E56AB" w:rsidRDefault="0046549A" w:rsidP="005519EB">
      <w:pPr>
        <w:spacing w:line="276" w:lineRule="auto"/>
        <w:rPr>
          <w:rFonts w:ascii="Times New Roman" w:hAnsi="Times New Roman" w:cs="Times New Roman"/>
          <w:i/>
          <w:iCs/>
        </w:rPr>
      </w:pPr>
      <w:r>
        <w:rPr>
          <w:rFonts w:ascii="Times New Roman" w:hAnsi="Times New Roman" w:cs="Times New Roman"/>
          <w:i/>
          <w:iCs/>
        </w:rPr>
        <w:t xml:space="preserve">Model </w:t>
      </w:r>
      <w:r w:rsidR="00B86D0B">
        <w:rPr>
          <w:rFonts w:ascii="Times New Roman" w:hAnsi="Times New Roman" w:cs="Times New Roman"/>
          <w:i/>
          <w:iCs/>
        </w:rPr>
        <w:t>developed</w:t>
      </w:r>
      <w:r w:rsidR="000E56AB">
        <w:rPr>
          <w:rFonts w:ascii="Times New Roman" w:hAnsi="Times New Roman" w:cs="Times New Roman"/>
          <w:i/>
          <w:iCs/>
        </w:rPr>
        <w:t xml:space="preserve"> by author, implementing knowledge from:</w:t>
      </w:r>
    </w:p>
    <w:p w:rsidR="000E56AB" w:rsidRDefault="000E56AB" w:rsidP="005519EB">
      <w:pPr>
        <w:spacing w:line="276"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(Koop, 2007)</w:t>
      </w:r>
    </w:p>
    <w:p w:rsidR="000E56AB" w:rsidRPr="000E56AB" w:rsidRDefault="000E56AB" w:rsidP="005519EB">
      <w:pPr>
        <w:spacing w:line="276" w:lineRule="auto"/>
        <w:rPr>
          <w:rFonts w:ascii="Times New Roman" w:hAnsi="Times New Roman" w:cs="Times New Roman"/>
        </w:rPr>
      </w:pPr>
      <w:r>
        <w:rPr>
          <w:rFonts w:ascii="Times New Roman" w:hAnsi="Times New Roman" w:cs="Times New Roman"/>
        </w:rPr>
        <w:tab/>
        <w:t>(Sosu et al, 2016)</w:t>
      </w:r>
    </w:p>
    <w:p w:rsidR="0096469E" w:rsidRDefault="0096469E" w:rsidP="005519EB">
      <w:pPr>
        <w:spacing w:line="276" w:lineRule="auto"/>
        <w:rPr>
          <w:rFonts w:ascii="Times New Roman" w:hAnsi="Times New Roman" w:cs="Times New Roman"/>
          <w:b/>
          <w:bCs/>
          <w:color w:val="44546A" w:themeColor="text2"/>
        </w:rPr>
      </w:pPr>
    </w:p>
    <w:p w:rsidR="0096469E" w:rsidRDefault="0096469E" w:rsidP="005519EB">
      <w:pPr>
        <w:spacing w:line="276" w:lineRule="auto"/>
        <w:rPr>
          <w:rFonts w:ascii="Times New Roman" w:hAnsi="Times New Roman" w:cs="Times New Roman"/>
          <w:b/>
          <w:bCs/>
          <w:color w:val="44546A" w:themeColor="text2"/>
        </w:rPr>
      </w:pPr>
    </w:p>
    <w:p w:rsidR="002E3CD2" w:rsidRDefault="002E3CD2" w:rsidP="005519EB">
      <w:pPr>
        <w:spacing w:line="276" w:lineRule="auto"/>
        <w:rPr>
          <w:rFonts w:ascii="Times New Roman" w:hAnsi="Times New Roman" w:cs="Times New Roman"/>
          <w:b/>
          <w:bCs/>
          <w:color w:val="44546A" w:themeColor="text2"/>
        </w:rPr>
      </w:pPr>
    </w:p>
    <w:p w:rsidR="002E3CD2" w:rsidRDefault="002E3CD2" w:rsidP="005519EB">
      <w:pPr>
        <w:spacing w:line="276" w:lineRule="auto"/>
        <w:rPr>
          <w:rFonts w:ascii="Times New Roman" w:hAnsi="Times New Roman" w:cs="Times New Roman"/>
          <w:b/>
          <w:bCs/>
          <w:color w:val="44546A" w:themeColor="text2"/>
        </w:rPr>
      </w:pPr>
    </w:p>
    <w:p w:rsidR="002E3CD2" w:rsidRDefault="002E3CD2" w:rsidP="005519EB">
      <w:pPr>
        <w:spacing w:line="276" w:lineRule="auto"/>
        <w:rPr>
          <w:rFonts w:ascii="Times New Roman" w:hAnsi="Times New Roman" w:cs="Times New Roman"/>
          <w:b/>
          <w:bCs/>
          <w:color w:val="44546A" w:themeColor="text2"/>
        </w:rPr>
      </w:pPr>
    </w:p>
    <w:p w:rsidR="002E3CD2" w:rsidRDefault="002E3CD2" w:rsidP="005519EB">
      <w:pPr>
        <w:spacing w:line="276" w:lineRule="auto"/>
        <w:rPr>
          <w:rFonts w:ascii="Times New Roman" w:hAnsi="Times New Roman" w:cs="Times New Roman"/>
          <w:b/>
          <w:bCs/>
          <w:color w:val="44546A" w:themeColor="text2"/>
        </w:rPr>
      </w:pPr>
    </w:p>
    <w:p w:rsidR="002E3CD2" w:rsidRDefault="002E3CD2" w:rsidP="005519EB">
      <w:pPr>
        <w:spacing w:line="276" w:lineRule="auto"/>
        <w:rPr>
          <w:rFonts w:ascii="Times New Roman" w:hAnsi="Times New Roman" w:cs="Times New Roman"/>
          <w:b/>
          <w:bCs/>
          <w:color w:val="44546A" w:themeColor="text2"/>
        </w:rPr>
      </w:pPr>
    </w:p>
    <w:p w:rsidR="00D170F7" w:rsidRPr="00D90CAB" w:rsidRDefault="00B01F9D" w:rsidP="005519EB">
      <w:pPr>
        <w:spacing w:line="276" w:lineRule="auto"/>
        <w:rPr>
          <w:rFonts w:ascii="Times New Roman" w:hAnsi="Times New Roman" w:cs="Times New Roman"/>
          <w:b/>
          <w:bCs/>
          <w:color w:val="44546A" w:themeColor="text2"/>
        </w:rPr>
      </w:pPr>
      <w:r>
        <w:rPr>
          <w:rFonts w:ascii="Times New Roman" w:hAnsi="Times New Roman" w:cs="Times New Roman"/>
          <w:b/>
          <w:bCs/>
          <w:color w:val="44546A" w:themeColor="text2"/>
        </w:rPr>
        <w:lastRenderedPageBreak/>
        <w:t xml:space="preserve">Appendix 2: </w:t>
      </w:r>
      <w:r w:rsidR="00D170F7">
        <w:rPr>
          <w:rFonts w:ascii="Times New Roman" w:hAnsi="Times New Roman" w:cs="Times New Roman"/>
          <w:b/>
          <w:bCs/>
          <w:color w:val="44546A" w:themeColor="text2"/>
        </w:rPr>
        <w:t>References</w:t>
      </w:r>
    </w:p>
    <w:p w:rsidR="00D170F7" w:rsidRDefault="00D170F7" w:rsidP="005519EB">
      <w:pPr>
        <w:spacing w:line="276" w:lineRule="auto"/>
        <w:rPr>
          <w:rFonts w:ascii="Times New Roman" w:hAnsi="Times New Roman" w:cs="Times New Roman"/>
        </w:rPr>
      </w:pPr>
    </w:p>
    <w:p w:rsidR="00C64711" w:rsidRPr="00C64711" w:rsidRDefault="00C64711" w:rsidP="005519EB">
      <w:pPr>
        <w:spacing w:line="276" w:lineRule="auto"/>
        <w:rPr>
          <w:rFonts w:ascii="Times New Roman" w:hAnsi="Times New Roman" w:cs="Times New Roman"/>
        </w:rPr>
      </w:pPr>
      <w:r>
        <w:rPr>
          <w:rFonts w:ascii="Times New Roman" w:hAnsi="Times New Roman" w:cs="Times New Roman"/>
        </w:rPr>
        <w:t xml:space="preserve">Commission on Widening Access. (2016). </w:t>
      </w:r>
      <w:r>
        <w:rPr>
          <w:rFonts w:ascii="Times New Roman" w:hAnsi="Times New Roman" w:cs="Times New Roman"/>
          <w:i/>
          <w:iCs/>
        </w:rPr>
        <w:t>A Blueprint for Fairness: The Final Report of the Commission on Widening Access.</w:t>
      </w:r>
      <w:r>
        <w:rPr>
          <w:rFonts w:ascii="Times New Roman" w:hAnsi="Times New Roman" w:cs="Times New Roman"/>
        </w:rPr>
        <w:t xml:space="preserve"> Commission on Widening Access</w:t>
      </w:r>
    </w:p>
    <w:p w:rsidR="00C64711" w:rsidRDefault="00C64711" w:rsidP="005519EB">
      <w:pPr>
        <w:spacing w:line="276" w:lineRule="auto"/>
        <w:rPr>
          <w:rFonts w:ascii="Times New Roman" w:hAnsi="Times New Roman" w:cs="Times New Roman"/>
        </w:rPr>
      </w:pPr>
    </w:p>
    <w:p w:rsidR="00634900" w:rsidRDefault="00634900" w:rsidP="005519EB">
      <w:pPr>
        <w:spacing w:line="276" w:lineRule="auto"/>
        <w:rPr>
          <w:rFonts w:ascii="Times New Roman" w:hAnsi="Times New Roman" w:cs="Times New Roman"/>
        </w:rPr>
      </w:pPr>
      <w:r>
        <w:rPr>
          <w:rFonts w:ascii="Times New Roman" w:hAnsi="Times New Roman" w:cs="Times New Roman"/>
        </w:rPr>
        <w:t xml:space="preserve">Hindricks, J., Myles, G. (2013). </w:t>
      </w:r>
      <w:r>
        <w:rPr>
          <w:rFonts w:ascii="Times New Roman" w:hAnsi="Times New Roman" w:cs="Times New Roman"/>
          <w:i/>
          <w:iCs/>
        </w:rPr>
        <w:t>Intermediate Public Economics.</w:t>
      </w:r>
      <w:r>
        <w:rPr>
          <w:rFonts w:ascii="Times New Roman" w:hAnsi="Times New Roman" w:cs="Times New Roman"/>
        </w:rPr>
        <w:t xml:space="preserve"> MIT Press 2</w:t>
      </w:r>
      <w:r w:rsidRPr="00634900">
        <w:rPr>
          <w:rFonts w:ascii="Times New Roman" w:hAnsi="Times New Roman" w:cs="Times New Roman"/>
          <w:vertAlign w:val="superscript"/>
        </w:rPr>
        <w:t>nd</w:t>
      </w:r>
      <w:r>
        <w:rPr>
          <w:rFonts w:ascii="Times New Roman" w:hAnsi="Times New Roman" w:cs="Times New Roman"/>
        </w:rPr>
        <w:t xml:space="preserve"> Edition</w:t>
      </w:r>
    </w:p>
    <w:p w:rsidR="0089108D" w:rsidRDefault="0089108D" w:rsidP="005519EB">
      <w:pPr>
        <w:spacing w:line="276" w:lineRule="auto"/>
        <w:rPr>
          <w:rFonts w:ascii="Times New Roman" w:hAnsi="Times New Roman" w:cs="Times New Roman"/>
        </w:rPr>
      </w:pPr>
    </w:p>
    <w:p w:rsidR="0089108D" w:rsidRPr="0089108D" w:rsidRDefault="0089108D" w:rsidP="005519EB">
      <w:pPr>
        <w:spacing w:line="276" w:lineRule="auto"/>
        <w:rPr>
          <w:rFonts w:ascii="Times New Roman" w:hAnsi="Times New Roman" w:cs="Times New Roman"/>
        </w:rPr>
      </w:pPr>
      <w:r>
        <w:rPr>
          <w:rFonts w:ascii="Times New Roman" w:hAnsi="Times New Roman" w:cs="Times New Roman"/>
        </w:rPr>
        <w:t>Hoxby, C. (1999).</w:t>
      </w:r>
      <w:r>
        <w:rPr>
          <w:rFonts w:ascii="Times New Roman" w:hAnsi="Times New Roman" w:cs="Times New Roman"/>
          <w:i/>
          <w:iCs/>
        </w:rPr>
        <w:t xml:space="preserve"> The Productivity of Schools and Other Local Public Goods Producers. </w:t>
      </w:r>
      <w:r>
        <w:rPr>
          <w:rFonts w:ascii="Times New Roman" w:hAnsi="Times New Roman" w:cs="Times New Roman"/>
        </w:rPr>
        <w:t>Journal of Public Economics</w:t>
      </w:r>
    </w:p>
    <w:p w:rsidR="00634900" w:rsidRDefault="00634900" w:rsidP="005519EB">
      <w:pPr>
        <w:spacing w:line="276" w:lineRule="auto"/>
        <w:rPr>
          <w:rFonts w:ascii="Times New Roman" w:hAnsi="Times New Roman" w:cs="Times New Roman"/>
        </w:rPr>
      </w:pPr>
    </w:p>
    <w:p w:rsidR="00A85902" w:rsidRPr="00A85902" w:rsidRDefault="00A85902" w:rsidP="005519EB">
      <w:pPr>
        <w:spacing w:line="276" w:lineRule="auto"/>
        <w:rPr>
          <w:rFonts w:ascii="Times New Roman" w:hAnsi="Times New Roman" w:cs="Times New Roman"/>
        </w:rPr>
      </w:pPr>
      <w:r>
        <w:rPr>
          <w:rFonts w:ascii="Times New Roman" w:hAnsi="Times New Roman" w:cs="Times New Roman"/>
        </w:rPr>
        <w:t xml:space="preserve">Howieson, C., Lannelli, C. (2008). </w:t>
      </w:r>
      <w:r>
        <w:rPr>
          <w:rFonts w:ascii="Times New Roman" w:hAnsi="Times New Roman" w:cs="Times New Roman"/>
          <w:i/>
          <w:iCs/>
        </w:rPr>
        <w:t>The Effects of Low Attainment on Young People’s Outcomes at Age 22-23 in Scotland.</w:t>
      </w:r>
      <w:r>
        <w:rPr>
          <w:rFonts w:ascii="Times New Roman" w:hAnsi="Times New Roman" w:cs="Times New Roman"/>
        </w:rPr>
        <w:t xml:space="preserve"> British Educational Research Journal </w:t>
      </w:r>
    </w:p>
    <w:p w:rsidR="00A85902" w:rsidRDefault="00A85902" w:rsidP="005519EB">
      <w:pPr>
        <w:spacing w:line="276" w:lineRule="auto"/>
        <w:rPr>
          <w:rFonts w:ascii="Times New Roman" w:hAnsi="Times New Roman" w:cs="Times New Roman"/>
        </w:rPr>
      </w:pPr>
    </w:p>
    <w:p w:rsidR="00A727D6" w:rsidRDefault="00A727D6" w:rsidP="005519EB">
      <w:pPr>
        <w:spacing w:line="276" w:lineRule="auto"/>
        <w:rPr>
          <w:rFonts w:ascii="Times New Roman" w:hAnsi="Times New Roman" w:cs="Times New Roman"/>
          <w:i/>
          <w:iCs/>
        </w:rPr>
      </w:pPr>
      <w:r>
        <w:rPr>
          <w:rFonts w:ascii="Times New Roman" w:hAnsi="Times New Roman" w:cs="Times New Roman"/>
        </w:rPr>
        <w:t xml:space="preserve">Koop, G. (2007). </w:t>
      </w:r>
      <w:r>
        <w:rPr>
          <w:rFonts w:ascii="Times New Roman" w:hAnsi="Times New Roman" w:cs="Times New Roman"/>
          <w:i/>
          <w:iCs/>
        </w:rPr>
        <w:t>Introduction to Econometrics.</w:t>
      </w:r>
      <w:r>
        <w:rPr>
          <w:rFonts w:ascii="Times New Roman" w:hAnsi="Times New Roman" w:cs="Times New Roman"/>
        </w:rPr>
        <w:t xml:space="preserve"> John Wiley and Sons </w:t>
      </w:r>
    </w:p>
    <w:p w:rsidR="0097054E" w:rsidRPr="0097054E" w:rsidRDefault="0097054E" w:rsidP="005519EB">
      <w:pPr>
        <w:spacing w:line="276" w:lineRule="auto"/>
        <w:rPr>
          <w:rFonts w:ascii="Times New Roman" w:hAnsi="Times New Roman" w:cs="Times New Roman"/>
        </w:rPr>
      </w:pPr>
    </w:p>
    <w:p w:rsidR="0097054E" w:rsidRDefault="0097054E" w:rsidP="005519EB">
      <w:pPr>
        <w:tabs>
          <w:tab w:val="left" w:pos="2304"/>
        </w:tabs>
        <w:spacing w:line="276" w:lineRule="auto"/>
        <w:rPr>
          <w:rFonts w:ascii="Times New Roman" w:hAnsi="Times New Roman" w:cs="Times New Roman"/>
        </w:rPr>
      </w:pPr>
      <w:r>
        <w:rPr>
          <w:rFonts w:ascii="Times New Roman" w:hAnsi="Times New Roman" w:cs="Times New Roman"/>
        </w:rPr>
        <w:t xml:space="preserve">MacLeod, W., Urquiola, M. (2009). </w:t>
      </w:r>
      <w:r w:rsidRPr="0097054E">
        <w:rPr>
          <w:rFonts w:ascii="Times New Roman" w:hAnsi="Times New Roman" w:cs="Times New Roman"/>
          <w:i/>
          <w:iCs/>
        </w:rPr>
        <w:t xml:space="preserve">Anti-Lemons: School Reputation &amp; Educational Equality. </w:t>
      </w:r>
      <w:r>
        <w:rPr>
          <w:rFonts w:ascii="Times New Roman" w:hAnsi="Times New Roman" w:cs="Times New Roman"/>
        </w:rPr>
        <w:t>The National Bureau of Economic Research</w:t>
      </w:r>
    </w:p>
    <w:p w:rsidR="00B01F9D" w:rsidRDefault="00B01F9D" w:rsidP="005519EB">
      <w:pPr>
        <w:tabs>
          <w:tab w:val="left" w:pos="2304"/>
        </w:tabs>
        <w:spacing w:line="276" w:lineRule="auto"/>
        <w:rPr>
          <w:rFonts w:ascii="Times New Roman" w:hAnsi="Times New Roman" w:cs="Times New Roman"/>
        </w:rPr>
      </w:pPr>
    </w:p>
    <w:p w:rsidR="000D34BB" w:rsidRPr="000D34BB" w:rsidRDefault="000D34BB" w:rsidP="005519EB">
      <w:pPr>
        <w:tabs>
          <w:tab w:val="left" w:pos="2304"/>
        </w:tabs>
        <w:spacing w:line="276" w:lineRule="auto"/>
        <w:rPr>
          <w:rFonts w:ascii="Times New Roman" w:hAnsi="Times New Roman" w:cs="Times New Roman"/>
        </w:rPr>
      </w:pPr>
      <w:r>
        <w:rPr>
          <w:rFonts w:ascii="Times New Roman" w:hAnsi="Times New Roman" w:cs="Times New Roman"/>
        </w:rPr>
        <w:t>Martin, J. (2010).</w:t>
      </w:r>
      <w:r>
        <w:rPr>
          <w:rFonts w:ascii="Times New Roman" w:hAnsi="Times New Roman" w:cs="Times New Roman"/>
          <w:i/>
          <w:iCs/>
        </w:rPr>
        <w:t xml:space="preserve"> Stigma and Student Mental Health in Higher Education. </w:t>
      </w:r>
      <w:r>
        <w:rPr>
          <w:rFonts w:ascii="Times New Roman" w:hAnsi="Times New Roman" w:cs="Times New Roman"/>
        </w:rPr>
        <w:t>Journal of Higher Education research &amp; Development</w:t>
      </w:r>
    </w:p>
    <w:p w:rsidR="000D34BB" w:rsidRDefault="000D34BB" w:rsidP="005519EB">
      <w:pPr>
        <w:tabs>
          <w:tab w:val="left" w:pos="2304"/>
        </w:tabs>
        <w:spacing w:line="276" w:lineRule="auto"/>
        <w:rPr>
          <w:rFonts w:ascii="Times New Roman" w:hAnsi="Times New Roman" w:cs="Times New Roman"/>
        </w:rPr>
      </w:pPr>
    </w:p>
    <w:p w:rsidR="00864715" w:rsidRDefault="00864715" w:rsidP="005519EB">
      <w:pPr>
        <w:tabs>
          <w:tab w:val="left" w:pos="2304"/>
        </w:tabs>
        <w:spacing w:line="276" w:lineRule="auto"/>
        <w:rPr>
          <w:rFonts w:ascii="Times New Roman" w:hAnsi="Times New Roman" w:cs="Times New Roman"/>
        </w:rPr>
      </w:pPr>
      <w:r>
        <w:rPr>
          <w:rFonts w:ascii="Times New Roman" w:hAnsi="Times New Roman" w:cs="Times New Roman"/>
        </w:rPr>
        <w:t xml:space="preserve">Parsons, S., Bynner, J. (2007). </w:t>
      </w:r>
      <w:r w:rsidRPr="00864715">
        <w:rPr>
          <w:rFonts w:ascii="Times New Roman" w:hAnsi="Times New Roman" w:cs="Times New Roman"/>
          <w:i/>
          <w:iCs/>
        </w:rPr>
        <w:t>Illuminating Disadvantage: Profiling the Experiences of Adults with Every Level Literacy or numeracy Over the Lifecourse.</w:t>
      </w:r>
      <w:r>
        <w:rPr>
          <w:rFonts w:ascii="Times New Roman" w:hAnsi="Times New Roman" w:cs="Times New Roman"/>
        </w:rPr>
        <w:t xml:space="preserve"> National Research and Development Centre for Adult Literacy and Numeracy </w:t>
      </w:r>
    </w:p>
    <w:p w:rsidR="00864715" w:rsidRDefault="00864715" w:rsidP="005519EB">
      <w:pPr>
        <w:tabs>
          <w:tab w:val="left" w:pos="2304"/>
        </w:tabs>
        <w:spacing w:line="276" w:lineRule="auto"/>
        <w:rPr>
          <w:rFonts w:ascii="Times New Roman" w:hAnsi="Times New Roman" w:cs="Times New Roman"/>
        </w:rPr>
      </w:pPr>
    </w:p>
    <w:p w:rsidR="006536F1" w:rsidRPr="006536F1" w:rsidRDefault="006536F1" w:rsidP="005519EB">
      <w:pPr>
        <w:tabs>
          <w:tab w:val="left" w:pos="2304"/>
        </w:tabs>
        <w:spacing w:line="276" w:lineRule="auto"/>
        <w:rPr>
          <w:rFonts w:ascii="Times New Roman" w:hAnsi="Times New Roman" w:cs="Times New Roman"/>
        </w:rPr>
      </w:pPr>
      <w:r>
        <w:rPr>
          <w:rFonts w:ascii="Times New Roman" w:hAnsi="Times New Roman" w:cs="Times New Roman"/>
        </w:rPr>
        <w:t xml:space="preserve">Powis, D., James, D., Ferguson, E. (2007). </w:t>
      </w:r>
      <w:r>
        <w:rPr>
          <w:rFonts w:ascii="Times New Roman" w:hAnsi="Times New Roman" w:cs="Times New Roman"/>
          <w:i/>
          <w:iCs/>
        </w:rPr>
        <w:t xml:space="preserve">Demographic and Socio-Economic Associations with Academic Attainment (UCAS Tariff Scores) in Applicants to Medical School. </w:t>
      </w:r>
      <w:r>
        <w:rPr>
          <w:rFonts w:ascii="Times New Roman" w:hAnsi="Times New Roman" w:cs="Times New Roman"/>
        </w:rPr>
        <w:t xml:space="preserve">Medical Education </w:t>
      </w:r>
    </w:p>
    <w:p w:rsidR="006536F1" w:rsidRDefault="006536F1" w:rsidP="005519EB">
      <w:pPr>
        <w:tabs>
          <w:tab w:val="left" w:pos="2304"/>
        </w:tabs>
        <w:spacing w:line="276" w:lineRule="auto"/>
        <w:rPr>
          <w:rFonts w:ascii="Times New Roman" w:hAnsi="Times New Roman" w:cs="Times New Roman"/>
        </w:rPr>
      </w:pPr>
    </w:p>
    <w:p w:rsidR="004243B7" w:rsidRPr="004243B7" w:rsidRDefault="004243B7" w:rsidP="005519EB">
      <w:pPr>
        <w:tabs>
          <w:tab w:val="left" w:pos="2304"/>
        </w:tabs>
        <w:spacing w:line="276" w:lineRule="auto"/>
        <w:rPr>
          <w:rFonts w:ascii="Times New Roman" w:hAnsi="Times New Roman" w:cs="Times New Roman"/>
        </w:rPr>
      </w:pPr>
      <w:r>
        <w:rPr>
          <w:rFonts w:ascii="Times New Roman" w:hAnsi="Times New Roman" w:cs="Times New Roman"/>
        </w:rPr>
        <w:t xml:space="preserve">Scottish Funding Council (2014). </w:t>
      </w:r>
      <w:r>
        <w:rPr>
          <w:rFonts w:ascii="Times New Roman" w:hAnsi="Times New Roman" w:cs="Times New Roman"/>
          <w:i/>
          <w:iCs/>
        </w:rPr>
        <w:t>Schools for Higher Education Programme: 2014 Review of Activity: Final Report.</w:t>
      </w:r>
      <w:r>
        <w:rPr>
          <w:rFonts w:ascii="Times New Roman" w:hAnsi="Times New Roman" w:cs="Times New Roman"/>
        </w:rPr>
        <w:t xml:space="preserve"> Edinburgh: Scottish Funding Council</w:t>
      </w:r>
    </w:p>
    <w:p w:rsidR="004243B7" w:rsidRDefault="004243B7" w:rsidP="005519EB">
      <w:pPr>
        <w:tabs>
          <w:tab w:val="left" w:pos="2304"/>
        </w:tabs>
        <w:spacing w:line="276" w:lineRule="auto"/>
        <w:rPr>
          <w:rFonts w:ascii="Times New Roman" w:hAnsi="Times New Roman" w:cs="Times New Roman"/>
        </w:rPr>
      </w:pPr>
    </w:p>
    <w:p w:rsidR="00B01F9D" w:rsidRDefault="00B01F9D" w:rsidP="005519EB">
      <w:pPr>
        <w:tabs>
          <w:tab w:val="left" w:pos="2304"/>
        </w:tabs>
        <w:spacing w:line="276" w:lineRule="auto"/>
        <w:rPr>
          <w:rFonts w:ascii="Times New Roman" w:hAnsi="Times New Roman" w:cs="Times New Roman"/>
        </w:rPr>
      </w:pPr>
      <w:r>
        <w:rPr>
          <w:rFonts w:ascii="Times New Roman" w:hAnsi="Times New Roman" w:cs="Times New Roman"/>
        </w:rPr>
        <w:t xml:space="preserve">Sosu, E., Ellis, S. (2014). </w:t>
      </w:r>
      <w:r>
        <w:rPr>
          <w:rFonts w:ascii="Times New Roman" w:hAnsi="Times New Roman" w:cs="Times New Roman"/>
          <w:i/>
          <w:iCs/>
        </w:rPr>
        <w:t xml:space="preserve">Closing the Attainment Gap in Scottish Education. </w:t>
      </w:r>
      <w:r>
        <w:rPr>
          <w:rFonts w:ascii="Times New Roman" w:hAnsi="Times New Roman" w:cs="Times New Roman"/>
        </w:rPr>
        <w:t>Joseph Rowntree Foundation</w:t>
      </w:r>
    </w:p>
    <w:p w:rsidR="008F78C5" w:rsidRDefault="008F78C5" w:rsidP="005519EB">
      <w:pPr>
        <w:tabs>
          <w:tab w:val="left" w:pos="2304"/>
        </w:tabs>
        <w:spacing w:line="276" w:lineRule="auto"/>
        <w:rPr>
          <w:rFonts w:ascii="Times New Roman" w:hAnsi="Times New Roman" w:cs="Times New Roman"/>
        </w:rPr>
      </w:pPr>
    </w:p>
    <w:p w:rsidR="008F78C5" w:rsidRPr="008F78C5" w:rsidRDefault="008F78C5" w:rsidP="005519EB">
      <w:pPr>
        <w:tabs>
          <w:tab w:val="left" w:pos="2304"/>
        </w:tabs>
        <w:spacing w:line="276" w:lineRule="auto"/>
        <w:rPr>
          <w:rFonts w:ascii="Times New Roman" w:hAnsi="Times New Roman" w:cs="Times New Roman"/>
        </w:rPr>
      </w:pPr>
      <w:r>
        <w:rPr>
          <w:rFonts w:ascii="Times New Roman" w:hAnsi="Times New Roman" w:cs="Times New Roman"/>
        </w:rPr>
        <w:t xml:space="preserve">Sosu, E., Smith, L., McKendry, Santoro, N., Ellis, S. (2016). </w:t>
      </w:r>
      <w:r>
        <w:rPr>
          <w:rFonts w:ascii="Times New Roman" w:hAnsi="Times New Roman" w:cs="Times New Roman"/>
          <w:i/>
          <w:iCs/>
        </w:rPr>
        <w:t>Widening Access to Higher Education for Students for, Economically Disadvantaged Backgrounds.</w:t>
      </w:r>
      <w:r>
        <w:rPr>
          <w:rFonts w:ascii="Times New Roman" w:hAnsi="Times New Roman" w:cs="Times New Roman"/>
        </w:rPr>
        <w:t xml:space="preserve"> University of Strathclyde</w:t>
      </w:r>
    </w:p>
    <w:sectPr w:rsidR="008F78C5" w:rsidRPr="008F78C5" w:rsidSect="005D1AD0">
      <w:footerReference w:type="even" r:id="rId11"/>
      <w:footerReference w:type="default" r:id="rId1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1B1" w:rsidRDefault="00BA41B1" w:rsidP="00A16D76">
      <w:r>
        <w:separator/>
      </w:r>
    </w:p>
  </w:endnote>
  <w:endnote w:type="continuationSeparator" w:id="0">
    <w:p w:rsidR="00BA41B1" w:rsidRDefault="00BA41B1" w:rsidP="00A1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4730880"/>
      <w:docPartObj>
        <w:docPartGallery w:val="Page Numbers (Bottom of Page)"/>
        <w:docPartUnique/>
      </w:docPartObj>
    </w:sdtPr>
    <w:sdtEndPr>
      <w:rPr>
        <w:rStyle w:val="PageNumber"/>
      </w:rPr>
    </w:sdtEndPr>
    <w:sdtContent>
      <w:p w:rsidR="001A71DF" w:rsidRDefault="001A71DF" w:rsidP="001A71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A71DF" w:rsidRDefault="001A71DF" w:rsidP="00A16D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820371"/>
      <w:docPartObj>
        <w:docPartGallery w:val="Page Numbers (Bottom of Page)"/>
        <w:docPartUnique/>
      </w:docPartObj>
    </w:sdtPr>
    <w:sdtEndPr>
      <w:rPr>
        <w:rStyle w:val="PageNumber"/>
      </w:rPr>
    </w:sdtEndPr>
    <w:sdtContent>
      <w:p w:rsidR="001A71DF" w:rsidRDefault="001A71DF" w:rsidP="001A71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A71DF" w:rsidRDefault="001A71DF" w:rsidP="00A16D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1B1" w:rsidRDefault="00BA41B1" w:rsidP="00A16D76">
      <w:r>
        <w:separator/>
      </w:r>
    </w:p>
  </w:footnote>
  <w:footnote w:type="continuationSeparator" w:id="0">
    <w:p w:rsidR="00BA41B1" w:rsidRDefault="00BA41B1" w:rsidP="00A16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13803"/>
    <w:multiLevelType w:val="hybridMultilevel"/>
    <w:tmpl w:val="1638B180"/>
    <w:lvl w:ilvl="0" w:tplc="FA927F5A">
      <w:numFmt w:val="bullet"/>
      <w:lvlText w:val="-"/>
      <w:lvlJc w:val="left"/>
      <w:pPr>
        <w:ind w:left="360" w:hanging="360"/>
      </w:pPr>
      <w:rPr>
        <w:rFonts w:ascii="CMU Serif Roman" w:eastAsiaTheme="minorHAnsi" w:hAnsi="CMU Serif Roman" w:cs="CMU Serif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A291C38"/>
    <w:multiLevelType w:val="hybridMultilevel"/>
    <w:tmpl w:val="5C523796"/>
    <w:lvl w:ilvl="0" w:tplc="E69477D4">
      <w:numFmt w:val="bullet"/>
      <w:lvlText w:val="-"/>
      <w:lvlJc w:val="left"/>
      <w:pPr>
        <w:ind w:left="720" w:hanging="360"/>
      </w:pPr>
      <w:rPr>
        <w:rFonts w:ascii="CMU Serif Roman" w:eastAsiaTheme="minorHAnsi"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F5C43"/>
    <w:multiLevelType w:val="hybridMultilevel"/>
    <w:tmpl w:val="478AC642"/>
    <w:lvl w:ilvl="0" w:tplc="31DE7726">
      <w:numFmt w:val="bullet"/>
      <w:lvlText w:val="-"/>
      <w:lvlJc w:val="left"/>
      <w:pPr>
        <w:ind w:left="720" w:hanging="360"/>
      </w:pPr>
      <w:rPr>
        <w:rFonts w:ascii="CMU Serif Roman" w:eastAsiaTheme="minorHAnsi" w:hAnsi="CMU Serif Roman"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C36CA3"/>
    <w:multiLevelType w:val="hybridMultilevel"/>
    <w:tmpl w:val="02747D8A"/>
    <w:lvl w:ilvl="0" w:tplc="4E14CB68">
      <w:numFmt w:val="bullet"/>
      <w:lvlText w:val="-"/>
      <w:lvlJc w:val="left"/>
      <w:pPr>
        <w:ind w:left="440" w:hanging="360"/>
      </w:pPr>
      <w:rPr>
        <w:rFonts w:ascii="CMU Serif Roman" w:eastAsiaTheme="minorHAnsi" w:hAnsi="CMU Serif Roman" w:cs="CMU Serif Roman"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98"/>
    <w:rsid w:val="0001618D"/>
    <w:rsid w:val="00056C13"/>
    <w:rsid w:val="000633B0"/>
    <w:rsid w:val="0006730C"/>
    <w:rsid w:val="00091F3A"/>
    <w:rsid w:val="000A1DB5"/>
    <w:rsid w:val="000C524B"/>
    <w:rsid w:val="000D34BB"/>
    <w:rsid w:val="000E56AB"/>
    <w:rsid w:val="0012668E"/>
    <w:rsid w:val="00141D24"/>
    <w:rsid w:val="00143152"/>
    <w:rsid w:val="001A71DF"/>
    <w:rsid w:val="001B4BCE"/>
    <w:rsid w:val="001C6B30"/>
    <w:rsid w:val="001D5687"/>
    <w:rsid w:val="001D5705"/>
    <w:rsid w:val="00214C81"/>
    <w:rsid w:val="0022422D"/>
    <w:rsid w:val="0025359B"/>
    <w:rsid w:val="00261BD9"/>
    <w:rsid w:val="00272A42"/>
    <w:rsid w:val="00283BD1"/>
    <w:rsid w:val="00290EBE"/>
    <w:rsid w:val="002B0451"/>
    <w:rsid w:val="002D2333"/>
    <w:rsid w:val="002E3CD2"/>
    <w:rsid w:val="00304E67"/>
    <w:rsid w:val="00340A00"/>
    <w:rsid w:val="00353F24"/>
    <w:rsid w:val="003703D9"/>
    <w:rsid w:val="0037708D"/>
    <w:rsid w:val="00382BDC"/>
    <w:rsid w:val="00392B11"/>
    <w:rsid w:val="003A02B5"/>
    <w:rsid w:val="003B44FA"/>
    <w:rsid w:val="003B6158"/>
    <w:rsid w:val="003E4B1F"/>
    <w:rsid w:val="00400A64"/>
    <w:rsid w:val="004243B7"/>
    <w:rsid w:val="00443F4A"/>
    <w:rsid w:val="004603B0"/>
    <w:rsid w:val="00464E02"/>
    <w:rsid w:val="0046549A"/>
    <w:rsid w:val="00486B8A"/>
    <w:rsid w:val="004B3AC1"/>
    <w:rsid w:val="004C5AEE"/>
    <w:rsid w:val="004D28FE"/>
    <w:rsid w:val="004F1EC7"/>
    <w:rsid w:val="004F5397"/>
    <w:rsid w:val="00522FD2"/>
    <w:rsid w:val="005240B1"/>
    <w:rsid w:val="0053103D"/>
    <w:rsid w:val="00536FAF"/>
    <w:rsid w:val="00543D04"/>
    <w:rsid w:val="005519EB"/>
    <w:rsid w:val="00562619"/>
    <w:rsid w:val="00566794"/>
    <w:rsid w:val="00577C59"/>
    <w:rsid w:val="005A6E04"/>
    <w:rsid w:val="005C0490"/>
    <w:rsid w:val="005C69B0"/>
    <w:rsid w:val="005D177F"/>
    <w:rsid w:val="005D1AD0"/>
    <w:rsid w:val="005E7ABD"/>
    <w:rsid w:val="005F3502"/>
    <w:rsid w:val="00602389"/>
    <w:rsid w:val="006122CA"/>
    <w:rsid w:val="0061430A"/>
    <w:rsid w:val="00634900"/>
    <w:rsid w:val="00635BC9"/>
    <w:rsid w:val="00642DFA"/>
    <w:rsid w:val="006536F1"/>
    <w:rsid w:val="006671D5"/>
    <w:rsid w:val="00672F44"/>
    <w:rsid w:val="00687A3F"/>
    <w:rsid w:val="00692142"/>
    <w:rsid w:val="00694ABB"/>
    <w:rsid w:val="006C4F2B"/>
    <w:rsid w:val="006D4648"/>
    <w:rsid w:val="006E374F"/>
    <w:rsid w:val="006E51B1"/>
    <w:rsid w:val="006F0286"/>
    <w:rsid w:val="006F7B5E"/>
    <w:rsid w:val="00706390"/>
    <w:rsid w:val="00712F87"/>
    <w:rsid w:val="00716933"/>
    <w:rsid w:val="0074250E"/>
    <w:rsid w:val="007427CF"/>
    <w:rsid w:val="00744AF3"/>
    <w:rsid w:val="00745071"/>
    <w:rsid w:val="00757D15"/>
    <w:rsid w:val="007A3050"/>
    <w:rsid w:val="007A4612"/>
    <w:rsid w:val="007C2314"/>
    <w:rsid w:val="007C253D"/>
    <w:rsid w:val="007F0760"/>
    <w:rsid w:val="007F0E70"/>
    <w:rsid w:val="008007F7"/>
    <w:rsid w:val="0081370A"/>
    <w:rsid w:val="00841BC4"/>
    <w:rsid w:val="00842001"/>
    <w:rsid w:val="00844EAA"/>
    <w:rsid w:val="00864715"/>
    <w:rsid w:val="0087243E"/>
    <w:rsid w:val="00883F5C"/>
    <w:rsid w:val="0089108D"/>
    <w:rsid w:val="00892F50"/>
    <w:rsid w:val="00894701"/>
    <w:rsid w:val="008A4E3F"/>
    <w:rsid w:val="008B132C"/>
    <w:rsid w:val="008B43DB"/>
    <w:rsid w:val="008D12D5"/>
    <w:rsid w:val="008D7AC5"/>
    <w:rsid w:val="008F32B7"/>
    <w:rsid w:val="008F78C5"/>
    <w:rsid w:val="00903029"/>
    <w:rsid w:val="00905C17"/>
    <w:rsid w:val="00913407"/>
    <w:rsid w:val="00916CD3"/>
    <w:rsid w:val="00922998"/>
    <w:rsid w:val="0093336C"/>
    <w:rsid w:val="00935700"/>
    <w:rsid w:val="0094132A"/>
    <w:rsid w:val="009437A1"/>
    <w:rsid w:val="009446A4"/>
    <w:rsid w:val="00962B43"/>
    <w:rsid w:val="0096469E"/>
    <w:rsid w:val="0097054E"/>
    <w:rsid w:val="009C1783"/>
    <w:rsid w:val="009C2279"/>
    <w:rsid w:val="009D02A8"/>
    <w:rsid w:val="009D3329"/>
    <w:rsid w:val="009D3B98"/>
    <w:rsid w:val="009E415F"/>
    <w:rsid w:val="009F7330"/>
    <w:rsid w:val="00A02B59"/>
    <w:rsid w:val="00A04102"/>
    <w:rsid w:val="00A151D8"/>
    <w:rsid w:val="00A16D76"/>
    <w:rsid w:val="00A47364"/>
    <w:rsid w:val="00A66982"/>
    <w:rsid w:val="00A7118D"/>
    <w:rsid w:val="00A727D6"/>
    <w:rsid w:val="00A82FB1"/>
    <w:rsid w:val="00A83AB9"/>
    <w:rsid w:val="00A85902"/>
    <w:rsid w:val="00A900C5"/>
    <w:rsid w:val="00A96132"/>
    <w:rsid w:val="00AB2EF2"/>
    <w:rsid w:val="00AB5D50"/>
    <w:rsid w:val="00AD4325"/>
    <w:rsid w:val="00AF482C"/>
    <w:rsid w:val="00B01F9D"/>
    <w:rsid w:val="00B1545C"/>
    <w:rsid w:val="00B51C72"/>
    <w:rsid w:val="00B713C9"/>
    <w:rsid w:val="00B86D0B"/>
    <w:rsid w:val="00BA41B1"/>
    <w:rsid w:val="00BA5DF8"/>
    <w:rsid w:val="00BA6AE1"/>
    <w:rsid w:val="00BA6F99"/>
    <w:rsid w:val="00BB3DD9"/>
    <w:rsid w:val="00BC63C7"/>
    <w:rsid w:val="00BC7723"/>
    <w:rsid w:val="00BE4E88"/>
    <w:rsid w:val="00BF7E6A"/>
    <w:rsid w:val="00C1396F"/>
    <w:rsid w:val="00C16F14"/>
    <w:rsid w:val="00C2359D"/>
    <w:rsid w:val="00C24CE3"/>
    <w:rsid w:val="00C45ADF"/>
    <w:rsid w:val="00C526EA"/>
    <w:rsid w:val="00C57380"/>
    <w:rsid w:val="00C64711"/>
    <w:rsid w:val="00C747EF"/>
    <w:rsid w:val="00C75039"/>
    <w:rsid w:val="00C83490"/>
    <w:rsid w:val="00C95251"/>
    <w:rsid w:val="00C97E00"/>
    <w:rsid w:val="00CA7C59"/>
    <w:rsid w:val="00CB6E9F"/>
    <w:rsid w:val="00CD0DB0"/>
    <w:rsid w:val="00CF0B69"/>
    <w:rsid w:val="00CF2497"/>
    <w:rsid w:val="00CF457F"/>
    <w:rsid w:val="00D170F7"/>
    <w:rsid w:val="00D21C5C"/>
    <w:rsid w:val="00D238B2"/>
    <w:rsid w:val="00D366A1"/>
    <w:rsid w:val="00D378BC"/>
    <w:rsid w:val="00D40E42"/>
    <w:rsid w:val="00D6634C"/>
    <w:rsid w:val="00D72B41"/>
    <w:rsid w:val="00D74A97"/>
    <w:rsid w:val="00D8224E"/>
    <w:rsid w:val="00D86236"/>
    <w:rsid w:val="00D90CAB"/>
    <w:rsid w:val="00DB2259"/>
    <w:rsid w:val="00DB30F8"/>
    <w:rsid w:val="00DB64F0"/>
    <w:rsid w:val="00DC148D"/>
    <w:rsid w:val="00DE6176"/>
    <w:rsid w:val="00DF3215"/>
    <w:rsid w:val="00DF3CDD"/>
    <w:rsid w:val="00E02385"/>
    <w:rsid w:val="00E025CC"/>
    <w:rsid w:val="00E103F6"/>
    <w:rsid w:val="00E278CA"/>
    <w:rsid w:val="00E301D1"/>
    <w:rsid w:val="00E52E6F"/>
    <w:rsid w:val="00E72706"/>
    <w:rsid w:val="00E72A9E"/>
    <w:rsid w:val="00E827A0"/>
    <w:rsid w:val="00E8298D"/>
    <w:rsid w:val="00EB3A8A"/>
    <w:rsid w:val="00EB6FE3"/>
    <w:rsid w:val="00EC1401"/>
    <w:rsid w:val="00ED7759"/>
    <w:rsid w:val="00F0450C"/>
    <w:rsid w:val="00F15415"/>
    <w:rsid w:val="00F2622C"/>
    <w:rsid w:val="00F3328C"/>
    <w:rsid w:val="00F33A8C"/>
    <w:rsid w:val="00F33DD4"/>
    <w:rsid w:val="00F6260A"/>
    <w:rsid w:val="00F65C3C"/>
    <w:rsid w:val="00F85C95"/>
    <w:rsid w:val="00FB3151"/>
    <w:rsid w:val="00FC5490"/>
    <w:rsid w:val="00FC7E54"/>
    <w:rsid w:val="00FD2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2AFBD504-AD29-594B-A679-8E27C209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Roman" w:eastAsiaTheme="minorHAnsi" w:hAnsi="CMU Serif Roman" w:cs="CMU Serif Roman"/>
        <w:color w:val="000000" w:themeColor="text1"/>
        <w:spacing w:val="5"/>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723"/>
    <w:pPr>
      <w:ind w:left="720"/>
      <w:contextualSpacing/>
    </w:pPr>
  </w:style>
  <w:style w:type="paragraph" w:styleId="Footer">
    <w:name w:val="footer"/>
    <w:basedOn w:val="Normal"/>
    <w:link w:val="FooterChar"/>
    <w:uiPriority w:val="99"/>
    <w:unhideWhenUsed/>
    <w:rsid w:val="00A16D76"/>
    <w:pPr>
      <w:tabs>
        <w:tab w:val="center" w:pos="4680"/>
        <w:tab w:val="right" w:pos="9360"/>
      </w:tabs>
    </w:pPr>
  </w:style>
  <w:style w:type="character" w:customStyle="1" w:styleId="FooterChar">
    <w:name w:val="Footer Char"/>
    <w:basedOn w:val="DefaultParagraphFont"/>
    <w:link w:val="Footer"/>
    <w:uiPriority w:val="99"/>
    <w:rsid w:val="00A16D76"/>
  </w:style>
  <w:style w:type="character" w:styleId="PageNumber">
    <w:name w:val="page number"/>
    <w:basedOn w:val="DefaultParagraphFont"/>
    <w:uiPriority w:val="99"/>
    <w:semiHidden/>
    <w:unhideWhenUsed/>
    <w:rsid w:val="00A16D76"/>
  </w:style>
  <w:style w:type="paragraph" w:styleId="Header">
    <w:name w:val="header"/>
    <w:basedOn w:val="Normal"/>
    <w:link w:val="HeaderChar"/>
    <w:uiPriority w:val="99"/>
    <w:unhideWhenUsed/>
    <w:rsid w:val="00D74A97"/>
    <w:pPr>
      <w:tabs>
        <w:tab w:val="center" w:pos="4680"/>
        <w:tab w:val="right" w:pos="9360"/>
      </w:tabs>
    </w:pPr>
  </w:style>
  <w:style w:type="character" w:customStyle="1" w:styleId="HeaderChar">
    <w:name w:val="Header Char"/>
    <w:basedOn w:val="DefaultParagraphFont"/>
    <w:link w:val="Header"/>
    <w:uiPriority w:val="99"/>
    <w:rsid w:val="00D74A97"/>
  </w:style>
  <w:style w:type="character" w:styleId="PlaceholderText">
    <w:name w:val="Placeholder Text"/>
    <w:basedOn w:val="DefaultParagraphFont"/>
    <w:uiPriority w:val="99"/>
    <w:semiHidden/>
    <w:rsid w:val="00543D04"/>
    <w:rPr>
      <w:color w:val="808080"/>
    </w:rPr>
  </w:style>
  <w:style w:type="character" w:styleId="Hyperlink">
    <w:name w:val="Hyperlink"/>
    <w:basedOn w:val="DefaultParagraphFont"/>
    <w:uiPriority w:val="99"/>
    <w:unhideWhenUsed/>
    <w:rsid w:val="001A71DF"/>
    <w:rPr>
      <w:color w:val="0563C1" w:themeColor="hyperlink"/>
      <w:u w:val="single"/>
    </w:rPr>
  </w:style>
  <w:style w:type="character" w:styleId="UnresolvedMention">
    <w:name w:val="Unresolved Mention"/>
    <w:basedOn w:val="DefaultParagraphFont"/>
    <w:uiPriority w:val="99"/>
    <w:rsid w:val="001A7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15</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Lewis Britton (Student)</cp:lastModifiedBy>
  <cp:revision>187</cp:revision>
  <dcterms:created xsi:type="dcterms:W3CDTF">2019-12-04T22:01:00Z</dcterms:created>
  <dcterms:modified xsi:type="dcterms:W3CDTF">2020-04-25T15:55:00Z</dcterms:modified>
</cp:coreProperties>
</file>