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tienda;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tienda CHARACTER SET utf8mb4;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tienda;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fabricante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codigo INT UNSIGNED AUTO_INCREMENT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nombre VARCHAR(100)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producto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codigo INT UNSIGNED AUTO_INCREMENT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nombre VARCHAR(100)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precio DOUBLE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codigo_fabricante INT UNSIGNED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FOREIGN KEY (codigo_fabricante) REFERENCES fabricante(codigo)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fabricante VALUES(1, 'Asus');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fabricante VALUES(2, 'Lenovo');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fabricante VALUES(3, 'Hewlett-Packard');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fabricante VALUES(4, 'Samsung');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fabricante VALUES(5, 'Seagate');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fabricante VALUES(6, 'Crucial');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fabricante VALUES(7, 'Gigabyte');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fabricante VALUES(8, 'Huawei');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fabricante VALUES(9, 'Xiaomi');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producto VALUES(1, 'Disco duro SATA3 1TB', 86.99, 5);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producto VALUES(2, 'Memoria RAM DDR4 8GB', 120, 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producto VALUES(3, 'Disco SSD 1 TB', 150.99, 4);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producto VALUES(4, 'GeForce GTX 1050Ti', 185, 7);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producto VALUES(5, 'GeForce GTX 1080 Xtreme', 755, 6);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producto VALUES(6, 'Monitor 24 LED Full HD', 202, 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producto VALUES(7, 'Monitor 27 LED Full HD', 245.99, 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producto VALUES(8, 'Portátil Yoga 520', 559, 2);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producto VALUES(9, 'Portátil Ideapd 320', 444, 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producto VALUES(10, 'Impresora HP Deskjet 3720', 59.99, 3);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producto VALUES(11, 'Impresora HP Laserjet Pro M26nw', 180, 3);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