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D6B" w:rsidRDefault="00F06D6B">
      <w:pPr>
        <w:rPr>
          <w:rFonts w:ascii="Arial" w:hAnsi="Arial" w:cs="Arial"/>
        </w:rPr>
      </w:pPr>
    </w:p>
    <w:p w:rsidR="009E4CAF" w:rsidRDefault="009E4CAF" w:rsidP="009E4CAF">
      <w:pPr>
        <w:rPr>
          <w:rFonts w:ascii="Arial" w:hAnsi="Arial" w:cs="Arial"/>
          <w:b/>
          <w:sz w:val="40"/>
        </w:rPr>
      </w:pPr>
      <w:r w:rsidRPr="009E4CAF">
        <w:rPr>
          <w:rFonts w:ascii="Arial" w:hAnsi="Arial" w:cs="Arial"/>
          <w:b/>
          <w:sz w:val="40"/>
        </w:rPr>
        <w:t>Trabajo Práctico N° 3 Salud del Adolescente</w:t>
      </w:r>
    </w:p>
    <w:p w:rsidR="009E4CAF" w:rsidRDefault="009E4CAF" w:rsidP="009E4CAF">
      <w:pPr>
        <w:rPr>
          <w:rFonts w:ascii="Arial" w:hAnsi="Arial" w:cs="Arial"/>
          <w:b/>
          <w:sz w:val="40"/>
        </w:rPr>
      </w:pPr>
    </w:p>
    <w:p w:rsidR="009E4CAF" w:rsidRDefault="009E4CAF" w:rsidP="009E4CAF">
      <w:pPr>
        <w:numPr>
          <w:ilvl w:val="0"/>
          <w:numId w:val="1"/>
        </w:numPr>
        <w:rPr>
          <w:rFonts w:ascii="Arial" w:hAnsi="Arial" w:cs="Arial"/>
        </w:rPr>
      </w:pPr>
      <w:r w:rsidRPr="009E4CAF">
        <w:rPr>
          <w:rFonts w:ascii="Arial" w:hAnsi="Arial" w:cs="Arial"/>
        </w:rPr>
        <w:t>Ana debe ser atendida en ese momento, ya que cualquier consulta sobre un tema referido a salud y educación sexual representa una emergencia médica.</w:t>
      </w:r>
    </w:p>
    <w:p w:rsidR="009E4CAF" w:rsidRDefault="009E4CAF" w:rsidP="009E4CAF">
      <w:pPr>
        <w:numPr>
          <w:ilvl w:val="0"/>
          <w:numId w:val="1"/>
        </w:numPr>
        <w:rPr>
          <w:rFonts w:ascii="Arial" w:hAnsi="Arial" w:cs="Arial"/>
        </w:rPr>
      </w:pPr>
      <w:r w:rsidRPr="009E4CAF">
        <w:rPr>
          <w:rFonts w:ascii="Arial" w:hAnsi="Arial" w:cs="Arial"/>
        </w:rPr>
        <w:t>No, puede concurrir sola a la consulta médica, ya que existe un marco legal que respalda que el acceso al sistema de salud es un derecho del adolescente, y sin la necesidad de estar acompañado/a por un adulto o su pareja. </w:t>
      </w:r>
    </w:p>
    <w:p w:rsidR="009E4CAF" w:rsidRDefault="009E4CAF" w:rsidP="009E4CAF">
      <w:pPr>
        <w:numPr>
          <w:ilvl w:val="0"/>
          <w:numId w:val="1"/>
        </w:numPr>
        <w:rPr>
          <w:rFonts w:ascii="Arial" w:hAnsi="Arial" w:cs="Arial"/>
        </w:rPr>
      </w:pPr>
      <w:r w:rsidRPr="009E4CAF">
        <w:rPr>
          <w:rFonts w:ascii="Arial" w:hAnsi="Arial" w:cs="Arial"/>
        </w:rPr>
        <w:t>Ana debe ser atendida por cualquier miembro del equipo de salud. Este le debe brindar información acerca de los métodos anticonceptivos que existen, las formas de uso de cada uno y sus beneficios. También se debe informar acerca de las enfermedades de transmisión sexual y los signos de alarma ante los cuales debe concurrir a una guardia.</w:t>
      </w:r>
    </w:p>
    <w:p w:rsidR="009E4CAF" w:rsidRDefault="009E4CAF" w:rsidP="009E4CAF">
      <w:pPr>
        <w:numPr>
          <w:ilvl w:val="0"/>
          <w:numId w:val="1"/>
        </w:numPr>
        <w:rPr>
          <w:rFonts w:ascii="Arial" w:hAnsi="Arial" w:cs="Arial"/>
        </w:rPr>
      </w:pPr>
      <w:r w:rsidRPr="009E4CAF">
        <w:rPr>
          <w:rFonts w:ascii="Arial" w:hAnsi="Arial" w:cs="Arial"/>
        </w:rPr>
        <w:t>En la primera consulta debemos proveer el método anticonceptivo que consideremos más acorde para ese paciente.</w:t>
      </w:r>
    </w:p>
    <w:p w:rsidR="009E4CAF" w:rsidRPr="009E4CAF" w:rsidRDefault="009E4CAF" w:rsidP="009E4CAF">
      <w:pPr>
        <w:numPr>
          <w:ilvl w:val="0"/>
          <w:numId w:val="1"/>
        </w:numPr>
        <w:rPr>
          <w:rFonts w:ascii="Arial" w:hAnsi="Arial" w:cs="Arial"/>
        </w:rPr>
      </w:pPr>
      <w:r w:rsidRPr="009E4CAF">
        <w:rPr>
          <w:rFonts w:ascii="Arial" w:hAnsi="Arial" w:cs="Arial"/>
        </w:rPr>
        <w:t xml:space="preserve">Se cierra la consulta médica recomendándole a Ana que en los próximos días realice una visita a un ginecólogo, para que evalúe si el método entregado es el indicado y para que haga los exámenes </w:t>
      </w:r>
      <w:r>
        <w:rPr>
          <w:rFonts w:ascii="Arial" w:hAnsi="Arial" w:cs="Arial"/>
        </w:rPr>
        <w:t xml:space="preserve">y estudios pertinentes </w:t>
      </w:r>
      <w:r w:rsidRPr="009E4CAF">
        <w:rPr>
          <w:rFonts w:ascii="Arial" w:hAnsi="Arial" w:cs="Arial"/>
        </w:rPr>
        <w:t>correspondientes a la especialidad médica.</w:t>
      </w:r>
      <w:r w:rsidR="00E50537">
        <w:rPr>
          <w:rFonts w:ascii="Arial" w:hAnsi="Arial" w:cs="Arial"/>
        </w:rPr>
        <w:t xml:space="preserve"> </w:t>
      </w:r>
      <w:r w:rsidR="00E50537" w:rsidRPr="00E50537">
        <w:rPr>
          <w:rFonts w:ascii="Arial" w:hAnsi="Arial" w:cs="Arial"/>
        </w:rPr>
        <w:t>También es necesario aclararle, según el método anticonceptivo elegido, cuando tiene que volver a retirarlo o colocárselo</w:t>
      </w:r>
      <w:bookmarkStart w:id="0" w:name="_GoBack"/>
      <w:bookmarkEnd w:id="0"/>
      <w:r w:rsidR="00E50537" w:rsidRPr="00E50537">
        <w:rPr>
          <w:rFonts w:ascii="Arial" w:hAnsi="Arial" w:cs="Arial"/>
        </w:rPr>
        <w:t>.</w:t>
      </w:r>
    </w:p>
    <w:p w:rsidR="009E4CAF" w:rsidRPr="009E4CAF" w:rsidRDefault="009E4CAF" w:rsidP="009E4CAF">
      <w:pPr>
        <w:rPr>
          <w:rFonts w:ascii="Arial" w:hAnsi="Arial" w:cs="Arial"/>
          <w:b/>
          <w:sz w:val="40"/>
        </w:rPr>
      </w:pPr>
    </w:p>
    <w:p w:rsidR="009E4CAF" w:rsidRPr="009E4CAF" w:rsidRDefault="009E4CAF">
      <w:pPr>
        <w:rPr>
          <w:rFonts w:ascii="Arial" w:hAnsi="Arial" w:cs="Arial"/>
        </w:rPr>
      </w:pPr>
    </w:p>
    <w:sectPr w:rsidR="009E4CAF" w:rsidRPr="009E4CA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82A" w:rsidRDefault="003C282A" w:rsidP="009E4CAF">
      <w:pPr>
        <w:spacing w:after="0" w:line="240" w:lineRule="auto"/>
      </w:pPr>
      <w:r>
        <w:separator/>
      </w:r>
    </w:p>
  </w:endnote>
  <w:endnote w:type="continuationSeparator" w:id="0">
    <w:p w:rsidR="003C282A" w:rsidRDefault="003C282A" w:rsidP="009E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82A" w:rsidRDefault="003C282A" w:rsidP="009E4CAF">
      <w:pPr>
        <w:spacing w:after="0" w:line="240" w:lineRule="auto"/>
      </w:pPr>
      <w:r>
        <w:separator/>
      </w:r>
    </w:p>
  </w:footnote>
  <w:footnote w:type="continuationSeparator" w:id="0">
    <w:p w:rsidR="003C282A" w:rsidRDefault="003C282A" w:rsidP="009E4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CAF" w:rsidRDefault="009E4CAF">
    <w:pPr>
      <w:pStyle w:val="Encabezado"/>
    </w:pPr>
    <w:r>
      <w:t>Medicina Preventiva 1</w:t>
    </w:r>
    <w:r>
      <w:ptab w:relativeTo="margin" w:alignment="center" w:leader="none"/>
    </w:r>
    <w:r>
      <w:ptab w:relativeTo="margin" w:alignment="right" w:leader="none"/>
    </w:r>
    <w:r>
      <w:t>Perez Lucía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7542E"/>
    <w:multiLevelType w:val="multilevel"/>
    <w:tmpl w:val="56FC87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7B3B8D"/>
    <w:multiLevelType w:val="multilevel"/>
    <w:tmpl w:val="9734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7030A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DA3D32"/>
    <w:multiLevelType w:val="multilevel"/>
    <w:tmpl w:val="DF30D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3B54FE"/>
    <w:multiLevelType w:val="multilevel"/>
    <w:tmpl w:val="BA6434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176CB9"/>
    <w:multiLevelType w:val="multilevel"/>
    <w:tmpl w:val="80D886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AF"/>
    <w:rsid w:val="003C282A"/>
    <w:rsid w:val="009E4CAF"/>
    <w:rsid w:val="00E50537"/>
    <w:rsid w:val="00F0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68325-C739-48F3-9652-410F574D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4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CAF"/>
  </w:style>
  <w:style w:type="paragraph" w:styleId="Piedepgina">
    <w:name w:val="footer"/>
    <w:basedOn w:val="Normal"/>
    <w:link w:val="PiedepginaCar"/>
    <w:uiPriority w:val="99"/>
    <w:unhideWhenUsed/>
    <w:rsid w:val="009E4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1</cp:revision>
  <dcterms:created xsi:type="dcterms:W3CDTF">2019-09-20T02:33:00Z</dcterms:created>
  <dcterms:modified xsi:type="dcterms:W3CDTF">2019-09-20T02:46:00Z</dcterms:modified>
</cp:coreProperties>
</file>