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entrega del proyecto</w:t>
      </w:r>
    </w:p>
    <w:p>
      <w:r>
        <w:rPr>
          <w:rFonts w:ascii="Arial" w:hAnsi="Arial"/>
          <w:b/>
          <w:color w:val="E87919"/>
          <w:sz w:val="30"/>
        </w:rPr>
        <w:t>La casa del rincón guatemalteco</w:t>
      </w:r>
    </w:p>
    <w:p>
      <w:pPr/>
      <w:r>
        <w:t>Sistema web local para ventas, caja e inventario. Este informe resume el alcance, los requisitos funcionales, la arquitectura, las instrucciones de ejecución y el estado de preparación para la presentación académica.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vAlign w:val="center"/>
            <w:shd w:fill="E87919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7560"/>
            <w:vAlign w:val="center"/>
            <w:shd w:fill="E87919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Información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7"/>
              </w:rPr>
              <w:t>Curso</w:t>
            </w:r>
          </w:p>
        </w:tc>
        <w:tc>
          <w:tcPr>
            <w:tcW w:type="dxa" w:w="75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7"/>
              </w:rPr>
              <w:t>Desarrollo Web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7"/>
              </w:rPr>
              <w:t>Estudiante</w:t>
            </w:r>
          </w:p>
        </w:tc>
        <w:tc>
          <w:tcPr>
            <w:tcW w:type="dxa" w:w="75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7"/>
              </w:rPr>
              <w:t>Completar antes de entregar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7"/>
              </w:rPr>
              <w:t>Carné / sección</w:t>
            </w:r>
          </w:p>
        </w:tc>
        <w:tc>
          <w:tcPr>
            <w:tcW w:type="dxa" w:w="75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7"/>
              </w:rPr>
              <w:t>Completar antes de entregar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7"/>
              </w:rPr>
              <w:t>Docente</w:t>
            </w:r>
          </w:p>
        </w:tc>
        <w:tc>
          <w:tcPr>
            <w:tcW w:type="dxa" w:w="75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7"/>
              </w:rPr>
              <w:t>Completar antes de entregar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7"/>
              </w:rPr>
              <w:t>Fecha</w:t>
            </w:r>
          </w:p>
        </w:tc>
        <w:tc>
          <w:tcPr>
            <w:tcW w:type="dxa" w:w="75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7"/>
              </w:rPr>
              <w:t>25 de octubre de 2026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7"/>
              </w:rPr>
              <w:t>Repositorio</w:t>
            </w:r>
          </w:p>
        </w:tc>
        <w:tc>
          <w:tcPr>
            <w:tcW w:type="dxa" w:w="75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7"/>
              </w:rPr>
              <w:t>https://github.com/Federiciturbide/0900-23-25655-DesarrolloWeb</w:t>
            </w:r>
          </w:p>
        </w:tc>
      </w:tr>
    </w:tbl>
    <w:p>
      <w:pPr>
        <w:spacing w:after="20"/>
      </w:pPr>
    </w:p>
    <w:p>
      <w:pPr>
        <w:pStyle w:val="Heading1"/>
      </w:pPr>
      <w:r>
        <w:t>Resumen ejecutivo</w:t>
      </w:r>
    </w:p>
    <w:p>
      <w:pPr/>
      <w:r>
        <w:t>El proyecto implementa una aplicación web local para registrar catálogos, existencias, compras, ventas, cobros, cierres de caja, devoluciones, promociones, facturación con QR y reportes. La solución usa HTML, CSS y JavaScript en el navegador, un servidor HTTP escrito con Python y una base SQLite.</w:t>
      </w:r>
    </w:p>
    <w:p>
      <w:pPr/>
      <w:r>
        <w:t>La revisión aislada confirmó que la aplicación inicia, sirve la interfaz, permite iniciar sesión y responde al tablero y al catálogo de productos. El repositorio actual no contiene los diagramas de arquitectura porque fueron retirados a solicitud del propietario. Para una entrega académica completa, esos diagramas deben adjuntarse por separado.</w:t>
      </w:r>
    </w:p>
    <w:p>
      <w:pPr>
        <w:pStyle w:val="Heading1"/>
      </w:pPr>
      <w:r>
        <w:t>1. Objetivo y alcance</w:t>
      </w:r>
    </w:p>
    <w:p>
      <w:pPr/>
      <w:r>
        <w:t>El sistema busca controlar los ingresos y egresos de un negocio de productos de consumo masivo, relacionando las ventas y compras con el inventario. El catálogo contempla siete familias: Pastas, Productos cárnicos, Embutidos, Lácteos, Golosinas, Aguas gaseosas y Carbonatados.</w:t>
      </w:r>
    </w:p>
    <w:p>
      <w:pPr>
        <w:pStyle w:val="Heading2"/>
      </w:pPr>
      <w:r>
        <w:t>Tecnología y ejecución</w:t>
      </w:r>
    </w:p>
    <w:p>
      <w:pPr>
        <w:pStyle w:val="ListBullet"/>
      </w:pPr>
      <w:r>
        <w:t>Requiere Windows y Python 3.10 o superior. No usa paquetes de terceros para el funcionamiento normal.</w:t>
      </w:r>
    </w:p>
    <w:p>
      <w:pPr>
        <w:pStyle w:val="ListBullet"/>
      </w:pPr>
      <w:r>
        <w:t>Ejecuta iniciar.bat y abre http://127.0.0.1:8000.</w:t>
      </w:r>
    </w:p>
    <w:p>
      <w:pPr>
        <w:pStyle w:val="ListBullet"/>
      </w:pPr>
      <w:r>
        <w:t>La base local se crea en data/rincon.sqlite3. En una base nueva, el acceso admin recibe una contraseña aleatoria guardada en data/credenciales_iniciales.txt; también puede definirse RINCON_ADMIN_PASSWORD antes del primer inicio.</w:t>
      </w:r>
    </w:p>
    <w:p>
      <w:pPr>
        <w:pStyle w:val="ListBullet"/>
      </w:pPr>
      <w:r>
        <w:t>El archivo SQLite y el archivo de credenciales no se incluyen en el repositorio.</w:t>
      </w:r>
    </w:p>
    <w:p>
      <w:pPr>
        <w:pStyle w:val="Heading1"/>
      </w:pPr>
      <w:r>
        <w:t>2. Matriz de cumplimiento funcional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547"/>
            <w:vAlign w:val="center"/>
            <w:shd w:fill="E87919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N.º</w:t>
            </w:r>
          </w:p>
        </w:tc>
        <w:tc>
          <w:tcPr>
            <w:tcW w:type="dxa" w:w="1728"/>
            <w:vAlign w:val="center"/>
            <w:shd w:fill="E87919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5256"/>
            <w:vAlign w:val="center"/>
            <w:shd w:fill="E87919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Implementación identificada</w:t>
            </w:r>
          </w:p>
        </w:tc>
        <w:tc>
          <w:tcPr>
            <w:tcW w:type="dxa" w:w="2189"/>
            <w:vAlign w:val="center"/>
            <w:shd w:fill="E87919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Estado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1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Acceso de usuario</w:t>
            </w:r>
          </w:p>
        </w:tc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Usuarios y sesiones en SQLite; contraseñas con hash scrypt; rutas de login/logout.</w:t>
            </w:r>
          </w:p>
        </w:tc>
        <w:tc>
          <w:tcPr>
            <w:tcW w:type="dxa" w:w="218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Implementado; login básico verificado.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2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Catálogos</w:t>
            </w:r>
          </w:p>
        </w:tc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Clientes, proveedores, productos y precios con historial.</w:t>
            </w:r>
          </w:p>
        </w:tc>
        <w:tc>
          <w:tcPr>
            <w:tcW w:type="dxa" w:w="218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Implementado en API y pantallas.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3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Despacho de producto</w:t>
            </w:r>
          </w:p>
        </w:tc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Punto de venta por líneas; cantidades, subtotales, descuentos y total.</w:t>
            </w:r>
          </w:p>
        </w:tc>
        <w:tc>
          <w:tcPr>
            <w:tcW w:type="dxa" w:w="218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Implementado; revisar el flujo completo en demostración.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4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Devoluciones</w:t>
            </w:r>
          </w:p>
        </w:tc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Registra devoluciones por daño o vencimiento asociadas a una venta.</w:t>
            </w:r>
          </w:p>
        </w:tc>
        <w:tc>
          <w:tcPr>
            <w:tcW w:type="dxa" w:w="218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Implementado en código.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5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Cobro</w:t>
            </w:r>
          </w:p>
        </w:tc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Efectivo, tarjeta de crédito y débito; cálculo de cambio en efectivo.</w:t>
            </w:r>
          </w:p>
        </w:tc>
        <w:tc>
          <w:tcPr>
            <w:tcW w:type="dxa" w:w="218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Implementado en código.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6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Facturación</w:t>
            </w:r>
          </w:p>
        </w:tc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Factura ligada a venta, cliente, líneas, pago y promociones.</w:t>
            </w:r>
          </w:p>
        </w:tc>
        <w:tc>
          <w:tcPr>
            <w:tcW w:type="dxa" w:w="218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Implementado en código.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7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Reportes</w:t>
            </w:r>
          </w:p>
        </w:tc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Ventas, ingresos, caja, devoluciones, clientes y compras.</w:t>
            </w:r>
          </w:p>
        </w:tc>
        <w:tc>
          <w:tcPr>
            <w:tcW w:type="dxa" w:w="218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Implementado en código.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8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Código QR</w:t>
            </w:r>
          </w:p>
        </w:tc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Generación local al facturar y consulta de factura/promoción al leer el QR.</w:t>
            </w:r>
          </w:p>
        </w:tc>
        <w:tc>
          <w:tcPr>
            <w:tcW w:type="dxa" w:w="218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Implementado en código; validar con cámara o lector en el equipo de entrega.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9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Menú interactivo</w:t>
            </w:r>
          </w:p>
        </w:tc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Navegación superior con acceso a los módulos.</w:t>
            </w:r>
          </w:p>
        </w:tc>
        <w:tc>
          <w:tcPr>
            <w:tcW w:type="dxa" w:w="218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Implementado en la interfaz.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10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Caja y promociones</w:t>
            </w:r>
          </w:p>
        </w:tc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Apertura/cierre de caja; descuento, producto gratuito, vale, segundo a mitad, mayoreo y puntos.</w:t>
            </w:r>
          </w:p>
        </w:tc>
        <w:tc>
          <w:tcPr>
            <w:tcW w:type="dxa" w:w="218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Implementado en código.</w:t>
            </w:r>
          </w:p>
        </w:tc>
      </w:tr>
    </w:tbl>
    <w:p>
      <w:pPr>
        <w:spacing w:after="20"/>
      </w:pPr>
    </w:p>
    <w:p>
      <w:pPr/>
      <w:r>
        <w:t>La matriz describe las funciones encontradas en el código. Excepto el inicio de sesión y las consultas iniciales indicadas en la sección de verificación, no representa una certificación de pruebas de aceptación para cada flujo.</w:t>
      </w:r>
    </w:p>
    <w:p>
      <w:pPr>
        <w:pStyle w:val="Heading1"/>
      </w:pPr>
      <w:r>
        <w:t>3. Arquitectura</w:t>
      </w:r>
    </w:p>
    <w:p>
      <w:pPr>
        <w:pStyle w:val="Heading2"/>
      </w:pPr>
      <w:r>
        <w:t>Capas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57"/>
            <w:vAlign w:val="center"/>
            <w:shd w:fill="E87919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Capa</w:t>
            </w:r>
          </w:p>
        </w:tc>
        <w:tc>
          <w:tcPr>
            <w:tcW w:type="dxa" w:w="3528"/>
            <w:vAlign w:val="center"/>
            <w:shd w:fill="E87919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Elementos</w:t>
            </w:r>
          </w:p>
        </w:tc>
        <w:tc>
          <w:tcPr>
            <w:tcW w:type="dxa" w:w="4435"/>
            <w:vAlign w:val="center"/>
            <w:shd w:fill="E87919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Responsabilidad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Presentación</w:t>
            </w:r>
          </w:p>
        </w:tc>
        <w:tc>
          <w:tcPr>
            <w:tcW w:type="dxa" w:w="35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public/index.html, public/styles.css, public/app.js</w:t>
            </w:r>
          </w:p>
        </w:tc>
        <w:tc>
          <w:tcPr>
            <w:tcW w:type="dxa" w:w="443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Menú, formularios y comunicación JSON.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Aplicación</w:t>
            </w:r>
          </w:p>
        </w:tc>
        <w:tc>
          <w:tcPr>
            <w:tcW w:type="dxa" w:w="35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server.py, application/dependencies.py</w:t>
            </w:r>
          </w:p>
        </w:tc>
        <w:tc>
          <w:tcPr>
            <w:tcW w:type="dxa" w:w="443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Rutas HTTP, sesión y coordinación de operaciones.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Dominio e infraestructura</w:t>
            </w:r>
          </w:p>
        </w:tc>
        <w:tc>
          <w:tcPr>
            <w:tcW w:type="dxa" w:w="35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domain/promotions.py, application/ports.py, infrastructure/adapters.py, database.py, qr.py</w:t>
            </w:r>
          </w:p>
        </w:tc>
        <w:tc>
          <w:tcPr>
            <w:tcW w:type="dxa" w:w="443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4"/>
              </w:rPr>
              <w:t>Reglas comerciales, puertos, adaptadores, SQLite y QR.</w:t>
            </w:r>
          </w:p>
        </w:tc>
      </w:tr>
    </w:tbl>
    <w:p>
      <w:pPr>
        <w:spacing w:after="20"/>
      </w:pPr>
    </w:p>
    <w:p>
      <w:pPr>
        <w:pStyle w:val="Heading2"/>
      </w:pPr>
      <w:r>
        <w:t>Diseño</w:t>
      </w:r>
    </w:p>
    <w:p>
      <w:pPr>
        <w:pStyle w:val="ListBullet"/>
      </w:pPr>
      <w:r>
        <w:t>DDD: ventas, catálogo y contactos, inventario, caja, identidad e informes.</w:t>
      </w:r>
    </w:p>
    <w:p>
      <w:pPr>
        <w:pStyle w:val="ListBullet"/>
      </w:pPr>
      <w:r>
        <w:t>Hexagonal: PersistencePort y QrEncoderPort con adaptadores para SQLite y QR local.</w:t>
      </w:r>
    </w:p>
    <w:p>
      <w:pPr>
        <w:pStyle w:val="ListBullet"/>
      </w:pPr>
      <w:r>
        <w:t>Base relacional SQLite con claves y restricciones descritas en ESQUEMA_BD.sql.</w:t>
      </w:r>
    </w:p>
    <w:p>
      <w:pPr>
        <w:pStyle w:val="ListBullet"/>
      </w:pPr>
      <w:r>
        <w:t>El punto de venta es el núcleo del negocio de consumo masivo.</w:t>
      </w:r>
    </w:p>
    <w:p>
      <w:pPr/>
      <w:r>
        <w:t>El puerto de persistencia abstrae la conexión; las consultas SQL permanecen principalmente en server.py. Esta es una limitación conocida si en el futuro se cambia la base de datos.</w:t>
      </w:r>
    </w:p>
    <w:p>
      <w:pPr>
        <w:pStyle w:val="Heading1"/>
      </w:pPr>
      <w:r>
        <w:t>4. Verificación realizada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vAlign w:val="center"/>
            <w:shd w:fill="E87919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Comprobación en copia aislada</w:t>
            </w:r>
          </w:p>
        </w:tc>
        <w:tc>
          <w:tcPr>
            <w:tcW w:type="dxa" w:w="4896"/>
            <w:vAlign w:val="center"/>
            <w:shd w:fill="E87919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6"/>
              </w:rPr>
              <w:t>Compilación de los módulos Python</w:t>
            </w:r>
          </w:p>
        </w:tc>
        <w:tc>
          <w:tcPr>
            <w:tcW w:type="dxa" w:w="48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6"/>
              </w:rPr>
              <w:t>Correcta.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6"/>
              </w:rPr>
              <w:t>Inicio del servidor en puerto alternativo</w:t>
            </w:r>
          </w:p>
        </w:tc>
        <w:tc>
          <w:tcPr>
            <w:tcW w:type="dxa" w:w="48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6"/>
              </w:rPr>
              <w:t>Correcto; la interfaz respondió HTTP 200.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6"/>
              </w:rPr>
              <w:t>Sesión sin autenticar</w:t>
            </w:r>
          </w:p>
        </w:tc>
        <w:tc>
          <w:tcPr>
            <w:tcW w:type="dxa" w:w="48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6"/>
              </w:rPr>
              <w:t>Correctamente reportada como no autenticada.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6"/>
              </w:rPr>
              <w:t>Login de administrador en base nueva</w:t>
            </w:r>
          </w:p>
        </w:tc>
        <w:tc>
          <w:tcPr>
            <w:tcW w:type="dxa" w:w="48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8F8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6"/>
              </w:rPr>
              <w:t>Correcto; sesión autenticada.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6"/>
              </w:rPr>
              <w:t>Tablero y catálogo de productos</w:t>
            </w:r>
          </w:p>
        </w:tc>
        <w:tc>
          <w:tcPr>
            <w:tcW w:type="dxa" w:w="48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42424"/>
                <w:sz w:val="16"/>
              </w:rPr>
              <w:t>Respondieron correctamente; se cargaron 7 productos de muestra.</w:t>
            </w:r>
          </w:p>
        </w:tc>
      </w:tr>
    </w:tbl>
    <w:p>
      <w:pPr>
        <w:spacing w:after="20"/>
      </w:pPr>
    </w:p>
    <w:p>
      <w:pPr/>
      <w:r>
        <w:t>Esta verificación no ejecutó una venta completa, lectura real de QR con cámara, devolución, compra, cierre de caja ni todos los reportes. Conviene demostrar esos flujos antes de entregar.</w:t>
      </w:r>
    </w:p>
    <w:p>
      <w:pPr>
        <w:pStyle w:val="Heading1"/>
      </w:pPr>
      <w:r>
        <w:t>5. Preparación para el envío</w:t>
      </w:r>
    </w:p>
    <w:p>
      <w:pPr>
        <w:pStyle w:val="Heading2"/>
      </w:pPr>
      <w:r>
        <w:t>Estado actual</w:t>
      </w:r>
    </w:p>
    <w:p>
      <w:pPr/>
      <w:r>
        <w:t>La aplicación supera una comprobación básica de arranque, autenticación y lectura de datos. No recomiendo enviar únicamente el repositorio actual como paquete completo: el encargo también pide C4, DDD, Kanban y arquitectura hexagonal, y la carpeta evidencias fue eliminada del repositorio.</w:t>
      </w:r>
    </w:p>
    <w:p>
      <w:pPr>
        <w:pStyle w:val="Heading2"/>
      </w:pPr>
      <w:r>
        <w:t>Anexos que deben acompañar la entrega</w:t>
      </w:r>
    </w:p>
    <w:p>
      <w:pPr>
        <w:pStyle w:val="ListBullet"/>
      </w:pPr>
      <w:r>
        <w:t>Cuatro diagramas C4 (contexto, contenedores, componentes y código) y diagrama de arquitectura hexagonal; adjuntar los Draw.io por separado.</w:t>
      </w:r>
    </w:p>
    <w:p>
      <w:pPr>
        <w:pStyle w:val="ListBullet"/>
      </w:pPr>
      <w:r>
        <w:t>Modelo DDD y tablero Kanban.</w:t>
      </w:r>
    </w:p>
    <w:p>
      <w:pPr>
        <w:pStyle w:val="ListBullet"/>
      </w:pPr>
      <w:r>
        <w:t>Capturas de la aplicación si las solicita el docente; completar nombre, carné, sección y docente en la portada.</w:t>
      </w:r>
    </w:p>
    <w:p>
      <w:pPr>
        <w:pStyle w:val="ListBullet"/>
      </w:pPr>
      <w:r>
        <w:t>Antes de enviar, ejecutar una venta con factura QR, una devolución, una compra y un cierre de caja.</w:t>
      </w:r>
    </w:p>
    <w:sectPr w:rsidR="00FC693F" w:rsidRPr="0006063C" w:rsidSect="00034616">
      <w:footerReference w:type="default" r:id="rId9"/>
      <w:pgSz w:w="12240" w:h="15840"/>
      <w:pgMar w:top="979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</w:pPr>
    <w:r>
      <w:rPr>
        <w:rFonts w:ascii="Arial" w:hAnsi="Arial"/>
        <w:color w:val="626B73"/>
        <w:sz w:val="16"/>
      </w:rPr>
      <w:t xml:space="preserve">La casa del rincón guatemalteco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2424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E8791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4242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242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403" w:hanging="230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ind w:left="403" w:hanging="230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entrega del proyecto</dc:title>
  <dc:subject>La casa del rincón guatemalteco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