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uso y arquitectura</w:t>
      </w:r>
    </w:p>
    <w:p>
      <w:r>
        <w:rPr>
          <w:rFonts w:ascii="Arial" w:hAnsi="Arial"/>
          <w:b/>
          <w:color w:val="E87919"/>
          <w:sz w:val="30"/>
        </w:rPr>
        <w:t>La casa del rincón guatemalteco</w:t>
      </w:r>
    </w:p>
    <w:p>
      <w:pPr/>
      <w:r>
        <w:t>Este documento explica cómo iniciar y utilizar el sistema de ventas e inventario, sus reglas operativas y su estructura técnica. Resume los modelos C4, DDD y de arquitectura hexagonal que se entregan como diagramas editables.</w:t>
      </w:r>
    </w:p>
    <w:p>
      <w:pPr>
        <w:pStyle w:val="Heading2"/>
      </w:pPr>
      <w:r>
        <w:t>Contenido</w:t>
      </w:r>
    </w:p>
    <w:p>
      <w:pPr>
        <w:pStyle w:val="ListBullet"/>
      </w:pPr>
      <w:r>
        <w:t>1. Inicio, acceso y navegación</w:t>
      </w:r>
    </w:p>
    <w:p>
      <w:pPr>
        <w:pStyle w:val="ListBullet"/>
      </w:pPr>
      <w:r>
        <w:t>2. Módulos y reglas de operación</w:t>
      </w:r>
    </w:p>
    <w:p>
      <w:pPr>
        <w:pStyle w:val="ListBullet"/>
      </w:pPr>
      <w:r>
        <w:t>3. Arquitectura en capas y modelo C4</w:t>
      </w:r>
    </w:p>
    <w:p>
      <w:pPr>
        <w:pStyle w:val="ListBullet"/>
      </w:pPr>
      <w:r>
        <w:t>4. Dominio DDD y arquitectura hexagonal</w:t>
      </w:r>
    </w:p>
    <w:p>
      <w:pPr>
        <w:pStyle w:val="ListBullet"/>
      </w:pPr>
      <w:r>
        <w:t>5. Datos, invariantes y respaldo</w:t>
      </w:r>
    </w:p>
    <w:p>
      <w:pPr>
        <w:pStyle w:val="Heading1"/>
      </w:pPr>
      <w:r>
        <w:t>1. Inicio, acceso y navegación</w:t>
      </w:r>
    </w:p>
    <w:p>
      <w:pPr>
        <w:pStyle w:val="Heading2"/>
      </w:pPr>
      <w:r>
        <w:t>Requisitos e inicio</w:t>
      </w:r>
    </w:p>
    <w:p>
      <w:pPr>
        <w:pStyle w:val="ListBullet"/>
      </w:pPr>
      <w:r>
        <w:t>Requiere Windows 10 u 11 y Python 3.10 o superior. Utiliza la biblioteca estándar de Python, sin paquetes externos.</w:t>
      </w:r>
    </w:p>
    <w:p>
      <w:pPr>
        <w:pStyle w:val="ListBullet"/>
      </w:pPr>
      <w:r>
        <w:t>Ejecuta iniciar.bat desde la carpeta del proyecto. El servidor local queda disponible en http://127.0.0.1:8000.</w:t>
      </w:r>
    </w:p>
    <w:p>
      <w:pPr>
        <w:pStyle w:val="ListBullet"/>
      </w:pPr>
      <w:r>
        <w:t>Para detenerlo, vuelve a la ventana de consola y presiona Ctrl+C.</w:t>
      </w:r>
    </w:p>
    <w:p>
      <w:pPr>
        <w:pStyle w:val="ListBullet"/>
      </w:pPr>
      <w:r>
        <w:t>La primera ejecución crea data/rincon.sqlite3. La base conserva catálogos, ventas, movimientos y sesiones entre ejecuciones.</w:t>
      </w:r>
    </w:p>
    <w:p>
      <w:pPr>
        <w:pStyle w:val="Heading2"/>
      </w:pPr>
      <w:r>
        <w:t>Cuenta inicial</w:t>
      </w:r>
    </w:p>
    <w:p>
      <w:pPr/>
      <w:r>
        <w:t>El usuario inicial es admin. En una base nueva, el sistema genera una contraseña aleatoria y la guarda localmente en data/credenciales_iniciales.txt. Para escogerla antes del primer inicio, define la variable de entorno RINCON_ADMIN_PASSWORD. La contraseña se guarda como hash scrypt con sal y no se incluye en el repositorio.</w:t>
      </w:r>
    </w:p>
    <w:p>
      <w:pPr>
        <w:pStyle w:val="Heading2"/>
      </w:pPr>
      <w:r>
        <w:t>Navegación</w:t>
      </w:r>
    </w:p>
    <w:p>
      <w:pPr/>
      <w:r>
        <w:t>Los módulos se abren desde el menú superior naranja. La interfaz mantiene un estilo ERP tradicional, con áreas de trabajo blancas, tablas compactas, formularios sencillos y botones rectangulares.</w:t>
      </w:r>
    </w:p>
    <w:p>
      <w:pPr>
        <w:pStyle w:val="Heading1"/>
      </w:pPr>
      <w:r>
        <w:t>2. Módulos y reglas de operación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87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805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Catálogos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Administra clientes, proveedores, productos, existencias y precios de costo y venta con historial.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Punto de venta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Busca productos por SKU, registra cantidades, aplica promociones y calcula subtotales y total.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Caja y cobro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Registra fondo inicial, ventas en efectivo o tarjeta, efectivo esperado, monto contado y diferencia de cierre.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Facturación y QR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Guarda cliente, líneas, descuentos, total y forma de pago; genera un código QR asociado a la factura.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Devoluciones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Registra artículos dañados o vencidos, ligados a una factura, y calcula el reembolso.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Compras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Registra compras a proveedores, incrementa existencias y permite actualizar costos sin borrar el historial.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Promociones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Configura descuentos, producto gratuito, vale de regalo, segundo producto a mitad de precio, mayoreo y puntos.</w:t>
            </w:r>
          </w:p>
        </w:tc>
      </w:tr>
      <w:tr>
        <w:tc>
          <w:tcPr>
            <w:tcW w:type="dxa" w:w="1987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Reportes</w:t>
            </w:r>
          </w:p>
        </w:tc>
        <w:tc>
          <w:tcPr>
            <w:tcW w:type="dxa" w:w="7805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Consulta ventas e ingresos, cierres de caja, devoluciones, clientes y compras para inventario.</w:t>
            </w:r>
          </w:p>
        </w:tc>
      </w:tr>
    </w:tbl>
    <w:p>
      <w:pPr>
        <w:spacing w:after="20"/>
      </w:pPr>
    </w:p>
    <w:p>
      <w:pPr>
        <w:pStyle w:val="Heading2"/>
      </w:pPr>
      <w:r>
        <w:t>Reglas importantes</w:t>
      </w:r>
    </w:p>
    <w:p>
      <w:pPr>
        <w:pStyle w:val="ListBullet"/>
      </w:pPr>
      <w:r>
        <w:t>El catálogo contempla Pastas, Productos cárnicos, Embutidos, Lácteos, Golosinas, Aguas gaseosas y Carbonatados.</w:t>
      </w:r>
    </w:p>
    <w:p>
      <w:pPr>
        <w:pStyle w:val="ListBullet"/>
      </w:pPr>
      <w:r>
        <w:t>Las promociones deben estar activas, dentro de su periodo y asociadas a una familia o producto para aplicarse en caja.</w:t>
      </w:r>
    </w:p>
    <w:p>
      <w:pPr>
        <w:pStyle w:val="ListBullet"/>
      </w:pPr>
      <w:r>
        <w:t>El precio de mayoreo se activa al alcanzar la cantidad mínima acumulada dentro de una familia.</w:t>
      </w:r>
    </w:p>
    <w:p>
      <w:pPr>
        <w:pStyle w:val="ListBullet"/>
      </w:pPr>
      <w:r>
        <w:t>Los puntos se acumulan por unidad según la regla activa; en esta versión, un punto equivale a Q1 al redimirlo.</w:t>
      </w:r>
    </w:p>
    <w:p>
      <w:pPr>
        <w:pStyle w:val="ListBullet"/>
      </w:pPr>
      <w:r>
        <w:t>Una devolución debe corresponder a una factura, requiere caja abierta y no puede superar las unidades que quedan disponibles para devolver.</w:t>
      </w:r>
    </w:p>
    <w:p>
      <w:pPr>
        <w:pStyle w:val="ListBullet"/>
      </w:pPr>
      <w:r>
        <w:t>Los productos devueltos por daño o vencimiento no regresan al inventario vendible. Las compras sí incrementan las existencias.</w:t>
      </w:r>
    </w:p>
    <w:p>
      <w:pPr>
        <w:pStyle w:val="Heading1"/>
      </w:pPr>
      <w:r>
        <w:t>3. Arquitectura en capas y modelo C4</w:t>
      </w:r>
    </w:p>
    <w:p>
      <w:pPr>
        <w:pStyle w:val="Heading2"/>
      </w:pPr>
      <w:r>
        <w:t>Tecnologías</w:t>
      </w:r>
    </w:p>
    <w:p>
      <w:pPr/>
      <w:r>
        <w:t>La aplicación combina HTML, CSS y JavaScript en el navegador, un servidor HTTP de Python para autenticación y operaciones, y SQLite para el almacenamiento local. No depende de servicios comerciales externos.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368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571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Implementación</w:t>
            </w:r>
          </w:p>
        </w:tc>
        <w:tc>
          <w:tcPr>
            <w:tcW w:type="dxa" w:w="4853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1368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Presentación</w:t>
            </w:r>
          </w:p>
        </w:tc>
        <w:tc>
          <w:tcPr>
            <w:tcW w:type="dxa" w:w="3571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public/index.html, public/styles.css, public/app.js</w:t>
            </w:r>
          </w:p>
        </w:tc>
        <w:tc>
          <w:tcPr>
            <w:tcW w:type="dxa" w:w="4853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Menú, formularios, catálogos, punto de venta, facturas y reportes. Intercambia JSON con el servidor.</w:t>
            </w:r>
          </w:p>
        </w:tc>
      </w:tr>
      <w:tr>
        <w:tc>
          <w:tcPr>
            <w:tcW w:type="dxa" w:w="1368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Aplicación</w:t>
            </w:r>
          </w:p>
        </w:tc>
        <w:tc>
          <w:tcPr>
            <w:tcW w:type="dxa" w:w="3571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server.py, application/dependencies.py</w:t>
            </w:r>
          </w:p>
        </w:tc>
        <w:tc>
          <w:tcPr>
            <w:tcW w:type="dxa" w:w="4853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Rutas HTTP, autenticación y coordinación de ventas, devoluciones, compras, caja e informes.</w:t>
            </w:r>
          </w:p>
        </w:tc>
      </w:tr>
      <w:tr>
        <w:tc>
          <w:tcPr>
            <w:tcW w:type="dxa" w:w="1368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Dominio e infraestructura</w:t>
            </w:r>
          </w:p>
        </w:tc>
        <w:tc>
          <w:tcPr>
            <w:tcW w:type="dxa" w:w="3571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domain/promotions.py, application/ports.py, infrastructure/adapters.py, database.py, qr.py</w:t>
            </w:r>
          </w:p>
        </w:tc>
        <w:tc>
          <w:tcPr>
            <w:tcW w:type="dxa" w:w="4853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Reglas comerciales, contratos, adaptadores, persistencia SQLite y generación de QR.</w:t>
            </w:r>
          </w:p>
        </w:tc>
      </w:tr>
    </w:tbl>
    <w:p>
      <w:pPr>
        <w:spacing w:after="20"/>
      </w:pPr>
    </w:p>
    <w:p>
      <w:pPr>
        <w:pStyle w:val="Heading2"/>
      </w:pPr>
      <w:r>
        <w:t>Modelo C4</w:t>
      </w:r>
    </w:p>
    <w:p>
      <w:pPr/>
      <w:r>
        <w:t>evidencias/modelo_c4.drawio contiene tres vistas editables: contexto, contenedores y componentes. El contexto sitúa a la persona usuaria y al sistema. Los contenedores separan navegador, servidor y base de datos. La vista de componentes detalla los módulos internos.</w:t>
      </w:r>
    </w:p>
    <w:p>
      <w:pPr/>
      <w:r>
        <w:t>El navegador envía solicitudes JSON al servidor. El servidor valida la sesión, coordina las reglas del negocio y consulta o actualiza SQLite. La facturación genera un código QR asociado a la operación.</w:t>
      </w:r>
    </w:p>
    <w:p>
      <w:pPr>
        <w:pStyle w:val="Heading1"/>
      </w:pPr>
      <w:r>
        <w:t>4. Dominio DDD y arquitectura hexagonal</w:t>
      </w:r>
    </w:p>
    <w:p>
      <w:pPr>
        <w:pStyle w:val="Heading2"/>
      </w:pPr>
      <w:r>
        <w:t>Lenguaje del negocio</w:t>
      </w:r>
    </w:p>
    <w:p>
      <w:pPr>
        <w:pStyle w:val="ListBullet"/>
      </w:pPr>
      <w:r>
        <w:t>Producto: artículo vendible identificado por SKU, familia, existencia y precio vigente.</w:t>
      </w:r>
    </w:p>
    <w:p>
      <w:pPr>
        <w:pStyle w:val="ListBullet"/>
      </w:pPr>
      <w:r>
        <w:t>Venta: operación con cliente, líneas, descuentos, pago y total.</w:t>
      </w:r>
    </w:p>
    <w:p>
      <w:pPr>
        <w:pStyle w:val="ListBullet"/>
      </w:pPr>
      <w:r>
        <w:t>Caja: sesión abierta con fondo inicial, cobros y cierre contado.</w:t>
      </w:r>
    </w:p>
    <w:p>
      <w:pPr>
        <w:pStyle w:val="ListBullet"/>
      </w:pPr>
      <w:r>
        <w:t>Devolución: retorno por daño o vencimiento asociado a una línea facturada.</w:t>
      </w:r>
    </w:p>
    <w:p>
      <w:pPr>
        <w:pStyle w:val="ListBullet"/>
      </w:pPr>
      <w:r>
        <w:t>Promoción: regla comercial por producto o familia para descuento, regalo, vale, mayoreo, mitad de precio o puntos.</w:t>
      </w:r>
    </w:p>
    <w:p>
      <w:pPr>
        <w:pStyle w:val="Heading2"/>
      </w:pPr>
      <w:r>
        <w:t>Contextos delimitados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7560"/>
            <w:shd w:fill="E8791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Ventas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Núcleo del negocio: despacho, promociones, lealtad, cobro y factura QR.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Catálogo y contactos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Productos, precios, clientes y proveedores.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Inventario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Compras, existencias y devoluciones no vendibles.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Caja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Apertura, movimientos de efectivo, monto esperado, contado y diferencia.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Identidad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Usuarios y sesiones persistidas.</w:t>
            </w:r>
          </w:p>
        </w:tc>
      </w:tr>
      <w:tr>
        <w:tc>
          <w:tcPr>
            <w:tcW w:type="dxa" w:w="2232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Informes</w:t>
            </w:r>
          </w:p>
        </w:tc>
        <w:tc>
          <w:tcPr>
            <w:tcW w:type="dxa" w:w="7560"/>
            <w:vAlign w:val="top"/>
            <w:tcMar>
              <w:top w:w="85" w:type="dxa"/>
              <w:start w:w="90" w:type="dxa"/>
              <w:bottom w:w="85" w:type="dxa"/>
              <w:end w:w="90" w:type="dxa"/>
            </w:tcMar>
            <w:shd w:fill="FAFA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52525"/>
                <w:sz w:val="16"/>
              </w:rPr>
              <w:t>Lectura agregada de ventas, cierres, devoluciones, clientes y compras.</w:t>
            </w:r>
          </w:p>
        </w:tc>
      </w:tr>
    </w:tbl>
    <w:p>
      <w:pPr>
        <w:spacing w:after="20"/>
      </w:pPr>
    </w:p>
    <w:p>
      <w:pPr>
        <w:pStyle w:val="Heading2"/>
      </w:pPr>
      <w:r>
        <w:t>Arquitectura hexagonal</w:t>
      </w:r>
    </w:p>
    <w:p>
      <w:pPr>
        <w:pStyle w:val="ListBullet"/>
      </w:pPr>
      <w:r>
        <w:t>AppHandler en server.py recibe solicitudes del navegador y las traduce a operaciones de la aplicación.</w:t>
      </w:r>
    </w:p>
    <w:p>
      <w:pPr>
        <w:pStyle w:val="ListBullet"/>
      </w:pPr>
      <w:r>
        <w:t>PersistencePort en application/ports.py representa el acceso requerido a la persistencia.</w:t>
      </w:r>
    </w:p>
    <w:p>
      <w:pPr>
        <w:pStyle w:val="ListBullet"/>
      </w:pPr>
      <w:r>
        <w:t>QrEncoderPort representa la generación de códigos QR requerida por la facturación.</w:t>
      </w:r>
    </w:p>
    <w:p>
      <w:pPr>
        <w:pStyle w:val="ListBullet"/>
      </w:pPr>
      <w:r>
        <w:t>SQLitePersistenceAdapter conecta con database.py y sqlite3. LocalQrEncoderAdapter conecta con qr.py.</w:t>
      </w:r>
    </w:p>
    <w:p>
      <w:pPr>
        <w:pStyle w:val="ListBullet"/>
      </w:pPr>
      <w:r>
        <w:t>application/dependencies.py compone los adaptadores; domain/promotions.py contiene reglas de promociones.</w:t>
      </w:r>
    </w:p>
    <w:p>
      <w:pPr>
        <w:pStyle w:val="Heading2"/>
      </w:pPr>
      <w:r>
        <w:t>Alcance actual</w:t>
      </w:r>
    </w:p>
    <w:p>
      <w:pPr/>
      <w:r>
        <w:t>Los casos de uso transaccionales permanecen en server.py para mantener compacta la entrega. El puerto de persistencia abstrae la conexión, aunque las consultas SQL siguen en server.py; cambiar SQLite requeriría adaptar esas consultas. El generador QR sí está aislado detrás de su puerto.</w:t>
      </w:r>
    </w:p>
    <w:p>
      <w:pPr>
        <w:pStyle w:val="Heading1"/>
      </w:pPr>
      <w:r>
        <w:t>5. Datos, invariantes y respaldo</w:t>
      </w:r>
    </w:p>
    <w:p>
      <w:pPr>
        <w:pStyle w:val="Heading2"/>
      </w:pPr>
      <w:r>
        <w:t>Principales registros</w:t>
      </w:r>
    </w:p>
    <w:p>
      <w:pPr/>
      <w:r>
        <w:t>SQLite guarda usuarios y sesiones, clientes y proveedores, productos y precios, promociones, cajas, ventas y líneas, facturas, devoluciones, compras, vales, movimientos de puntos y auditoría de catálogo. ESQUEMA_BD.sql describe tablas, relaciones, índices y restricciones.</w:t>
      </w:r>
    </w:p>
    <w:p>
      <w:pPr>
        <w:pStyle w:val="Heading2"/>
      </w:pPr>
      <w:r>
        <w:t>Invariantes principales</w:t>
      </w:r>
    </w:p>
    <w:p>
      <w:pPr>
        <w:pStyle w:val="ListBullet"/>
      </w:pPr>
      <w:r>
        <w:t>El SKU es único, la existencia no puede ser negativa y cada producto mantiene un solo precio vigente.</w:t>
      </w:r>
    </w:p>
    <w:p>
      <w:pPr>
        <w:pStyle w:val="ListBullet"/>
      </w:pPr>
      <w:r>
        <w:t>Una venta reduce existencias y conserva relacionadas sus líneas y factura.</w:t>
      </w:r>
    </w:p>
    <w:p>
      <w:pPr>
        <w:pStyle w:val="ListBullet"/>
      </w:pPr>
      <w:r>
        <w:t>Solo puede existir una caja abierta a la vez.</w:t>
      </w:r>
    </w:p>
    <w:p>
      <w:pPr>
        <w:pStyle w:val="ListBullet"/>
      </w:pPr>
      <w:r>
        <w:t>Una devolución corresponde a una venta completada y no excede las unidades disponibles.</w:t>
      </w:r>
    </w:p>
    <w:p>
      <w:pPr>
        <w:pStyle w:val="ListBullet"/>
      </w:pPr>
      <w:r>
        <w:t>Un vale disponible se consume en una sola operación.</w:t>
      </w:r>
    </w:p>
    <w:p>
      <w:pPr>
        <w:pStyle w:val="ListBullet"/>
      </w:pPr>
      <w:r>
        <w:t>Una compra agrega al inventario las unidades recibidas.</w:t>
      </w:r>
    </w:p>
    <w:p>
      <w:pPr>
        <w:pStyle w:val="Heading2"/>
      </w:pPr>
      <w:r>
        <w:t>Respaldo y cuidado de datos</w:t>
      </w:r>
    </w:p>
    <w:p>
      <w:pPr/>
      <w:r>
        <w:t>Para respaldar la operación, detén el servidor y copia la carpeta data. No publiques data/rincon.sqlite3 ni data/credenciales_iniciales.txt: contienen información operativa o credenciales locales. El repositorio excluye esos archivos.</w:t>
      </w:r>
    </w:p>
    <w:p>
      <w:pPr>
        <w:pStyle w:val="Heading2"/>
      </w:pPr>
      <w:r>
        <w:t>Diagramas editables</w:t>
      </w:r>
    </w:p>
    <w:p>
      <w:pPr/>
      <w:r>
        <w:t>El proyecto incluye evidencias/modelo_c4.drawio, evidencias/modelo_ddd.drawio, evidencias/arquitectura_hexagonal.drawio y evidencias/tablero_kanban.drawio para consultar y editar el contexto, los límites del dominio, los puertos y adaptadores, y el flujo de trabajo.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" w:hAnsi="Arial"/>
        <w:color w:val="666666"/>
        <w:sz w:val="16"/>
      </w:rPr>
      <w:t xml:space="preserve">La casa del rincón guatemalteco  |  </w:t>
    </w:r>
    <w:r>
      <w:rPr>
        <w:rFonts w:ascii="Arial" w:hAnsi="Arial"/>
        <w:color w:val="666666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525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E879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25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252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03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y arquitectura</dc:title>
  <dc:subject>La casa del rincón guatemalteco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