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20"/>
      </w:pPr>
    </w:p>
    <w:p>
      <w:pPr>
        <w:spacing w:after="100" w:before="0" w:line="276"/>
        <w:jc w:val="center"/>
      </w:pPr>
      <w:r>
        <w:rPr>
          <w:rFonts w:ascii="Calibri" w:cs="Calibri" w:eastAsia="Calibri" w:hAnsi="Calibri"/>
          <w:b/>
          <w:bCs/>
          <w:color w:val="2E5C8A"/>
          <w:sz w:val="26"/>
          <w:szCs w:val="26"/>
        </w:rPr>
        <w:t xml:space="preserve">MARCO DE REFERENCIA — VERSIÓN 2</w:t>
      </w:r>
    </w:p>
    <w:p>
      <w:pPr>
        <w:spacing w:after="40" w:before="0" w:line="276"/>
        <w:jc w:val="center"/>
      </w:pPr>
      <w:r>
        <w:rPr>
          <w:rFonts w:ascii="Calibri" w:cs="Calibri" w:eastAsia="Calibri" w:hAnsi="Calibri"/>
          <w:b/>
          <w:bCs/>
          <w:color w:val="1F3864"/>
          <w:sz w:val="38"/>
          <w:szCs w:val="38"/>
        </w:rPr>
        <w:t xml:space="preserve">Qué debe contener un sistema de</w:t>
      </w:r>
    </w:p>
    <w:p>
      <w:pPr>
        <w:spacing w:after="40" w:before="0" w:line="276"/>
        <w:jc w:val="center"/>
      </w:pPr>
      <w:r>
        <w:rPr>
          <w:rFonts w:ascii="Calibri" w:cs="Calibri" w:eastAsia="Calibri" w:hAnsi="Calibri"/>
          <w:b/>
          <w:bCs/>
          <w:color w:val="1F3864"/>
          <w:sz w:val="38"/>
          <w:szCs w:val="38"/>
        </w:rPr>
        <w:t xml:space="preserve">tracking de remediación</w:t>
      </w:r>
    </w:p>
    <w:p>
      <w:pPr>
        <w:spacing w:after="240" w:before="0" w:line="276"/>
        <w:jc w:val="center"/>
      </w:pPr>
      <w:r>
        <w:rPr>
          <w:rFonts w:ascii="Calibri" w:cs="Calibri" w:eastAsia="Calibri" w:hAnsi="Calibri"/>
          <w:b/>
          <w:bCs/>
          <w:color w:val="1F3864"/>
          <w:sz w:val="38"/>
          <w:szCs w:val="38"/>
        </w:rPr>
        <w:t xml:space="preserve">de vulnerabilidades</w:t>
      </w:r>
    </w:p>
    <w:p>
      <w:pPr>
        <w:spacing w:after="40" w:before="0" w:line="276"/>
        <w:jc w:val="center"/>
      </w:pPr>
      <w:r>
        <w:rPr>
          <w:rFonts w:ascii="Calibri" w:cs="Calibri" w:eastAsia="Calibri" w:hAnsi="Calibri"/>
          <w:i/>
          <w:iCs/>
          <w:color w:val="5A5A5A"/>
          <w:sz w:val="22"/>
          <w:szCs w:val="22"/>
        </w:rPr>
        <w:t xml:space="preserve">Documento de investigación previa para la evaluación de incorporación</w:t>
      </w:r>
    </w:p>
    <w:p>
      <w:pPr>
        <w:spacing w:after="400" w:before="0" w:line="276"/>
        <w:jc w:val="center"/>
      </w:pPr>
      <w:r>
        <w:rPr>
          <w:rFonts w:ascii="Calibri" w:cs="Calibri" w:eastAsia="Calibri" w:hAnsi="Calibri"/>
          <w:i/>
          <w:iCs/>
          <w:color w:val="5A5A5A"/>
          <w:sz w:val="22"/>
          <w:szCs w:val="22"/>
        </w:rPr>
        <w:t xml:space="preserve">del componente al proyecto GEF Secure App</w:t>
      </w:r>
    </w:p>
    <w:tbl>
      <w:tblPr>
        <w:tblW w:type="dxa" w:w="9360"/>
        <w:tblBorders>
          <w:top w:val="none"/>
          <w:left w:val="single" w:color="2E5C8A" w:sz="18"/>
          <w:bottom w:val="none"/>
          <w:right w:val="none"/>
          <w:insideH w:val="none"/>
          <w:insideV w:val="none"/>
        </w:tblBorders>
      </w:tblPr>
      <w:tblGrid>
        <w:gridCol w:w="9360"/>
      </w:tblGrid>
      <w:tr>
        <w:tc>
          <w:tcPr>
            <w:tcW w:type="dxa" w:w="9360"/>
            <w:shd w:fill="EEF2F7" w:val="clear"/>
            <w:tcMar>
              <w:top w:type="dxa" w:w="140"/>
              <w:left w:type="dxa" w:w="200"/>
              <w:bottom w:type="dxa" w:w="140"/>
              <w:right w:type="dxa" w:w="200"/>
            </w:tcMar>
          </w:tcPr>
          <w:p>
            <w:pPr>
              <w:spacing w:after="100" w:line="276"/>
            </w:pPr>
            <w:r>
              <w:rPr>
                <w:rFonts w:ascii="Calibri" w:cs="Calibri" w:eastAsia="Calibri" w:hAnsi="Calibri"/>
                <w:b/>
                <w:bCs/>
                <w:color w:val="1F3864"/>
                <w:sz w:val="21"/>
                <w:szCs w:val="21"/>
              </w:rPr>
              <w:t xml:space="preserve">Qué agrega esta versión</w:t>
            </w:r>
          </w:p>
          <w:p>
            <w:pPr>
              <w:spacing w:after="100" w:line="276"/>
            </w:pPr>
            <w:r>
              <w:rPr>
                <w:rFonts w:ascii="Calibri" w:cs="Calibri" w:eastAsia="Calibri" w:hAnsi="Calibri"/>
                <w:sz w:val="21"/>
                <w:szCs w:val="21"/>
              </w:rPr>
              <w:t xml:space="preserve">La versión 1 se construyó sobre estándares verificados. Esta versión incorpora, además: (a) el contraste con tres marcos elaborados de forma independiente por otros sistemas de IA, del que se recuperaron los aportes válidos y se descartaron los errores; (b) fuentes primarias adicionales no cubiertas antes, en particular CIS Controls v8.1, NIST SP 800-53 y el modelo de madurez de SANS; (c) evidencia empírica tomada de implementaciones reales de código abierto; y (d) un mapa de dónde conseguir cada fuente primaria.</w:t>
            </w:r>
          </w:p>
          <w:p>
            <w:pPr>
              <w:spacing w:after="0" w:line="276"/>
            </w:pPr>
            <w:r>
              <w:rPr>
                <w:rFonts w:ascii="Calibri" w:cs="Calibri" w:eastAsia="Calibri" w:hAnsi="Calibri"/>
                <w:sz w:val="21"/>
                <w:szCs w:val="21"/>
              </w:rPr>
              <w:t xml:space="preserve">El Anexo A documenta el ejercicio de contraste, incluidos los errores detectados en los marcos ajenos. Ese anexo es material de trabajo interno: sirve para no heredar errores, no para citar.</w:t>
            </w:r>
          </w:p>
        </w:tc>
      </w:tr>
    </w:tbl>
    <w:p>
      <w:pPr>
        <w:spacing w:after="260"/>
      </w:pPr>
    </w:p>
    <w:p>
      <w:pPr>
        <w:spacing w:after="40" w:before="0" w:line="276"/>
        <w:jc w:val="center"/>
      </w:pPr>
      <w:r>
        <w:rPr>
          <w:rFonts w:ascii="Calibri" w:cs="Calibri" w:eastAsia="Calibri" w:hAnsi="Calibri"/>
          <w:color w:val="5A5A5A"/>
          <w:sz w:val="19"/>
          <w:szCs w:val="19"/>
        </w:rPr>
        <w:t xml:space="preserve">Elaborado: agosto de 2026</w:t>
      </w:r>
    </w:p>
    <w:p>
      <w:pPr>
        <w:spacing w:after="0" w:before="0" w:line="276"/>
        <w:jc w:val="center"/>
      </w:pPr>
      <w:r>
        <w:rPr>
          <w:rFonts w:ascii="Calibri" w:cs="Calibri" w:eastAsia="Calibri" w:hAnsi="Calibri"/>
          <w:i/>
          <w:iCs/>
          <w:color w:val="5A5A5A"/>
          <w:sz w:val="19"/>
          <w:szCs w:val="19"/>
        </w:rPr>
        <w:t xml:space="preserve">Fecha de corte de verificación de fuentes: 14 de agosto de 2026</w:t>
      </w:r>
    </w:p>
    <w:p>
      <w:r>
        <w:br w:type="page"/>
      </w:r>
    </w:p>
    <w:p>
      <w:pPr>
        <w:pStyle w:val="Heading1"/>
        <w:pBdr>
          <w:bottom w:val="single" w:color="1F3864" w:sz="8" w:space="6"/>
        </w:pBdr>
        <w:spacing w:after="160" w:before="340"/>
      </w:pPr>
      <w:r>
        <w:rPr>
          <w:rFonts w:ascii="Calibri" w:cs="Calibri" w:eastAsia="Calibri" w:hAnsi="Calibri"/>
          <w:b/>
          <w:bCs/>
          <w:color w:val="1F3864"/>
          <w:sz w:val="30"/>
          <w:szCs w:val="30"/>
        </w:rPr>
        <w:t xml:space="preserve">Nota metodológica</w:t>
      </w:r>
    </w:p>
    <w:p>
      <w:pPr>
        <w:spacing w:after="120" w:before="0" w:line="276"/>
      </w:pPr>
      <w:r>
        <w:rPr>
          <w:rFonts w:ascii="Calibri" w:cs="Calibri" w:eastAsia="Calibri" w:hAnsi="Calibri"/>
          <w:sz w:val="21"/>
          <w:szCs w:val="21"/>
        </w:rPr>
        <w:t xml:space="preserve">Conviene declarar de entrada tres cosas sobre cómo se construyó este documento, porque afectan cómo debe usarse.</w:t>
      </w:r>
    </w:p>
    <w:p>
      <w:pPr>
        <w:spacing w:after="120" w:before="0" w:line="276"/>
      </w:pPr>
      <w:r>
        <w:rPr>
          <w:rFonts w:ascii="Calibri" w:cs="Calibri" w:eastAsia="Calibri" w:hAnsi="Calibri"/>
          <w:sz w:val="21"/>
          <w:szCs w:val="21"/>
        </w:rPr>
        <w:t xml:space="preserve">Primero: no existe una norma única que defina qué es un «sistema de tracking de remediación» ni un modelo de madurez obligatorio para esa capacidad. Lo que existe son estándares que regulan partes del problema. Cuando este documento propone una estructura propia —los seis componentes, la escala de madurez de verificación— se trata de una síntesis técnica derivada de las fuentes citadas, y así debe presentarse. Atribuir esa síntesis a NIST, ISO o CIS sería incorrecto y verificable.</w:t>
      </w:r>
    </w:p>
    <w:p>
      <w:pPr>
        <w:spacing w:after="120" w:before="0" w:line="276"/>
      </w:pPr>
      <w:r>
        <w:rPr>
          <w:rFonts w:ascii="Calibri" w:cs="Calibri" w:eastAsia="Calibri" w:hAnsi="Calibri"/>
          <w:sz w:val="21"/>
          <w:szCs w:val="21"/>
        </w:rPr>
        <w:t xml:space="preserve">Segundo: sí pueden afirmarse directamente, con respaldo documental, cuestiones puntuales. Que NIST considera la verificación parte del proceso de gestión de parches. Que NIST SP 800-53 contempla un control específico sobre medición del tiempo de remediación. Que CIS exige un proceso documentado de remediación y contempla un sistema de tracking con métricas temporales. Que PCI DSS establece plazos concretos dentro de su ámbito. Esa separación entre lo que dicen las fuentes y lo que propone el documento es lo que lo vuelve defendible.</w:t>
      </w:r>
    </w:p>
    <w:p>
      <w:pPr>
        <w:spacing w:after="120" w:before="0" w:line="276"/>
      </w:pPr>
      <w:r>
        <w:rPr>
          <w:rFonts w:ascii="Calibri" w:cs="Calibri" w:eastAsia="Calibri" w:hAnsi="Calibri"/>
          <w:sz w:val="21"/>
          <w:szCs w:val="21"/>
        </w:rPr>
        <w:t xml:space="preserve">Tercero: todas las fuentes fueron verificadas contra su publicación original en la fecha de corte indicada. Donde subsiste ambigüedad entre fuentes secundarias, se lo señala explícitamente en lugar de resolverlo por conveniencia.</w:t>
      </w:r>
    </w:p>
    <w:p>
      <w:pPr>
        <w:pStyle w:val="Heading1"/>
        <w:pBdr>
          <w:bottom w:val="single" w:color="1F3864" w:sz="8" w:space="6"/>
        </w:pBdr>
        <w:spacing w:after="160" w:before="340"/>
      </w:pPr>
      <w:r>
        <w:rPr>
          <w:rFonts w:ascii="Calibri" w:cs="Calibri" w:eastAsia="Calibri" w:hAnsi="Calibri"/>
          <w:b/>
          <w:bCs/>
          <w:color w:val="1F3864"/>
          <w:sz w:val="30"/>
          <w:szCs w:val="30"/>
        </w:rPr>
        <w:t xml:space="preserve">Advertencia sobre vigencia normativa</w:t>
      </w:r>
    </w:p>
    <w:p>
      <w:pPr>
        <w:spacing w:after="120" w:before="0" w:line="276"/>
      </w:pPr>
      <w:r>
        <w:rPr>
          <w:rFonts w:ascii="Calibri" w:cs="Calibri" w:eastAsia="Calibri" w:hAnsi="Calibri"/>
          <w:sz w:val="21"/>
          <w:szCs w:val="21"/>
        </w:rPr>
        <w:t xml:space="preserve">Buena parte de la bibliografía disponible sobre plazos de remediación —incluidos los marcos generados por otros sistemas de IA que se contrastaron para esta versión— cita como referencia vigente las directivas BOD 19-02 y BOD 22-01 de CISA. Ambas fueron revocadas.</w:t>
      </w:r>
    </w:p>
    <w:tbl>
      <w:tblPr>
        <w:tblW w:type="dxa" w:w="9360"/>
        <w:tblBorders>
          <w:top w:val="none"/>
          <w:left w:val="single" w:color="9C2B2B" w:sz="18"/>
          <w:bottom w:val="none"/>
          <w:right w:val="none"/>
          <w:insideH w:val="none"/>
          <w:insideV w:val="none"/>
        </w:tblBorders>
      </w:tblPr>
      <w:tblGrid>
        <w:gridCol w:w="9360"/>
      </w:tblGrid>
      <w:tr>
        <w:tc>
          <w:tcPr>
            <w:tcW w:type="dxa" w:w="9360"/>
            <w:shd w:fill="EEF2F7" w:val="clear"/>
            <w:tcMar>
              <w:top w:type="dxa" w:w="140"/>
              <w:left w:type="dxa" w:w="200"/>
              <w:bottom w:type="dxa" w:w="140"/>
              <w:right w:type="dxa" w:w="200"/>
            </w:tcMar>
          </w:tcPr>
          <w:p>
            <w:pPr>
              <w:spacing w:after="100" w:line="276"/>
            </w:pPr>
            <w:r>
              <w:rPr>
                <w:rFonts w:ascii="Calibri" w:cs="Calibri" w:eastAsia="Calibri" w:hAnsi="Calibri"/>
                <w:b/>
                <w:bCs/>
                <w:color w:val="9C2B2B"/>
                <w:sz w:val="21"/>
                <w:szCs w:val="21"/>
              </w:rPr>
              <w:t xml:space="preserve">Cambio normativo de junio de 2026</w:t>
            </w:r>
          </w:p>
          <w:p>
            <w:pPr>
              <w:spacing w:after="100" w:line="276"/>
            </w:pPr>
            <w:r>
              <w:rPr>
                <w:rFonts w:ascii="Calibri" w:cs="Calibri" w:eastAsia="Calibri" w:hAnsi="Calibri"/>
                <w:sz w:val="21"/>
                <w:szCs w:val="21"/>
              </w:rPr>
              <w:t xml:space="preserve">El 10 de junio de 2026 CISA emitió la Binding Operational Directive 26-04 (Prioritizing Security Updates Based on Risk), que supersede y revoca expresamente la BOD 19-02 (2019) y la BOD 22-01 (2021). La nueva directiva abandona los plazos fijos derivados de severidad y los reemplaza por un modelo de cuatro variables binarias evaluadas por vulnerabilidad y por activo.</w:t>
            </w:r>
          </w:p>
          <w:p>
            <w:pPr>
              <w:spacing w:after="0" w:line="276"/>
            </w:pPr>
            <w:r>
              <w:rPr>
                <w:rFonts w:ascii="Calibri" w:cs="Calibri" w:eastAsia="Calibri" w:hAnsi="Calibri"/>
                <w:sz w:val="21"/>
                <w:szCs w:val="21"/>
              </w:rPr>
              <w:t xml:space="preserve">Los tres marcos ajenos contrastados para esta versión presentan la BOD 22-01 como vigente. Es el error más frecuente y el más fácil de detectar: cualquier lector que consulte la página de la directiva ve el rótulo de revocada.</w:t>
            </w:r>
          </w:p>
        </w:tc>
      </w:tr>
    </w:tbl>
    <w:p>
      <w:pPr>
        <w:spacing w:after="120" w:before="0" w:line="276"/>
      </w:pPr>
      <w:r>
        <w:rPr>
          <w:rFonts w:ascii="Calibri" w:cs="Calibri" w:eastAsia="Calibri" w:hAnsi="Calibri"/>
          <w:sz w:val="21"/>
          <w:szCs w:val="21"/>
        </w:rPr>
        <w:t xml:space="preserve">Este documento usa la BOD 26-04 como referencia vigente y menciona las anteriores solo en carácter histórico. Además del dato de vigencia, el cambio importa conceptualmente: la 26-04 formaliza en una directiva la lógica que SSVC venía proponiendo desde 2019, y su esquema de plazos graduados es directamente trasladable al diseño de un campo de fecha límite calculado.</w:t>
      </w:r>
    </w:p>
    <w:p>
      <w:pPr>
        <w:pStyle w:val="Heading1"/>
        <w:pBdr>
          <w:bottom w:val="single" w:color="1F3864" w:sz="8" w:space="6"/>
        </w:pBdr>
        <w:spacing w:after="160" w:before="340"/>
      </w:pPr>
      <w:r>
        <w:rPr>
          <w:rFonts w:ascii="Calibri" w:cs="Calibri" w:eastAsia="Calibri" w:hAnsi="Calibri"/>
          <w:b/>
          <w:bCs/>
          <w:color w:val="1F3864"/>
          <w:sz w:val="30"/>
          <w:szCs w:val="30"/>
        </w:rPr>
        <w:t xml:space="preserve">1. Definición y frontera conceptual</w:t>
      </w:r>
    </w:p>
    <w:p>
      <w:pPr>
        <w:pStyle w:val="Heading2"/>
        <w:spacing w:after="110" w:before="260"/>
      </w:pPr>
      <w:r>
        <w:rPr>
          <w:rFonts w:ascii="Calibri" w:cs="Calibri" w:eastAsia="Calibri" w:hAnsi="Calibri"/>
          <w:b/>
          <w:bCs/>
          <w:color w:val="2E5C8A"/>
          <w:sz w:val="25"/>
          <w:szCs w:val="25"/>
        </w:rPr>
        <w:t xml:space="preserve">1.1 Definición</w:t>
      </w:r>
    </w:p>
    <w:tbl>
      <w:tblPr>
        <w:tblW w:type="dxa" w:w="9360"/>
        <w:tblBorders>
          <w:top w:val="none"/>
          <w:left w:val="single" w:color="2E5C8A" w:sz="18"/>
          <w:bottom w:val="none"/>
          <w:right w:val="none"/>
          <w:insideH w:val="none"/>
          <w:insideV w:val="none"/>
        </w:tblBorders>
      </w:tblPr>
      <w:tblGrid>
        <w:gridCol w:w="9360"/>
      </w:tblGrid>
      <w:tr>
        <w:tc>
          <w:tcPr>
            <w:tcW w:type="dxa" w:w="9360"/>
            <w:shd w:fill="EEF2F7" w:val="clear"/>
            <w:tcMar>
              <w:top w:type="dxa" w:w="140"/>
              <w:left w:type="dxa" w:w="200"/>
              <w:bottom w:type="dxa" w:w="140"/>
              <w:right w:type="dxa" w:w="200"/>
            </w:tcMar>
          </w:tcPr>
          <w:p>
            <w:pPr>
              <w:spacing w:after="0" w:line="276"/>
            </w:pPr>
            <w:r>
              <w:rPr>
                <w:rFonts w:ascii="Calibri" w:cs="Calibri" w:eastAsia="Calibri" w:hAnsi="Calibri"/>
                <w:b/>
                <w:bCs/>
                <w:sz w:val="21"/>
                <w:szCs w:val="21"/>
              </w:rPr>
              <w:t xml:space="preserve">El tracking de remediación es la capacidad de mantener la identidad, la evolución temporal, la responsabilidad, el tratamiento y la evidencia de resolución de una exposición vulnerable concreta sobre un activo, desde su identificación hasta su resolución, mitigación, aceptación de riesgo o cierre justificado, preservando la relación entre los eventos que permiten reconstruir su historia.</w:t>
            </w:r>
          </w:p>
        </w:tc>
      </w:tr>
    </w:tbl>
    <w:p>
      <w:pPr>
        <w:spacing w:after="120" w:before="0" w:line="276"/>
      </w:pPr>
      <w:r>
        <w:rPr>
          <w:rFonts w:ascii="Calibri" w:cs="Calibri" w:eastAsia="Calibri" w:hAnsi="Calibri"/>
          <w:sz w:val="21"/>
          <w:szCs w:val="21"/>
        </w:rPr>
        <w:t xml:space="preserve">La definición contiene cinco elementos, y todos son necesarios:</w:t>
      </w:r>
    </w:p>
    <w:p>
      <w:pPr>
        <w:pStyle w:val="ListParagraph"/>
        <w:numPr>
          <w:ilvl w:val="0"/>
          <w:numId w:val="2"/>
        </w:numPr>
        <w:spacing w:after="90" w:line="276"/>
      </w:pPr>
      <w:r>
        <w:rPr>
          <w:rFonts w:ascii="Calibri" w:cs="Calibri" w:eastAsia="Calibri" w:hAnsi="Calibri"/>
          <w:b/>
          <w:bCs/>
          <w:sz w:val="21"/>
          <w:szCs w:val="21"/>
        </w:rPr>
        <w:t xml:space="preserve">Identidad. </w:t>
      </w:r>
      <w:r>
        <w:rPr>
          <w:rFonts w:ascii="Calibri" w:cs="Calibri" w:eastAsia="Calibri" w:hAnsi="Calibri"/>
          <w:sz w:val="21"/>
          <w:szCs w:val="21"/>
        </w:rPr>
        <w:t xml:space="preserve">Saber qué vulnerabilidad y sobre qué activo se está siguiendo, de manera estable en el tiempo.</w:t>
      </w:r>
    </w:p>
    <w:p>
      <w:pPr>
        <w:pStyle w:val="ListParagraph"/>
        <w:numPr>
          <w:ilvl w:val="0"/>
          <w:numId w:val="2"/>
        </w:numPr>
        <w:spacing w:after="90" w:line="276"/>
      </w:pPr>
      <w:r>
        <w:rPr>
          <w:rFonts w:ascii="Calibri" w:cs="Calibri" w:eastAsia="Calibri" w:hAnsi="Calibri"/>
          <w:b/>
          <w:bCs/>
          <w:sz w:val="21"/>
          <w:szCs w:val="21"/>
        </w:rPr>
        <w:t xml:space="preserve">Continuidad temporal. </w:t>
      </w:r>
      <w:r>
        <w:rPr>
          <w:rFonts w:ascii="Calibri" w:cs="Calibri" w:eastAsia="Calibri" w:hAnsi="Calibri"/>
          <w:sz w:val="21"/>
          <w:szCs w:val="21"/>
        </w:rPr>
        <w:t xml:space="preserve">Poder reconstruir cómo evolucionó el caso, no solo dónde terminó.</w:t>
      </w:r>
    </w:p>
    <w:p>
      <w:pPr>
        <w:pStyle w:val="ListParagraph"/>
        <w:numPr>
          <w:ilvl w:val="0"/>
          <w:numId w:val="2"/>
        </w:numPr>
        <w:spacing w:after="90" w:line="276"/>
      </w:pPr>
      <w:r>
        <w:rPr>
          <w:rFonts w:ascii="Calibri" w:cs="Calibri" w:eastAsia="Calibri" w:hAnsi="Calibri"/>
          <w:b/>
          <w:bCs/>
          <w:sz w:val="21"/>
          <w:szCs w:val="21"/>
        </w:rPr>
        <w:t xml:space="preserve">Responsabilidad. </w:t>
      </w:r>
      <w:r>
        <w:rPr>
          <w:rFonts w:ascii="Calibri" w:cs="Calibri" w:eastAsia="Calibri" w:hAnsi="Calibri"/>
          <w:sz w:val="21"/>
          <w:szCs w:val="21"/>
        </w:rPr>
        <w:t xml:space="preserve">Saber quién o qué produjo cada transición.</w:t>
      </w:r>
    </w:p>
    <w:p>
      <w:pPr>
        <w:pStyle w:val="ListParagraph"/>
        <w:numPr>
          <w:ilvl w:val="0"/>
          <w:numId w:val="2"/>
        </w:numPr>
        <w:spacing w:after="90" w:line="276"/>
      </w:pPr>
      <w:r>
        <w:rPr>
          <w:rFonts w:ascii="Calibri" w:cs="Calibri" w:eastAsia="Calibri" w:hAnsi="Calibri"/>
          <w:b/>
          <w:bCs/>
          <w:sz w:val="21"/>
          <w:szCs w:val="21"/>
        </w:rPr>
        <w:t xml:space="preserve">Tratamiento. </w:t>
      </w:r>
      <w:r>
        <w:rPr>
          <w:rFonts w:ascii="Calibri" w:cs="Calibri" w:eastAsia="Calibri" w:hAnsi="Calibri"/>
          <w:sz w:val="21"/>
          <w:szCs w:val="21"/>
        </w:rPr>
        <w:t xml:space="preserve">Distinguir entre remediar, mitigar, descartar y aceptar el riesgo. No son lo mismo.</w:t>
      </w:r>
    </w:p>
    <w:p>
      <w:pPr>
        <w:pStyle w:val="ListParagraph"/>
        <w:numPr>
          <w:ilvl w:val="0"/>
          <w:numId w:val="2"/>
        </w:numPr>
        <w:spacing w:after="90" w:line="276"/>
      </w:pPr>
      <w:r>
        <w:rPr>
          <w:rFonts w:ascii="Calibri" w:cs="Calibri" w:eastAsia="Calibri" w:hAnsi="Calibri"/>
          <w:b/>
          <w:bCs/>
          <w:sz w:val="21"/>
          <w:szCs w:val="21"/>
        </w:rPr>
        <w:t xml:space="preserve">Evidencia. </w:t>
      </w:r>
      <w:r>
        <w:rPr>
          <w:rFonts w:ascii="Calibri" w:cs="Calibri" w:eastAsia="Calibri" w:hAnsi="Calibri"/>
          <w:sz w:val="21"/>
          <w:szCs w:val="21"/>
        </w:rPr>
        <w:t xml:space="preserve">Diferenciar una afirmación registrada por un operador de una observación independiente que la sustenta.</w:t>
      </w:r>
    </w:p>
    <w:p>
      <w:pPr>
        <w:pStyle w:val="Heading2"/>
        <w:spacing w:after="110" w:before="260"/>
      </w:pPr>
      <w:r>
        <w:rPr>
          <w:rFonts w:ascii="Calibri" w:cs="Calibri" w:eastAsia="Calibri" w:hAnsi="Calibri"/>
          <w:b/>
          <w:bCs/>
          <w:color w:val="2E5C8A"/>
          <w:sz w:val="25"/>
          <w:szCs w:val="25"/>
        </w:rPr>
        <w:t xml:space="preserve">1.2 La frontera práctica</w:t>
      </w:r>
    </w:p>
    <w:p>
      <w:pPr>
        <w:spacing w:after="120" w:before="0" w:line="276"/>
      </w:pPr>
      <w:r>
        <w:rPr>
          <w:rFonts w:ascii="Calibri" w:cs="Calibri" w:eastAsia="Calibri" w:hAnsi="Calibri"/>
          <w:sz w:val="21"/>
          <w:szCs w:val="21"/>
        </w:rPr>
        <w:t xml:space="preserve">La diferencia entre registro de estado y tracking se ve mejor en lo que cada uno permite decir.</w:t>
      </w:r>
    </w:p>
    <w:p>
      <w:pPr>
        <w:spacing w:after="60"/>
      </w:pPr>
    </w:p>
    <w:tbl>
      <w:tblPr>
        <w:tblW w:type="dxa" w:w="9360"/>
        <w:tblBorders>
          <w:top w:val="none"/>
          <w:left w:val="single" w:color="2E5C8A" w:sz="18"/>
          <w:bottom w:val="none"/>
          <w:right w:val="none"/>
          <w:insideH w:val="none"/>
          <w:insideV w:val="none"/>
        </w:tblBorders>
      </w:tblPr>
      <w:tblGrid>
        <w:gridCol w:w="9360"/>
      </w:tblGrid>
      <w:tr>
        <w:tc>
          <w:tcPr>
            <w:tcW w:type="dxa" w:w="9360"/>
            <w:shd w:fill="EEF2F7" w:val="clear"/>
            <w:tcMar>
              <w:top w:type="dxa" w:w="140"/>
              <w:left w:type="dxa" w:w="200"/>
              <w:bottom w:type="dxa" w:w="140"/>
              <w:right w:type="dxa" w:w="200"/>
            </w:tcMar>
          </w:tcPr>
          <w:p>
            <w:pPr>
              <w:spacing w:after="100" w:line="276"/>
            </w:pPr>
            <w:r>
              <w:rPr>
                <w:rFonts w:ascii="Calibri" w:cs="Calibri" w:eastAsia="Calibri" w:hAnsi="Calibri"/>
                <w:b/>
                <w:bCs/>
                <w:color w:val="5A5A5A"/>
                <w:sz w:val="21"/>
                <w:szCs w:val="21"/>
              </w:rPr>
              <w:t xml:space="preserve">Registro de estado</w:t>
            </w:r>
          </w:p>
          <w:p>
            <w:pPr>
              <w:spacing w:after="0" w:line="276"/>
            </w:pPr>
            <w:r>
              <w:rPr>
                <w:rFonts w:ascii="Calibri" w:cs="Calibri" w:eastAsia="Calibri" w:hAnsi="Calibri"/>
                <w:sz w:val="21"/>
                <w:szCs w:val="21"/>
              </w:rPr>
              <w:t xml:space="preserve">«CVE-XXXX está remediada.»</w:t>
            </w:r>
          </w:p>
        </w:tc>
      </w:tr>
    </w:tbl>
    <w:p>
      <w:pPr>
        <w:spacing w:after="60"/>
      </w:pPr>
    </w:p>
    <w:tbl>
      <w:tblPr>
        <w:tblW w:type="dxa" w:w="9360"/>
        <w:tblBorders>
          <w:top w:val="none"/>
          <w:left w:val="single" w:color="1E6B4F" w:sz="18"/>
          <w:bottom w:val="none"/>
          <w:right w:val="none"/>
          <w:insideH w:val="none"/>
          <w:insideV w:val="none"/>
        </w:tblBorders>
      </w:tblPr>
      <w:tblGrid>
        <w:gridCol w:w="9360"/>
      </w:tblGrid>
      <w:tr>
        <w:tc>
          <w:tcPr>
            <w:tcW w:type="dxa" w:w="9360"/>
            <w:shd w:fill="EEF2F7" w:val="clear"/>
            <w:tcMar>
              <w:top w:type="dxa" w:w="140"/>
              <w:left w:type="dxa" w:w="200"/>
              <w:bottom w:type="dxa" w:w="140"/>
              <w:right w:type="dxa" w:w="200"/>
            </w:tcMar>
          </w:tcPr>
          <w:p>
            <w:pPr>
              <w:spacing w:after="100" w:line="276"/>
            </w:pPr>
            <w:r>
              <w:rPr>
                <w:rFonts w:ascii="Calibri" w:cs="Calibri" w:eastAsia="Calibri" w:hAnsi="Calibri"/>
                <w:b/>
                <w:bCs/>
                <w:color w:val="1E6B4F"/>
                <w:sz w:val="21"/>
                <w:szCs w:val="21"/>
              </w:rPr>
              <w:t xml:space="preserve">Tracking</w:t>
            </w:r>
          </w:p>
          <w:p>
            <w:pPr>
              <w:spacing w:after="0" w:line="276"/>
            </w:pPr>
            <w:r>
              <w:rPr>
                <w:rFonts w:ascii="Calibri" w:cs="Calibri" w:eastAsia="Calibri" w:hAnsi="Calibri"/>
                <w:sz w:val="21"/>
                <w:szCs w:val="21"/>
              </w:rPr>
              <w:t xml:space="preserve">«CVE-XXXX fue detectada en el activo A el día t1; fue asignada al responsable R en t2; se aplicó la actualización en t4; una evaluación posterior en t5 dejó de detectarla; el caso se cerró en t6; volvió a detectarse en t7 y fue reabierto.»</w:t>
            </w:r>
          </w:p>
        </w:tc>
      </w:tr>
    </w:tbl>
    <w:p>
      <w:pPr>
        <w:spacing w:after="60"/>
      </w:pPr>
    </w:p>
    <w:p>
      <w:pPr>
        <w:spacing w:after="120" w:before="0" w:line="276"/>
      </w:pPr>
      <w:r>
        <w:rPr>
          <w:rFonts w:ascii="Calibri" w:cs="Calibri" w:eastAsia="Calibri" w:hAnsi="Calibri"/>
          <w:sz w:val="21"/>
          <w:szCs w:val="21"/>
        </w:rPr>
        <w:t xml:space="preserve">La segunda representación responde preguntas históricas que la primera no puede contestar. Esa es toda la diferencia.</w:t>
      </w:r>
    </w:p>
    <w:p>
      <w:pPr>
        <w:pStyle w:val="Heading2"/>
        <w:spacing w:after="110" w:before="260"/>
      </w:pPr>
      <w:r>
        <w:rPr>
          <w:rFonts w:ascii="Calibri" w:cs="Calibri" w:eastAsia="Calibri" w:hAnsi="Calibri"/>
          <w:b/>
          <w:bCs/>
          <w:color w:val="2E5C8A"/>
          <w:sz w:val="25"/>
          <w:szCs w:val="25"/>
        </w:rPr>
        <w:t xml:space="preserve">1.3 Qué no alcanza</w:t>
      </w:r>
    </w:p>
    <w:p>
      <w:pPr>
        <w:spacing w:after="60"/>
      </w:pPr>
    </w:p>
    <w:tbl>
      <w:tblPr>
        <w:tblW w:type="dxa" w:w="9360"/>
        <w:tblBorders>
          <w:top w:val="single" w:color="C9D3E0" w:sz="4"/>
          <w:left w:val="single" w:color="C9D3E0" w:sz="4"/>
          <w:bottom w:val="single" w:color="C9D3E0" w:sz="4"/>
          <w:right w:val="single" w:color="C9D3E0" w:sz="4"/>
          <w:insideH w:val="single" w:color="DDE4ED" w:sz="2"/>
          <w:insideV w:val="single" w:color="DDE4ED" w:sz="2"/>
        </w:tblBorders>
      </w:tblPr>
      <w:tblGrid>
        <w:gridCol w:w="3100"/>
        <w:gridCol w:w="1700"/>
        <w:gridCol w:w="4560"/>
      </w:tblGrid>
      <w:tr>
        <w:trPr>
          <w:tblHeader/>
        </w:trPr>
        <w:tc>
          <w:tcPr>
            <w:tcW w:type="dxa" w:w="3100"/>
            <w:shd w:fill="1F3864" w:val="clear"/>
            <w:tcMar>
              <w:top w:type="dxa" w:w="90"/>
              <w:left w:type="dxa" w:w="110"/>
              <w:bottom w:type="dxa" w:w="90"/>
              <w:right w:type="dxa" w:w="110"/>
            </w:tcMar>
          </w:tcPr>
          <w:p>
            <w:pPr>
              <w:spacing w:after="0"/>
            </w:pPr>
            <w:r>
              <w:rPr>
                <w:rFonts w:ascii="Calibri" w:cs="Calibri" w:eastAsia="Calibri" w:hAnsi="Calibri"/>
                <w:b/>
                <w:bCs/>
                <w:color w:val="FFFFFF"/>
                <w:sz w:val="19"/>
                <w:szCs w:val="19"/>
              </w:rPr>
              <w:t xml:space="preserve">Capacidad</w:t>
            </w:r>
          </w:p>
        </w:tc>
        <w:tc>
          <w:tcPr>
            <w:tcW w:type="dxa" w:w="1700"/>
            <w:shd w:fill="1F3864" w:val="clear"/>
            <w:tcMar>
              <w:top w:type="dxa" w:w="90"/>
              <w:left w:type="dxa" w:w="110"/>
              <w:bottom w:type="dxa" w:w="90"/>
              <w:right w:type="dxa" w:w="110"/>
            </w:tcMar>
          </w:tcPr>
          <w:p>
            <w:pPr>
              <w:spacing w:after="0"/>
            </w:pPr>
            <w:r>
              <w:rPr>
                <w:rFonts w:ascii="Calibri" w:cs="Calibri" w:eastAsia="Calibri" w:hAnsi="Calibri"/>
                <w:b/>
                <w:bCs/>
                <w:color w:val="FFFFFF"/>
                <w:sz w:val="19"/>
                <w:szCs w:val="19"/>
              </w:rPr>
              <w:t xml:space="preserve">¿Es tracking?</w:t>
            </w:r>
          </w:p>
        </w:tc>
        <w:tc>
          <w:tcPr>
            <w:tcW w:type="dxa" w:w="4560"/>
            <w:shd w:fill="1F3864" w:val="clear"/>
            <w:tcMar>
              <w:top w:type="dxa" w:w="90"/>
              <w:left w:type="dxa" w:w="110"/>
              <w:bottom w:type="dxa" w:w="90"/>
              <w:right w:type="dxa" w:w="110"/>
            </w:tcMar>
          </w:tcPr>
          <w:p>
            <w:pPr>
              <w:spacing w:after="0"/>
            </w:pPr>
            <w:r>
              <w:rPr>
                <w:rFonts w:ascii="Calibri" w:cs="Calibri" w:eastAsia="Calibri" w:hAnsi="Calibri"/>
                <w:b/>
                <w:bCs/>
                <w:color w:val="FFFFFF"/>
                <w:sz w:val="19"/>
                <w:szCs w:val="19"/>
              </w:rPr>
              <w:t xml:space="preserve">Por qué</w:t>
            </w:r>
          </w:p>
        </w:tc>
      </w:tr>
      <w:tr>
        <w:tc>
          <w:tcPr>
            <w:tcW w:type="dxa" w:w="3100"/>
            <w:tcMar>
              <w:top w:type="dxa" w:w="80"/>
              <w:left w:type="dxa" w:w="110"/>
              <w:bottom w:type="dxa" w:w="80"/>
              <w:right w:type="dxa" w:w="110"/>
            </w:tcMar>
          </w:tcPr>
          <w:p>
            <w:pPr>
              <w:spacing w:after="0" w:line="250"/>
            </w:pPr>
            <w:r>
              <w:rPr>
                <w:rFonts w:ascii="Calibri" w:cs="Calibri" w:eastAsia="Calibri" w:hAnsi="Calibri"/>
                <w:b/>
                <w:bCs/>
                <w:sz w:val="18"/>
                <w:szCs w:val="18"/>
              </w:rPr>
              <w:t xml:space="preserve">Guardar una lista de CVE</w:t>
            </w:r>
          </w:p>
        </w:tc>
        <w:tc>
          <w:tcPr>
            <w:tcW w:type="dxa" w:w="170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No</w:t>
            </w:r>
          </w:p>
        </w:tc>
        <w:tc>
          <w:tcPr>
            <w:tcW w:type="dxa" w:w="456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Registra conocimiento sobre vulnerabilidades, no su tratamiento en el entorno propio.</w:t>
            </w:r>
          </w:p>
        </w:tc>
      </w:tr>
      <w:tr>
        <w:tc>
          <w:tcPr>
            <w:tcW w:type="dxa" w:w="3100"/>
            <w:shd w:fill="F6F8FB" w:val="clear"/>
            <w:tcMar>
              <w:top w:type="dxa" w:w="80"/>
              <w:left w:type="dxa" w:w="110"/>
              <w:bottom w:type="dxa" w:w="80"/>
              <w:right w:type="dxa" w:w="110"/>
            </w:tcMar>
          </w:tcPr>
          <w:p>
            <w:pPr>
              <w:spacing w:after="0" w:line="250"/>
            </w:pPr>
            <w:r>
              <w:rPr>
                <w:rFonts w:ascii="Calibri" w:cs="Calibri" w:eastAsia="Calibri" w:hAnsi="Calibri"/>
                <w:b/>
                <w:bCs/>
                <w:sz w:val="18"/>
                <w:szCs w:val="18"/>
              </w:rPr>
              <w:t xml:space="preserve">Guardar el último estado</w:t>
            </w:r>
          </w:p>
        </w:tc>
        <w:tc>
          <w:tcPr>
            <w:tcW w:type="dxa" w:w="1700"/>
            <w:shd w:fill="F6F8FB" w:val="clear"/>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No, por sí solo</w:t>
            </w:r>
          </w:p>
        </w:tc>
        <w:tc>
          <w:tcPr>
            <w:tcW w:type="dxa" w:w="4560"/>
            <w:shd w:fill="F6F8FB" w:val="clear"/>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No permite reconstruir cómo se llegó a ese estado.</w:t>
            </w:r>
          </w:p>
        </w:tc>
      </w:tr>
      <w:tr>
        <w:tc>
          <w:tcPr>
            <w:tcW w:type="dxa" w:w="3100"/>
            <w:tcMar>
              <w:top w:type="dxa" w:w="80"/>
              <w:left w:type="dxa" w:w="110"/>
              <w:bottom w:type="dxa" w:w="80"/>
              <w:right w:type="dxa" w:w="110"/>
            </w:tcMar>
          </w:tcPr>
          <w:p>
            <w:pPr>
              <w:spacing w:after="0" w:line="250"/>
            </w:pPr>
            <w:r>
              <w:rPr>
                <w:rFonts w:ascii="Calibri" w:cs="Calibri" w:eastAsia="Calibri" w:hAnsi="Calibri"/>
                <w:b/>
                <w:bCs/>
                <w:sz w:val="18"/>
                <w:szCs w:val="18"/>
              </w:rPr>
              <w:t xml:space="preserve">Ejecutar un escaneo periódico</w:t>
            </w:r>
          </w:p>
        </w:tc>
        <w:tc>
          <w:tcPr>
            <w:tcW w:type="dxa" w:w="170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No</w:t>
            </w:r>
          </w:p>
        </w:tc>
        <w:tc>
          <w:tcPr>
            <w:tcW w:type="dxa" w:w="456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Detecta. Detectar no es hacer seguimiento.</w:t>
            </w:r>
          </w:p>
        </w:tc>
      </w:tr>
      <w:tr>
        <w:tc>
          <w:tcPr>
            <w:tcW w:type="dxa" w:w="3100"/>
            <w:shd w:fill="F6F8FB" w:val="clear"/>
            <w:tcMar>
              <w:top w:type="dxa" w:w="80"/>
              <w:left w:type="dxa" w:w="110"/>
              <w:bottom w:type="dxa" w:w="80"/>
              <w:right w:type="dxa" w:w="110"/>
            </w:tcMar>
          </w:tcPr>
          <w:p>
            <w:pPr>
              <w:spacing w:after="0" w:line="250"/>
            </w:pPr>
            <w:r>
              <w:rPr>
                <w:rFonts w:ascii="Calibri" w:cs="Calibri" w:eastAsia="Calibri" w:hAnsi="Calibri"/>
                <w:b/>
                <w:bCs/>
                <w:sz w:val="18"/>
                <w:szCs w:val="18"/>
              </w:rPr>
              <w:t xml:space="preserve">Crear un ticket por vulnerabilidad</w:t>
            </w:r>
          </w:p>
        </w:tc>
        <w:tc>
          <w:tcPr>
            <w:tcW w:type="dxa" w:w="1700"/>
            <w:shd w:fill="F6F8FB" w:val="clear"/>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No, por sí solo</w:t>
            </w:r>
          </w:p>
        </w:tc>
        <w:tc>
          <w:tcPr>
            <w:tcW w:type="dxa" w:w="4560"/>
            <w:shd w:fill="F6F8FB" w:val="clear"/>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Hay flujo de trabajo, pero puede no haber continuidad entre ticket, activo y evidencia.</w:t>
            </w:r>
          </w:p>
        </w:tc>
      </w:tr>
      <w:tr>
        <w:tc>
          <w:tcPr>
            <w:tcW w:type="dxa" w:w="3100"/>
            <w:tcMar>
              <w:top w:type="dxa" w:w="80"/>
              <w:left w:type="dxa" w:w="110"/>
              <w:bottom w:type="dxa" w:w="80"/>
              <w:right w:type="dxa" w:w="110"/>
            </w:tcMar>
          </w:tcPr>
          <w:p>
            <w:pPr>
              <w:spacing w:after="0" w:line="250"/>
            </w:pPr>
            <w:r>
              <w:rPr>
                <w:rFonts w:ascii="Calibri" w:cs="Calibri" w:eastAsia="Calibri" w:hAnsi="Calibri"/>
                <w:b/>
                <w:bCs/>
                <w:sz w:val="18"/>
                <w:szCs w:val="18"/>
              </w:rPr>
              <w:t xml:space="preserve">Registrar «parche aplicado» a mano</w:t>
            </w:r>
          </w:p>
        </w:tc>
        <w:tc>
          <w:tcPr>
            <w:tcW w:type="dxa" w:w="170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Parcial</w:t>
            </w:r>
          </w:p>
        </w:tc>
        <w:tc>
          <w:tcPr>
            <w:tcW w:type="dxa" w:w="456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Es una declaración de tratamiento, no evidencia de resultado.</w:t>
            </w:r>
          </w:p>
        </w:tc>
      </w:tr>
      <w:tr>
        <w:tc>
          <w:tcPr>
            <w:tcW w:type="dxa" w:w="3100"/>
            <w:shd w:fill="F6F8FB" w:val="clear"/>
            <w:tcMar>
              <w:top w:type="dxa" w:w="80"/>
              <w:left w:type="dxa" w:w="110"/>
              <w:bottom w:type="dxa" w:w="80"/>
              <w:right w:type="dxa" w:w="110"/>
            </w:tcMar>
          </w:tcPr>
          <w:p>
            <w:pPr>
              <w:spacing w:after="0" w:line="250"/>
            </w:pPr>
            <w:r>
              <w:rPr>
                <w:rFonts w:ascii="Calibri" w:cs="Calibri" w:eastAsia="Calibri" w:hAnsi="Calibri"/>
                <w:b/>
                <w:bCs/>
                <w:sz w:val="18"/>
                <w:szCs w:val="18"/>
              </w:rPr>
              <w:t xml:space="preserve">Comparar dos escaneos</w:t>
            </w:r>
          </w:p>
        </w:tc>
        <w:tc>
          <w:tcPr>
            <w:tcW w:type="dxa" w:w="1700"/>
            <w:shd w:fill="F6F8FB" w:val="clear"/>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Sí, en forma básica</w:t>
            </w:r>
          </w:p>
        </w:tc>
        <w:tc>
          <w:tcPr>
            <w:tcW w:type="dxa" w:w="4560"/>
            <w:shd w:fill="F6F8FB" w:val="clear"/>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Permite inferir persistencia o desaparición de un hallazgo.</w:t>
            </w:r>
          </w:p>
        </w:tc>
      </w:tr>
      <w:tr>
        <w:tc>
          <w:tcPr>
            <w:tcW w:type="dxa" w:w="3100"/>
            <w:tcMar>
              <w:top w:type="dxa" w:w="80"/>
              <w:left w:type="dxa" w:w="110"/>
              <w:bottom w:type="dxa" w:w="80"/>
              <w:right w:type="dxa" w:w="110"/>
            </w:tcMar>
          </w:tcPr>
          <w:p>
            <w:pPr>
              <w:spacing w:after="0" w:line="250"/>
            </w:pPr>
            <w:r>
              <w:rPr>
                <w:rFonts w:ascii="Calibri" w:cs="Calibri" w:eastAsia="Calibri" w:hAnsi="Calibri"/>
                <w:b/>
                <w:bCs/>
                <w:sz w:val="18"/>
                <w:szCs w:val="18"/>
              </w:rPr>
              <w:t xml:space="preserve">Encadenar hallazgo, activo, acción y verificación</w:t>
            </w:r>
          </w:p>
        </w:tc>
        <w:tc>
          <w:tcPr>
            <w:tcW w:type="dxa" w:w="170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Sí</w:t>
            </w:r>
          </w:p>
        </w:tc>
        <w:tc>
          <w:tcPr>
            <w:tcW w:type="dxa" w:w="456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Existe continuidad del caso.</w:t>
            </w:r>
          </w:p>
        </w:tc>
      </w:tr>
      <w:tr>
        <w:tc>
          <w:tcPr>
            <w:tcW w:type="dxa" w:w="3100"/>
            <w:shd w:fill="F6F8FB" w:val="clear"/>
            <w:tcMar>
              <w:top w:type="dxa" w:w="80"/>
              <w:left w:type="dxa" w:w="110"/>
              <w:bottom w:type="dxa" w:w="80"/>
              <w:right w:type="dxa" w:w="110"/>
            </w:tcMar>
          </w:tcPr>
          <w:p>
            <w:pPr>
              <w:spacing w:after="0" w:line="250"/>
            </w:pPr>
            <w:r>
              <w:rPr>
                <w:rFonts w:ascii="Calibri" w:cs="Calibri" w:eastAsia="Calibri" w:hAnsi="Calibri"/>
                <w:b/>
                <w:bCs/>
                <w:sz w:val="18"/>
                <w:szCs w:val="18"/>
              </w:rPr>
              <w:t xml:space="preserve">Reabrir cuando la vulnerabilidad vuelve</w:t>
            </w:r>
          </w:p>
        </w:tc>
        <w:tc>
          <w:tcPr>
            <w:tcW w:type="dxa" w:w="1700"/>
            <w:shd w:fill="F6F8FB" w:val="clear"/>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Sí, capacidad madura</w:t>
            </w:r>
          </w:p>
        </w:tc>
        <w:tc>
          <w:tcPr>
            <w:tcW w:type="dxa" w:w="4560"/>
            <w:shd w:fill="F6F8FB" w:val="clear"/>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Introduce continuidad posterior al cierre.</w:t>
            </w:r>
          </w:p>
        </w:tc>
      </w:tr>
    </w:tbl>
    <w:p>
      <w:pPr>
        <w:spacing w:after="140"/>
      </w:pPr>
    </w:p>
    <w:p>
      <w:pPr>
        <w:pStyle w:val="Heading2"/>
        <w:spacing w:after="110" w:before="260"/>
      </w:pPr>
      <w:r>
        <w:rPr>
          <w:rFonts w:ascii="Calibri" w:cs="Calibri" w:eastAsia="Calibri" w:hAnsi="Calibri"/>
          <w:b/>
          <w:bCs/>
          <w:color w:val="2E5C8A"/>
          <w:sz w:val="25"/>
          <w:szCs w:val="25"/>
        </w:rPr>
        <w:t xml:space="preserve">1.4 El anclaje normativo de la definición</w:t>
      </w:r>
    </w:p>
    <w:p>
      <w:pPr>
        <w:spacing w:after="120" w:before="0" w:line="276"/>
      </w:pPr>
      <w:r>
        <w:rPr>
          <w:rFonts w:ascii="Calibri" w:cs="Calibri" w:eastAsia="Calibri" w:hAnsi="Calibri"/>
          <w:sz w:val="21"/>
          <w:szCs w:val="21"/>
        </w:rPr>
        <w:t xml:space="preserve">NIST SP 800-40 Revisión 4 define la gestión de parches empresarial como el proceso de identificar, priorizar, adquirir, instalar y verificar la instalación de parches, actualizaciones y mejoras a lo largo de la organización. La verificación está dentro del proceso, no es un agregado opcional.</w:t>
      </w:r>
    </w:p>
    <w:p>
      <w:pPr>
        <w:spacing w:after="120" w:before="0" w:line="276"/>
      </w:pPr>
      <w:r>
        <w:rPr>
          <w:rFonts w:ascii="Calibri" w:cs="Calibri" w:eastAsia="Calibri" w:hAnsi="Calibri"/>
          <w:sz w:val="21"/>
          <w:szCs w:val="21"/>
        </w:rPr>
        <w:t xml:space="preserve">CIS Control 7 define la gestión continua de vulnerabilidades en términos de evaluar y hacer seguimiento de vulnerabilidades en todos los activos, con el objetivo de remediarlas y minimizar la ventana de oportunidad para un atacante. El Safeguard 7.2 exige establecer y mantener una estrategia de remediación basada en riesgo, documentada en un proceso, con revisiones mensuales o más frecuentes.</w:t>
      </w:r>
    </w:p>
    <w:p>
      <w:pPr>
        <w:spacing w:after="120" w:before="0" w:line="276"/>
      </w:pPr>
      <w:r>
        <w:rPr>
          <w:rFonts w:ascii="Calibri" w:cs="Calibri" w:eastAsia="Calibri" w:hAnsi="Calibri"/>
          <w:sz w:val="21"/>
          <w:szCs w:val="21"/>
        </w:rPr>
        <w:t xml:space="preserve">NIST SP 800-53, en el control SI-2 (Flaw Remediation), exige identificar, reportar y corregir fallos; probar las actualizaciones antes de instalarlas; e incorporar la remediación al proceso de gestión de configuración, señalando que es esa incorporación la que permite que las acciones de remediación sean rastreadas y verificadas.</w:t>
      </w:r>
    </w:p>
    <w:p>
      <w:pPr>
        <w:pStyle w:val="Heading1"/>
        <w:pBdr>
          <w:bottom w:val="single" w:color="1F3864" w:sz="8" w:space="6"/>
        </w:pBdr>
        <w:spacing w:after="160" w:before="340"/>
      </w:pPr>
      <w:r>
        <w:rPr>
          <w:rFonts w:ascii="Calibri" w:cs="Calibri" w:eastAsia="Calibri" w:hAnsi="Calibri"/>
          <w:b/>
          <w:bCs/>
          <w:color w:val="1F3864"/>
          <w:sz w:val="30"/>
          <w:szCs w:val="30"/>
        </w:rPr>
        <w:t xml:space="preserve">2. La unidad del tracking</w:t>
      </w:r>
    </w:p>
    <w:p>
      <w:pPr>
        <w:spacing w:after="120" w:before="0" w:line="276"/>
      </w:pPr>
      <w:r>
        <w:rPr>
          <w:rFonts w:ascii="Calibri" w:cs="Calibri" w:eastAsia="Calibri" w:hAnsi="Calibri"/>
          <w:sz w:val="21"/>
          <w:szCs w:val="21"/>
        </w:rPr>
        <w:t xml:space="preserve">Un error conceptual frecuente, y de consecuencias grandes en el modelo de datos, es tratar la vulnerabilidad como una entidad única y global. Conviene distinguir cuatro cosas distintas.</w:t>
      </w:r>
    </w:p>
    <w:p>
      <w:pPr>
        <w:spacing w:after="60"/>
      </w:pPr>
    </w:p>
    <w:tbl>
      <w:tblPr>
        <w:tblW w:type="dxa" w:w="9360"/>
        <w:tblBorders>
          <w:top w:val="single" w:color="C9D3E0" w:sz="4"/>
          <w:left w:val="single" w:color="C9D3E0" w:sz="4"/>
          <w:bottom w:val="single" w:color="C9D3E0" w:sz="4"/>
          <w:right w:val="single" w:color="C9D3E0" w:sz="4"/>
          <w:insideH w:val="single" w:color="DDE4ED" w:sz="2"/>
          <w:insideV w:val="single" w:color="DDE4ED" w:sz="2"/>
        </w:tblBorders>
      </w:tblPr>
      <w:tblGrid>
        <w:gridCol w:w="1900"/>
        <w:gridCol w:w="3600"/>
        <w:gridCol w:w="3860"/>
      </w:tblGrid>
      <w:tr>
        <w:trPr>
          <w:tblHeader/>
        </w:trPr>
        <w:tc>
          <w:tcPr>
            <w:tcW w:type="dxa" w:w="1900"/>
            <w:shd w:fill="1F3864" w:val="clear"/>
            <w:tcMar>
              <w:top w:type="dxa" w:w="90"/>
              <w:left w:type="dxa" w:w="110"/>
              <w:bottom w:type="dxa" w:w="90"/>
              <w:right w:type="dxa" w:w="110"/>
            </w:tcMar>
          </w:tcPr>
          <w:p>
            <w:pPr>
              <w:spacing w:after="0"/>
            </w:pPr>
            <w:r>
              <w:rPr>
                <w:rFonts w:ascii="Calibri" w:cs="Calibri" w:eastAsia="Calibri" w:hAnsi="Calibri"/>
                <w:b/>
                <w:bCs/>
                <w:color w:val="FFFFFF"/>
                <w:sz w:val="19"/>
                <w:szCs w:val="19"/>
              </w:rPr>
              <w:t xml:space="preserve">Entidad</w:t>
            </w:r>
          </w:p>
        </w:tc>
        <w:tc>
          <w:tcPr>
            <w:tcW w:type="dxa" w:w="3600"/>
            <w:shd w:fill="1F3864" w:val="clear"/>
            <w:tcMar>
              <w:top w:type="dxa" w:w="90"/>
              <w:left w:type="dxa" w:w="110"/>
              <w:bottom w:type="dxa" w:w="90"/>
              <w:right w:type="dxa" w:w="110"/>
            </w:tcMar>
          </w:tcPr>
          <w:p>
            <w:pPr>
              <w:spacing w:after="0"/>
            </w:pPr>
            <w:r>
              <w:rPr>
                <w:rFonts w:ascii="Calibri" w:cs="Calibri" w:eastAsia="Calibri" w:hAnsi="Calibri"/>
                <w:b/>
                <w:bCs/>
                <w:color w:val="FFFFFF"/>
                <w:sz w:val="19"/>
                <w:szCs w:val="19"/>
              </w:rPr>
              <w:t xml:space="preserve">Qué es</w:t>
            </w:r>
          </w:p>
        </w:tc>
        <w:tc>
          <w:tcPr>
            <w:tcW w:type="dxa" w:w="3860"/>
            <w:shd w:fill="1F3864" w:val="clear"/>
            <w:tcMar>
              <w:top w:type="dxa" w:w="90"/>
              <w:left w:type="dxa" w:w="110"/>
              <w:bottom w:type="dxa" w:w="90"/>
              <w:right w:type="dxa" w:w="110"/>
            </w:tcMar>
          </w:tcPr>
          <w:p>
            <w:pPr>
              <w:spacing w:after="0"/>
            </w:pPr>
            <w:r>
              <w:rPr>
                <w:rFonts w:ascii="Calibri" w:cs="Calibri" w:eastAsia="Calibri" w:hAnsi="Calibri"/>
                <w:b/>
                <w:bCs/>
                <w:color w:val="FFFFFF"/>
                <w:sz w:val="19"/>
                <w:szCs w:val="19"/>
              </w:rPr>
              <w:t xml:space="preserve">Ejemplo</w:t>
            </w:r>
          </w:p>
        </w:tc>
      </w:tr>
      <w:tr>
        <w:tc>
          <w:tcPr>
            <w:tcW w:type="dxa" w:w="1900"/>
            <w:tcMar>
              <w:top w:type="dxa" w:w="80"/>
              <w:left w:type="dxa" w:w="110"/>
              <w:bottom w:type="dxa" w:w="80"/>
              <w:right w:type="dxa" w:w="110"/>
            </w:tcMar>
          </w:tcPr>
          <w:p>
            <w:pPr>
              <w:spacing w:after="0" w:line="250"/>
            </w:pPr>
            <w:r>
              <w:rPr>
                <w:rFonts w:ascii="Calibri" w:cs="Calibri" w:eastAsia="Calibri" w:hAnsi="Calibri"/>
                <w:b/>
                <w:bCs/>
                <w:sz w:val="18"/>
                <w:szCs w:val="18"/>
              </w:rPr>
              <w:t xml:space="preserve">Vulnerabilidad</w:t>
            </w:r>
          </w:p>
        </w:tc>
        <w:tc>
          <w:tcPr>
            <w:tcW w:type="dxa" w:w="360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El problema de seguridad identificado, con su identificador público.</w:t>
            </w:r>
          </w:p>
        </w:tc>
        <w:tc>
          <w:tcPr>
            <w:tcW w:type="dxa" w:w="386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CVE-XXXX existe y afecta al producto P en versiones menores a 2.4.</w:t>
            </w:r>
          </w:p>
        </w:tc>
      </w:tr>
      <w:tr>
        <w:tc>
          <w:tcPr>
            <w:tcW w:type="dxa" w:w="1900"/>
            <w:shd w:fill="F6F8FB" w:val="clear"/>
            <w:tcMar>
              <w:top w:type="dxa" w:w="80"/>
              <w:left w:type="dxa" w:w="110"/>
              <w:bottom w:type="dxa" w:w="80"/>
              <w:right w:type="dxa" w:w="110"/>
            </w:tcMar>
          </w:tcPr>
          <w:p>
            <w:pPr>
              <w:spacing w:after="0" w:line="250"/>
            </w:pPr>
            <w:r>
              <w:rPr>
                <w:rFonts w:ascii="Calibri" w:cs="Calibri" w:eastAsia="Calibri" w:hAnsi="Calibri"/>
                <w:b/>
                <w:bCs/>
                <w:sz w:val="18"/>
                <w:szCs w:val="18"/>
              </w:rPr>
              <w:t xml:space="preserve">Exposición</w:t>
            </w:r>
          </w:p>
        </w:tc>
        <w:tc>
          <w:tcPr>
            <w:tcW w:type="dxa" w:w="3600"/>
            <w:shd w:fill="F6F8FB" w:val="clear"/>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La relación entre la vulnerabilidad y un contexto donde puede ser relevante.</w:t>
            </w:r>
          </w:p>
        </w:tc>
        <w:tc>
          <w:tcPr>
            <w:tcW w:type="dxa" w:w="3860"/>
            <w:shd w:fill="F6F8FB" w:val="clear"/>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CVE-XXXX afecta a la versión de P instalada en el activo A.</w:t>
            </w:r>
          </w:p>
        </w:tc>
      </w:tr>
      <w:tr>
        <w:tc>
          <w:tcPr>
            <w:tcW w:type="dxa" w:w="1900"/>
            <w:tcMar>
              <w:top w:type="dxa" w:w="80"/>
              <w:left w:type="dxa" w:w="110"/>
              <w:bottom w:type="dxa" w:w="80"/>
              <w:right w:type="dxa" w:w="110"/>
            </w:tcMar>
          </w:tcPr>
          <w:p>
            <w:pPr>
              <w:spacing w:after="0" w:line="250"/>
            </w:pPr>
            <w:r>
              <w:rPr>
                <w:rFonts w:ascii="Calibri" w:cs="Calibri" w:eastAsia="Calibri" w:hAnsi="Calibri"/>
                <w:b/>
                <w:bCs/>
                <w:sz w:val="18"/>
                <w:szCs w:val="18"/>
              </w:rPr>
              <w:t xml:space="preserve">Hallazgo</w:t>
            </w:r>
          </w:p>
        </w:tc>
        <w:tc>
          <w:tcPr>
            <w:tcW w:type="dxa" w:w="360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La observación concreta que hizo una fuente de detección.</w:t>
            </w:r>
          </w:p>
        </w:tc>
        <w:tc>
          <w:tcPr>
            <w:tcW w:type="dxa" w:w="386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El escaneo del 3 de agosto observó en A la condición asociada a CVE-XXXX.</w:t>
            </w:r>
          </w:p>
        </w:tc>
      </w:tr>
      <w:tr>
        <w:tc>
          <w:tcPr>
            <w:tcW w:type="dxa" w:w="1900"/>
            <w:shd w:fill="F6F8FB" w:val="clear"/>
            <w:tcMar>
              <w:top w:type="dxa" w:w="80"/>
              <w:left w:type="dxa" w:w="110"/>
              <w:bottom w:type="dxa" w:w="80"/>
              <w:right w:type="dxa" w:w="110"/>
            </w:tcMar>
          </w:tcPr>
          <w:p>
            <w:pPr>
              <w:spacing w:after="0" w:line="250"/>
            </w:pPr>
            <w:r>
              <w:rPr>
                <w:rFonts w:ascii="Calibri" w:cs="Calibri" w:eastAsia="Calibri" w:hAnsi="Calibri"/>
                <w:b/>
                <w:bCs/>
                <w:sz w:val="18"/>
                <w:szCs w:val="18"/>
              </w:rPr>
              <w:t xml:space="preserve">Caso de remediación</w:t>
            </w:r>
          </w:p>
        </w:tc>
        <w:tc>
          <w:tcPr>
            <w:tcW w:type="dxa" w:w="3600"/>
            <w:shd w:fill="F6F8FB" w:val="clear"/>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La unidad operativa que se sigue, con responsable, plazo, acciones y evidencia.</w:t>
            </w:r>
          </w:p>
        </w:tc>
        <w:tc>
          <w:tcPr>
            <w:tcW w:type="dxa" w:w="3860"/>
            <w:shd w:fill="F6F8FB" w:val="clear"/>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Resolver CVE-XXXX en el activo A.</w:t>
            </w:r>
          </w:p>
        </w:tc>
      </w:tr>
    </w:tbl>
    <w:p>
      <w:pPr>
        <w:spacing w:after="140"/>
      </w:pPr>
    </w:p>
    <w:tbl>
      <w:tblPr>
        <w:tblW w:type="dxa" w:w="9360"/>
        <w:tblBorders>
          <w:top w:val="none"/>
          <w:left w:val="single" w:color="2E5C8A" w:sz="18"/>
          <w:bottom w:val="none"/>
          <w:right w:val="none"/>
          <w:insideH w:val="none"/>
          <w:insideV w:val="none"/>
        </w:tblBorders>
      </w:tblPr>
      <w:tblGrid>
        <w:gridCol w:w="9360"/>
      </w:tblGrid>
      <w:tr>
        <w:tc>
          <w:tcPr>
            <w:tcW w:type="dxa" w:w="9360"/>
            <w:shd w:fill="EEF2F7" w:val="clear"/>
            <w:tcMar>
              <w:top w:type="dxa" w:w="140"/>
              <w:left w:type="dxa" w:w="200"/>
              <w:bottom w:type="dxa" w:w="140"/>
              <w:right w:type="dxa" w:w="200"/>
            </w:tcMar>
          </w:tcPr>
          <w:p>
            <w:pPr>
              <w:spacing w:after="100" w:line="276"/>
            </w:pPr>
            <w:r>
              <w:rPr>
                <w:rFonts w:ascii="Calibri" w:cs="Calibri" w:eastAsia="Calibri" w:hAnsi="Calibri"/>
                <w:b/>
                <w:bCs/>
                <w:color w:val="1F3864"/>
                <w:sz w:val="21"/>
                <w:szCs w:val="21"/>
              </w:rPr>
              <w:t xml:space="preserve">Por qué la distinción importa</w:t>
            </w:r>
          </w:p>
          <w:p>
            <w:pPr>
              <w:spacing w:after="100" w:line="276"/>
            </w:pPr>
            <w:r>
              <w:rPr>
                <w:rFonts w:ascii="Calibri" w:cs="Calibri" w:eastAsia="Calibri" w:hAnsi="Calibri"/>
                <w:sz w:val="21"/>
                <w:szCs w:val="21"/>
              </w:rPr>
              <w:t xml:space="preserve">Un mismo CVE puede afectar a muchos activos, y cada relación vulnerabilidad-activo tiene su propia historia de remediación. Un activo puede estar cerrado, otro abierto, otro con riesgo aceptado y otro descartado por no aplicar, todos bajo el mismo CVE. Modelar el CVE como unidad de cierre hace imposible representar esa realidad.</w:t>
            </w:r>
          </w:p>
          <w:p>
            <w:pPr>
              <w:spacing w:after="0" w:line="276"/>
            </w:pPr>
            <w:r>
              <w:rPr>
                <w:rFonts w:ascii="Calibri" w:cs="Calibri" w:eastAsia="Calibri" w:hAnsi="Calibri"/>
                <w:sz w:val="21"/>
                <w:szCs w:val="21"/>
              </w:rPr>
              <w:t xml:space="preserve">La consecuencia práctica es que el estado no pertenece al CVE: pertenece al par vulnerabilidad-activo.</w:t>
            </w:r>
          </w:p>
        </w:tc>
      </w:tr>
    </w:tbl>
    <w:p>
      <w:pPr>
        <w:spacing w:after="60"/>
      </w:pPr>
    </w:p>
    <w:p>
      <w:pPr>
        <w:spacing w:after="120" w:before="0" w:line="276"/>
      </w:pPr>
      <w:r>
        <w:rPr>
          <w:rFonts w:ascii="Calibri" w:cs="Calibri" w:eastAsia="Calibri" w:hAnsi="Calibri"/>
          <w:sz w:val="21"/>
          <w:szCs w:val="21"/>
        </w:rPr>
        <w:t xml:space="preserve">Además, la propia información sobre la vulnerabilidad evoluciona después de publicada. Los registros CVE tienen estados propios —reservado, publicado, rechazado— y las bases de datos que los enriquecen mantienen eventos separados de recepción, análisis inicial, reanálisis y modificación. Un sistema maduro distingue el ciclo de vida del conocimiento sobre la vulnerabilidad del ciclo de vida de la exposición en el entorno propio, y los relaciona.</w:t>
      </w:r>
    </w:p>
    <w:p>
      <w:pPr>
        <w:pStyle w:val="Heading1"/>
        <w:pBdr>
          <w:bottom w:val="single" w:color="1F3864" w:sz="8" w:space="6"/>
        </w:pBdr>
        <w:spacing w:after="160" w:before="340"/>
      </w:pPr>
      <w:r>
        <w:rPr>
          <w:rFonts w:ascii="Calibri" w:cs="Calibri" w:eastAsia="Calibri" w:hAnsi="Calibri"/>
          <w:b/>
          <w:bCs/>
          <w:color w:val="1F3864"/>
          <w:sz w:val="30"/>
          <w:szCs w:val="30"/>
        </w:rPr>
        <w:t xml:space="preserve">3. Ciclo de vida</w:t>
      </w:r>
    </w:p>
    <w:p>
      <w:pPr>
        <w:spacing w:after="120" w:before="0" w:line="276"/>
      </w:pPr>
      <w:r>
        <w:rPr>
          <w:rFonts w:ascii="Calibri" w:cs="Calibri" w:eastAsia="Calibri" w:hAnsi="Calibri"/>
          <w:sz w:val="21"/>
          <w:szCs w:val="21"/>
        </w:rPr>
        <w:t xml:space="preserve">No existe un ciclo universal único. El siguiente es un modelo de referencia que combina el ciclo de la vulnerabilidad, el de la gestión y el de la remediación operativa.</w:t>
      </w:r>
    </w:p>
    <w:p>
      <w:pPr>
        <w:pStyle w:val="Heading2"/>
        <w:spacing w:after="110" w:before="260"/>
      </w:pPr>
      <w:r>
        <w:rPr>
          <w:rFonts w:ascii="Calibri" w:cs="Calibri" w:eastAsia="Calibri" w:hAnsi="Calibri"/>
          <w:b/>
          <w:bCs/>
          <w:color w:val="2E5C8A"/>
          <w:sz w:val="25"/>
          <w:szCs w:val="25"/>
        </w:rPr>
        <w:t xml:space="preserve">3.1 Los momentos</w:t>
      </w:r>
    </w:p>
    <w:p>
      <w:pPr>
        <w:spacing w:after="60"/>
      </w:pPr>
    </w:p>
    <w:tbl>
      <w:tblPr>
        <w:tblW w:type="dxa" w:w="9360"/>
        <w:tblBorders>
          <w:top w:val="single" w:color="C9D3E0" w:sz="4"/>
          <w:left w:val="single" w:color="C9D3E0" w:sz="4"/>
          <w:bottom w:val="single" w:color="C9D3E0" w:sz="4"/>
          <w:right w:val="single" w:color="C9D3E0" w:sz="4"/>
          <w:insideH w:val="single" w:color="DDE4ED" w:sz="2"/>
          <w:insideV w:val="single" w:color="DDE4ED" w:sz="2"/>
        </w:tblBorders>
      </w:tblPr>
      <w:tblGrid>
        <w:gridCol w:w="1800"/>
        <w:gridCol w:w="5560"/>
        <w:gridCol w:w="2000"/>
      </w:tblGrid>
      <w:tr>
        <w:trPr>
          <w:tblHeader/>
        </w:trPr>
        <w:tc>
          <w:tcPr>
            <w:tcW w:type="dxa" w:w="1800"/>
            <w:shd w:fill="1F3864" w:val="clear"/>
            <w:tcMar>
              <w:top w:type="dxa" w:w="90"/>
              <w:left w:type="dxa" w:w="110"/>
              <w:bottom w:type="dxa" w:w="90"/>
              <w:right w:type="dxa" w:w="110"/>
            </w:tcMar>
          </w:tcPr>
          <w:p>
            <w:pPr>
              <w:spacing w:after="0"/>
            </w:pPr>
            <w:r>
              <w:rPr>
                <w:rFonts w:ascii="Calibri" w:cs="Calibri" w:eastAsia="Calibri" w:hAnsi="Calibri"/>
                <w:b/>
                <w:bCs/>
                <w:color w:val="FFFFFF"/>
                <w:sz w:val="19"/>
                <w:szCs w:val="19"/>
              </w:rPr>
              <w:t xml:space="preserve">Momento</w:t>
            </w:r>
          </w:p>
        </w:tc>
        <w:tc>
          <w:tcPr>
            <w:tcW w:type="dxa" w:w="5560"/>
            <w:shd w:fill="1F3864" w:val="clear"/>
            <w:tcMar>
              <w:top w:type="dxa" w:w="90"/>
              <w:left w:type="dxa" w:w="110"/>
              <w:bottom w:type="dxa" w:w="90"/>
              <w:right w:type="dxa" w:w="110"/>
            </w:tcMar>
          </w:tcPr>
          <w:p>
            <w:pPr>
              <w:spacing w:after="0"/>
            </w:pPr>
            <w:r>
              <w:rPr>
                <w:rFonts w:ascii="Calibri" w:cs="Calibri" w:eastAsia="Calibri" w:hAnsi="Calibri"/>
                <w:b/>
                <w:bCs/>
                <w:color w:val="FFFFFF"/>
                <w:sz w:val="19"/>
                <w:szCs w:val="19"/>
              </w:rPr>
              <w:t xml:space="preserve">Qué ocurre</w:t>
            </w:r>
          </w:p>
        </w:tc>
        <w:tc>
          <w:tcPr>
            <w:tcW w:type="dxa" w:w="2000"/>
            <w:shd w:fill="1F3864" w:val="clear"/>
            <w:tcMar>
              <w:top w:type="dxa" w:w="90"/>
              <w:left w:type="dxa" w:w="110"/>
              <w:bottom w:type="dxa" w:w="90"/>
              <w:right w:type="dxa" w:w="110"/>
            </w:tcMar>
          </w:tcPr>
          <w:p>
            <w:pPr>
              <w:spacing w:after="0"/>
            </w:pPr>
            <w:r>
              <w:rPr>
                <w:rFonts w:ascii="Calibri" w:cs="Calibri" w:eastAsia="Calibri" w:hAnsi="Calibri"/>
                <w:b/>
                <w:bCs/>
                <w:color w:val="FFFFFF"/>
                <w:sz w:val="19"/>
                <w:szCs w:val="19"/>
              </w:rPr>
              <w:t xml:space="preserve">Quién lo genera</w:t>
            </w:r>
          </w:p>
        </w:tc>
      </w:tr>
      <w:tr>
        <w:tc>
          <w:tcPr>
            <w:tcW w:type="dxa" w:w="1800"/>
            <w:tcMar>
              <w:top w:type="dxa" w:w="80"/>
              <w:left w:type="dxa" w:w="110"/>
              <w:bottom w:type="dxa" w:w="80"/>
              <w:right w:type="dxa" w:w="110"/>
            </w:tcMar>
          </w:tcPr>
          <w:p>
            <w:pPr>
              <w:spacing w:after="0" w:line="250"/>
            </w:pPr>
            <w:r>
              <w:rPr>
                <w:rFonts w:ascii="Calibri" w:cs="Calibri" w:eastAsia="Calibri" w:hAnsi="Calibri"/>
                <w:b/>
                <w:bCs/>
                <w:sz w:val="18"/>
                <w:szCs w:val="18"/>
              </w:rPr>
              <w:t xml:space="preserve">t0 — Publicación</w:t>
            </w:r>
          </w:p>
        </w:tc>
        <w:tc>
          <w:tcPr>
            <w:tcW w:type="dxa" w:w="556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El advisory se publica en la fuente.</w:t>
            </w:r>
          </w:p>
        </w:tc>
        <w:tc>
          <w:tcPr>
            <w:tcW w:type="dxa" w:w="200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Fuente externa</w:t>
            </w:r>
          </w:p>
        </w:tc>
      </w:tr>
      <w:tr>
        <w:tc>
          <w:tcPr>
            <w:tcW w:type="dxa" w:w="1800"/>
            <w:shd w:fill="F6F8FB" w:val="clear"/>
            <w:tcMar>
              <w:top w:type="dxa" w:w="80"/>
              <w:left w:type="dxa" w:w="110"/>
              <w:bottom w:type="dxa" w:w="80"/>
              <w:right w:type="dxa" w:w="110"/>
            </w:tcMar>
          </w:tcPr>
          <w:p>
            <w:pPr>
              <w:spacing w:after="0" w:line="250"/>
            </w:pPr>
            <w:r>
              <w:rPr>
                <w:rFonts w:ascii="Calibri" w:cs="Calibri" w:eastAsia="Calibri" w:hAnsi="Calibri"/>
                <w:b/>
                <w:bCs/>
                <w:sz w:val="18"/>
                <w:szCs w:val="18"/>
              </w:rPr>
              <w:t xml:space="preserve">t1 — Detección</w:t>
            </w:r>
          </w:p>
        </w:tc>
        <w:tc>
          <w:tcPr>
            <w:tcW w:type="dxa" w:w="5560"/>
            <w:shd w:fill="F6F8FB" w:val="clear"/>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El sistema correlaciona el advisory con el inventario y determina que un activo propio está afectado.</w:t>
            </w:r>
          </w:p>
        </w:tc>
        <w:tc>
          <w:tcPr>
            <w:tcW w:type="dxa" w:w="2000"/>
            <w:shd w:fill="F6F8FB" w:val="clear"/>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Sistema (automático)</w:t>
            </w:r>
          </w:p>
        </w:tc>
      </w:tr>
      <w:tr>
        <w:tc>
          <w:tcPr>
            <w:tcW w:type="dxa" w:w="1800"/>
            <w:tcMar>
              <w:top w:type="dxa" w:w="80"/>
              <w:left w:type="dxa" w:w="110"/>
              <w:bottom w:type="dxa" w:w="80"/>
              <w:right w:type="dxa" w:w="110"/>
            </w:tcMar>
          </w:tcPr>
          <w:p>
            <w:pPr>
              <w:spacing w:after="0" w:line="250"/>
            </w:pPr>
            <w:r>
              <w:rPr>
                <w:rFonts w:ascii="Calibri" w:cs="Calibri" w:eastAsia="Calibri" w:hAnsi="Calibri"/>
                <w:b/>
                <w:bCs/>
                <w:sz w:val="18"/>
                <w:szCs w:val="18"/>
              </w:rPr>
              <w:t xml:space="preserve">t2 — Reconocimiento</w:t>
            </w:r>
          </w:p>
        </w:tc>
        <w:tc>
          <w:tcPr>
            <w:tcW w:type="dxa" w:w="556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Una persona hace el triage: confirma que aplica, lo descarta o lo clasifica.</w:t>
            </w:r>
          </w:p>
        </w:tc>
        <w:tc>
          <w:tcPr>
            <w:tcW w:type="dxa" w:w="200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Persona</w:t>
            </w:r>
          </w:p>
        </w:tc>
      </w:tr>
      <w:tr>
        <w:tc>
          <w:tcPr>
            <w:tcW w:type="dxa" w:w="1800"/>
            <w:shd w:fill="F6F8FB" w:val="clear"/>
            <w:tcMar>
              <w:top w:type="dxa" w:w="80"/>
              <w:left w:type="dxa" w:w="110"/>
              <w:bottom w:type="dxa" w:w="80"/>
              <w:right w:type="dxa" w:w="110"/>
            </w:tcMar>
          </w:tcPr>
          <w:p>
            <w:pPr>
              <w:spacing w:after="0" w:line="250"/>
            </w:pPr>
            <w:r>
              <w:rPr>
                <w:rFonts w:ascii="Calibri" w:cs="Calibri" w:eastAsia="Calibri" w:hAnsi="Calibri"/>
                <w:b/>
                <w:bCs/>
                <w:sz w:val="18"/>
                <w:szCs w:val="18"/>
              </w:rPr>
              <w:t xml:space="preserve">t3 — Inicio de remediación</w:t>
            </w:r>
          </w:p>
        </w:tc>
        <w:tc>
          <w:tcPr>
            <w:tcW w:type="dxa" w:w="5560"/>
            <w:shd w:fill="F6F8FB" w:val="clear"/>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Comienza el trabajo: se asigna responsable, se planifica la ventana.</w:t>
            </w:r>
          </w:p>
        </w:tc>
        <w:tc>
          <w:tcPr>
            <w:tcW w:type="dxa" w:w="2000"/>
            <w:shd w:fill="F6F8FB" w:val="clear"/>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Persona</w:t>
            </w:r>
          </w:p>
        </w:tc>
      </w:tr>
      <w:tr>
        <w:tc>
          <w:tcPr>
            <w:tcW w:type="dxa" w:w="1800"/>
            <w:tcMar>
              <w:top w:type="dxa" w:w="80"/>
              <w:left w:type="dxa" w:w="110"/>
              <w:bottom w:type="dxa" w:w="80"/>
              <w:right w:type="dxa" w:w="110"/>
            </w:tcMar>
          </w:tcPr>
          <w:p>
            <w:pPr>
              <w:spacing w:after="0" w:line="250"/>
            </w:pPr>
            <w:r>
              <w:rPr>
                <w:rFonts w:ascii="Calibri" w:cs="Calibri" w:eastAsia="Calibri" w:hAnsi="Calibri"/>
                <w:b/>
                <w:bCs/>
                <w:sz w:val="18"/>
                <w:szCs w:val="18"/>
              </w:rPr>
              <w:t xml:space="preserve">t4 — Aplicación declarada</w:t>
            </w:r>
          </w:p>
        </w:tc>
        <w:tc>
          <w:tcPr>
            <w:tcW w:type="dxa" w:w="556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Se afirma que el cambio fue aplicado. Sin verificación, acá cierran la mayoría de los sistemas.</w:t>
            </w:r>
          </w:p>
        </w:tc>
        <w:tc>
          <w:tcPr>
            <w:tcW w:type="dxa" w:w="200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Persona</w:t>
            </w:r>
          </w:p>
        </w:tc>
      </w:tr>
      <w:tr>
        <w:tc>
          <w:tcPr>
            <w:tcW w:type="dxa" w:w="1800"/>
            <w:shd w:fill="F6F8FB" w:val="clear"/>
            <w:tcMar>
              <w:top w:type="dxa" w:w="80"/>
              <w:left w:type="dxa" w:w="110"/>
              <w:bottom w:type="dxa" w:w="80"/>
              <w:right w:type="dxa" w:w="110"/>
            </w:tcMar>
          </w:tcPr>
          <w:p>
            <w:pPr>
              <w:spacing w:after="0" w:line="250"/>
            </w:pPr>
            <w:r>
              <w:rPr>
                <w:rFonts w:ascii="Calibri" w:cs="Calibri" w:eastAsia="Calibri" w:hAnsi="Calibri"/>
                <w:b/>
                <w:bCs/>
                <w:sz w:val="18"/>
                <w:szCs w:val="18"/>
              </w:rPr>
              <w:t xml:space="preserve">t5 — Verificación</w:t>
            </w:r>
          </w:p>
        </w:tc>
        <w:tc>
          <w:tcPr>
            <w:tcW w:type="dxa" w:w="5560"/>
            <w:shd w:fill="F6F8FB" w:val="clear"/>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El sistema comprueba con evidencia propia que la condición vulnerable ya no está.</w:t>
            </w:r>
          </w:p>
        </w:tc>
        <w:tc>
          <w:tcPr>
            <w:tcW w:type="dxa" w:w="2000"/>
            <w:shd w:fill="F6F8FB" w:val="clear"/>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Sistema (automático)</w:t>
            </w:r>
          </w:p>
        </w:tc>
      </w:tr>
      <w:tr>
        <w:tc>
          <w:tcPr>
            <w:tcW w:type="dxa" w:w="1800"/>
            <w:tcMar>
              <w:top w:type="dxa" w:w="80"/>
              <w:left w:type="dxa" w:w="110"/>
              <w:bottom w:type="dxa" w:w="80"/>
              <w:right w:type="dxa" w:w="110"/>
            </w:tcMar>
          </w:tcPr>
          <w:p>
            <w:pPr>
              <w:spacing w:after="0" w:line="250"/>
            </w:pPr>
            <w:r>
              <w:rPr>
                <w:rFonts w:ascii="Calibri" w:cs="Calibri" w:eastAsia="Calibri" w:hAnsi="Calibri"/>
                <w:b/>
                <w:bCs/>
                <w:sz w:val="18"/>
                <w:szCs w:val="18"/>
              </w:rPr>
              <w:t xml:space="preserve">t6 — Cierre</w:t>
            </w:r>
          </w:p>
        </w:tc>
        <w:tc>
          <w:tcPr>
            <w:tcW w:type="dxa" w:w="556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El caso se cierra formalmente y sale de la cola activa.</w:t>
            </w:r>
          </w:p>
        </w:tc>
        <w:tc>
          <w:tcPr>
            <w:tcW w:type="dxa" w:w="200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Sistema o persona</w:t>
            </w:r>
          </w:p>
        </w:tc>
      </w:tr>
      <w:tr>
        <w:tc>
          <w:tcPr>
            <w:tcW w:type="dxa" w:w="1800"/>
            <w:shd w:fill="F6F8FB" w:val="clear"/>
            <w:tcMar>
              <w:top w:type="dxa" w:w="80"/>
              <w:left w:type="dxa" w:w="110"/>
              <w:bottom w:type="dxa" w:w="80"/>
              <w:right w:type="dxa" w:w="110"/>
            </w:tcMar>
          </w:tcPr>
          <w:p>
            <w:pPr>
              <w:spacing w:after="0" w:line="250"/>
            </w:pPr>
            <w:r>
              <w:rPr>
                <w:rFonts w:ascii="Calibri" w:cs="Calibri" w:eastAsia="Calibri" w:hAnsi="Calibri"/>
                <w:b/>
                <w:bCs/>
                <w:sz w:val="18"/>
                <w:szCs w:val="18"/>
              </w:rPr>
              <w:t xml:space="preserve">t7 — Reapertura</w:t>
            </w:r>
          </w:p>
        </w:tc>
        <w:tc>
          <w:tcPr>
            <w:tcW w:type="dxa" w:w="5560"/>
            <w:shd w:fill="F6F8FB" w:val="clear"/>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Eventual. La vulnerabilidad reaparece en un escaneo posterior.</w:t>
            </w:r>
          </w:p>
        </w:tc>
        <w:tc>
          <w:tcPr>
            <w:tcW w:type="dxa" w:w="2000"/>
            <w:shd w:fill="F6F8FB" w:val="clear"/>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Sistema (automático)</w:t>
            </w:r>
          </w:p>
        </w:tc>
      </w:tr>
    </w:tbl>
    <w:p>
      <w:pPr>
        <w:spacing w:after="140"/>
      </w:pPr>
    </w:p>
    <w:p>
      <w:pPr>
        <w:spacing w:after="120" w:before="0" w:line="276"/>
      </w:pPr>
      <w:r>
        <w:rPr>
          <w:rFonts w:ascii="Calibri" w:cs="Calibri" w:eastAsia="Calibri" w:hAnsi="Calibri"/>
          <w:sz w:val="21"/>
          <w:szCs w:val="21"/>
        </w:rPr>
        <w:t xml:space="preserve">De los ocho, dos definen si un sistema hace tracking real: t5 y t7. Los demás pueden existir en cualquier gestor de tareas.</w:t>
      </w:r>
    </w:p>
    <w:p>
      <w:pPr>
        <w:pStyle w:val="Heading2"/>
        <w:spacing w:after="110" w:before="260"/>
      </w:pPr>
      <w:r>
        <w:rPr>
          <w:rFonts w:ascii="Calibri" w:cs="Calibri" w:eastAsia="Calibri" w:hAnsi="Calibri"/>
          <w:b/>
          <w:bCs/>
          <w:color w:val="2E5C8A"/>
          <w:sz w:val="25"/>
          <w:szCs w:val="25"/>
        </w:rPr>
        <w:t xml:space="preserve">3.2 Los dos ciclos que no hay que confundir</w:t>
      </w:r>
    </w:p>
    <w:p>
      <w:pPr>
        <w:spacing w:after="120" w:before="0" w:line="276"/>
      </w:pPr>
      <w:r>
        <w:rPr>
          <w:rFonts w:ascii="Calibri" w:cs="Calibri" w:eastAsia="Calibri" w:hAnsi="Calibri"/>
          <w:sz w:val="21"/>
          <w:szCs w:val="21"/>
        </w:rPr>
        <w:t xml:space="preserve">Corren en paralelo y se cruzan:</w:t>
      </w:r>
    </w:p>
    <w:p>
      <w:pPr>
        <w:spacing w:after="60"/>
      </w:pPr>
    </w:p>
    <w:p>
      <w:pPr>
        <w:shd w:fill="F4F6F8" w:val="clear"/>
        <w:spacing w:after="40" w:line="240"/>
        <w:ind w:left="288"/>
      </w:pPr>
      <w:r>
        <w:rPr>
          <w:rFonts w:ascii="Consolas" w:cs="Consolas" w:eastAsia="Consolas" w:hAnsi="Consolas"/>
          <w:color w:val="24292E"/>
          <w:sz w:val="17"/>
          <w:szCs w:val="17"/>
        </w:rPr>
        <w:t xml:space="preserve">CICLO DEL CONOCIMIENTO       CICLO DE LA EXPOSICION</w:t>
      </w:r>
    </w:p>
    <w:p>
      <w:pPr>
        <w:shd w:fill="F4F6F8" w:val="clear"/>
        <w:spacing w:after="40" w:line="240"/>
        <w:ind w:left="288"/>
      </w:pPr>
      <w:r>
        <w:rPr>
          <w:rFonts w:ascii="Consolas" w:cs="Consolas" w:eastAsia="Consolas" w:hAnsi="Consolas"/>
          <w:color w:val="24292E"/>
          <w:sz w:val="17"/>
          <w:szCs w:val="17"/>
        </w:rPr>
        <w:t xml:space="preserve">(externo a la organizacion)  (interno)</w:t>
      </w:r>
    </w:p>
    <w:p>
      <w:pPr>
        <w:shd w:fill="F4F6F8" w:val="clear"/>
        <w:spacing w:after="40" w:line="240"/>
        <w:ind w:left="288"/>
      </w:pPr>
      <w:r>
        <w:rPr>
          <w:rFonts w:ascii="Consolas" w:cs="Consolas" w:eastAsia="Consolas" w:hAnsi="Consolas"/>
          <w:color w:val="24292E"/>
          <w:sz w:val="17"/>
          <w:szCs w:val="17"/>
        </w:rPr>
        <w:t xml:space="preserve"/>
      </w:r>
    </w:p>
    <w:p>
      <w:pPr>
        <w:shd w:fill="F4F6F8" w:val="clear"/>
        <w:spacing w:after="40" w:line="240"/>
        <w:ind w:left="288"/>
      </w:pPr>
      <w:r>
        <w:rPr>
          <w:rFonts w:ascii="Consolas" w:cs="Consolas" w:eastAsia="Consolas" w:hAnsi="Consolas"/>
          <w:color w:val="24292E"/>
          <w:sz w:val="17"/>
          <w:szCs w:val="17"/>
        </w:rPr>
        <w:t xml:space="preserve">  Descubrimiento               Aplicabilidad</w:t>
      </w:r>
    </w:p>
    <w:p>
      <w:pPr>
        <w:shd w:fill="F4F6F8" w:val="clear"/>
        <w:spacing w:after="40" w:line="240"/>
        <w:ind w:left="288"/>
      </w:pPr>
      <w:r>
        <w:rPr>
          <w:rFonts w:ascii="Consolas" w:cs="Consolas" w:eastAsia="Consolas" w:hAnsi="Consolas"/>
          <w:color w:val="24292E"/>
          <w:sz w:val="17"/>
          <w:szCs w:val="17"/>
        </w:rPr>
        <w:t xml:space="preserve">       |                           |</w:t>
      </w:r>
    </w:p>
    <w:p>
      <w:pPr>
        <w:shd w:fill="F4F6F8" w:val="clear"/>
        <w:spacing w:after="40" w:line="240"/>
        <w:ind w:left="288"/>
      </w:pPr>
      <w:r>
        <w:rPr>
          <w:rFonts w:ascii="Consolas" w:cs="Consolas" w:eastAsia="Consolas" w:hAnsi="Consolas"/>
          <w:color w:val="24292E"/>
          <w:sz w:val="17"/>
          <w:szCs w:val="17"/>
        </w:rPr>
        <w:t xml:space="preserve">  Reporte al proveedor         Deteccion en activo</w:t>
      </w:r>
    </w:p>
    <w:p>
      <w:pPr>
        <w:shd w:fill="F4F6F8" w:val="clear"/>
        <w:spacing w:after="40" w:line="240"/>
        <w:ind w:left="288"/>
      </w:pPr>
      <w:r>
        <w:rPr>
          <w:rFonts w:ascii="Consolas" w:cs="Consolas" w:eastAsia="Consolas" w:hAnsi="Consolas"/>
          <w:color w:val="24292E"/>
          <w:sz w:val="17"/>
          <w:szCs w:val="17"/>
        </w:rPr>
        <w:t xml:space="preserve">       |                           |</w:t>
      </w:r>
    </w:p>
    <w:p>
      <w:pPr>
        <w:shd w:fill="F4F6F8" w:val="clear"/>
        <w:spacing w:after="40" w:line="240"/>
        <w:ind w:left="288"/>
      </w:pPr>
      <w:r>
        <w:rPr>
          <w:rFonts w:ascii="Consolas" w:cs="Consolas" w:eastAsia="Consolas" w:hAnsi="Consolas"/>
          <w:color w:val="24292E"/>
          <w:sz w:val="17"/>
          <w:szCs w:val="17"/>
        </w:rPr>
        <w:t xml:space="preserve">  Asignacion de CVE            Priorizacion</w:t>
      </w:r>
    </w:p>
    <w:p>
      <w:pPr>
        <w:shd w:fill="F4F6F8" w:val="clear"/>
        <w:spacing w:after="40" w:line="240"/>
        <w:ind w:left="288"/>
      </w:pPr>
      <w:r>
        <w:rPr>
          <w:rFonts w:ascii="Consolas" w:cs="Consolas" w:eastAsia="Consolas" w:hAnsi="Consolas"/>
          <w:color w:val="24292E"/>
          <w:sz w:val="17"/>
          <w:szCs w:val="17"/>
        </w:rPr>
        <w:t xml:space="preserve">       |                           |</w:t>
      </w:r>
    </w:p>
    <w:p>
      <w:pPr>
        <w:shd w:fill="F4F6F8" w:val="clear"/>
        <w:spacing w:after="40" w:line="240"/>
        <w:ind w:left="288"/>
      </w:pPr>
      <w:r>
        <w:rPr>
          <w:rFonts w:ascii="Consolas" w:cs="Consolas" w:eastAsia="Consolas" w:hAnsi="Consolas"/>
          <w:color w:val="24292E"/>
          <w:sz w:val="17"/>
          <w:szCs w:val="17"/>
        </w:rPr>
        <w:t xml:space="preserve">  Publicacion  -------------&gt;  Asignacion</w:t>
      </w:r>
    </w:p>
    <w:p>
      <w:pPr>
        <w:shd w:fill="F4F6F8" w:val="clear"/>
        <w:spacing w:after="40" w:line="240"/>
        <w:ind w:left="288"/>
      </w:pPr>
      <w:r>
        <w:rPr>
          <w:rFonts w:ascii="Consolas" w:cs="Consolas" w:eastAsia="Consolas" w:hAnsi="Consolas"/>
          <w:color w:val="24292E"/>
          <w:sz w:val="17"/>
          <w:szCs w:val="17"/>
        </w:rPr>
        <w:t xml:space="preserve">       |                           |</w:t>
      </w:r>
    </w:p>
    <w:p>
      <w:pPr>
        <w:shd w:fill="F4F6F8" w:val="clear"/>
        <w:spacing w:after="40" w:line="240"/>
        <w:ind w:left="288"/>
      </w:pPr>
      <w:r>
        <w:rPr>
          <w:rFonts w:ascii="Consolas" w:cs="Consolas" w:eastAsia="Consolas" w:hAnsi="Consolas"/>
          <w:color w:val="24292E"/>
          <w:sz w:val="17"/>
          <w:szCs w:val="17"/>
        </w:rPr>
        <w:t xml:space="preserve">  Publicacion de la fix        Tratamiento</w:t>
      </w:r>
    </w:p>
    <w:p>
      <w:pPr>
        <w:shd w:fill="F4F6F8" w:val="clear"/>
        <w:spacing w:after="40" w:line="240"/>
        <w:ind w:left="288"/>
      </w:pPr>
      <w:r>
        <w:rPr>
          <w:rFonts w:ascii="Consolas" w:cs="Consolas" w:eastAsia="Consolas" w:hAnsi="Consolas"/>
          <w:color w:val="24292E"/>
          <w:sz w:val="17"/>
          <w:szCs w:val="17"/>
        </w:rPr>
        <w:t xml:space="preserve">       |                           |</w:t>
      </w:r>
    </w:p>
    <w:p>
      <w:pPr>
        <w:shd w:fill="F4F6F8" w:val="clear"/>
        <w:spacing w:after="40" w:line="240"/>
        <w:ind w:left="288"/>
      </w:pPr>
      <w:r>
        <w:rPr>
          <w:rFonts w:ascii="Consolas" w:cs="Consolas" w:eastAsia="Consolas" w:hAnsi="Consolas"/>
          <w:color w:val="24292E"/>
          <w:sz w:val="17"/>
          <w:szCs w:val="17"/>
        </w:rPr>
        <w:t xml:space="preserve">  Revision del advisory        Verificacion</w:t>
      </w:r>
    </w:p>
    <w:p>
      <w:pPr>
        <w:shd w:fill="F4F6F8" w:val="clear"/>
        <w:spacing w:after="40" w:line="240"/>
        <w:ind w:left="288"/>
      </w:pPr>
      <w:r>
        <w:rPr>
          <w:rFonts w:ascii="Consolas" w:cs="Consolas" w:eastAsia="Consolas" w:hAnsi="Consolas"/>
          <w:color w:val="24292E"/>
          <w:sz w:val="17"/>
          <w:szCs w:val="17"/>
        </w:rPr>
        <w:t xml:space="preserve">       |                           |</w:t>
      </w:r>
    </w:p>
    <w:p>
      <w:pPr>
        <w:shd w:fill="F4F6F8" w:val="clear"/>
        <w:spacing w:after="40" w:line="240"/>
        <w:ind w:left="288"/>
      </w:pPr>
      <w:r>
        <w:rPr>
          <w:rFonts w:ascii="Consolas" w:cs="Consolas" w:eastAsia="Consolas" w:hAnsi="Consolas"/>
          <w:color w:val="24292E"/>
          <w:sz w:val="17"/>
          <w:szCs w:val="17"/>
        </w:rPr>
        <w:t xml:space="preserve">  (rango ampliado) ---------&gt; Reapertura</w:t>
      </w:r>
    </w:p>
    <w:p>
      <w:pPr>
        <w:spacing w:after="120"/>
      </w:pPr>
    </w:p>
    <w:p>
      <w:pPr>
        <w:spacing w:after="120" w:before="0" w:line="276"/>
      </w:pPr>
      <w:r>
        <w:rPr>
          <w:rFonts w:ascii="Calibri" w:cs="Calibri" w:eastAsia="Calibri" w:hAnsi="Calibri"/>
          <w:sz w:val="21"/>
          <w:szCs w:val="21"/>
        </w:rPr>
        <w:t xml:space="preserve">La flecha inferior es la que casi ningún sistema modela: cuando la fuente amplía el rango afectado de un advisory ya publicado, una remediación verificada contra el rango anterior deja de ser válida. Es el argumento técnico de fondo para la reverificación periódica.</w:t>
      </w:r>
    </w:p>
    <w:p>
      <w:pPr>
        <w:pStyle w:val="Heading1"/>
        <w:pBdr>
          <w:bottom w:val="single" w:color="1F3864" w:sz="8" w:space="6"/>
        </w:pBdr>
        <w:spacing w:after="160" w:before="340"/>
      </w:pPr>
      <w:r>
        <w:rPr>
          <w:rFonts w:ascii="Calibri" w:cs="Calibri" w:eastAsia="Calibri" w:hAnsi="Calibri"/>
          <w:b/>
          <w:bCs/>
          <w:color w:val="1F3864"/>
          <w:sz w:val="30"/>
          <w:szCs w:val="30"/>
        </w:rPr>
        <w:t xml:space="preserve">4. Los seis componentes</w:t>
      </w:r>
    </w:p>
    <w:p>
      <w:pPr>
        <w:spacing w:after="120" w:before="0" w:line="276"/>
      </w:pPr>
      <w:r>
        <w:rPr>
          <w:rFonts w:ascii="Calibri" w:cs="Calibri" w:eastAsia="Calibri" w:hAnsi="Calibri"/>
          <w:sz w:val="21"/>
          <w:szCs w:val="21"/>
        </w:rPr>
        <w:t xml:space="preserve">Un tracking completo se compone de seis elementos. Están ordenados por dependencia: cada uno requiere que el anterior exista. Si falta uno de la base, las capacidades de arriba se caen aunque estén implementadas.</w:t>
      </w:r>
    </w:p>
    <w:p>
      <w:pPr>
        <w:spacing w:after="60"/>
      </w:pPr>
    </w:p>
    <w:tbl>
      <w:tblPr>
        <w:tblW w:type="dxa" w:w="9360"/>
        <w:tblBorders>
          <w:top w:val="single" w:color="C9D3E0" w:sz="4"/>
          <w:left w:val="single" w:color="C9D3E0" w:sz="4"/>
          <w:bottom w:val="single" w:color="C9D3E0" w:sz="4"/>
          <w:right w:val="single" w:color="C9D3E0" w:sz="4"/>
          <w:insideH w:val="single" w:color="DDE4ED" w:sz="2"/>
          <w:insideV w:val="single" w:color="DDE4ED" w:sz="2"/>
        </w:tblBorders>
      </w:tblPr>
      <w:tblGrid>
        <w:gridCol w:w="500"/>
        <w:gridCol w:w="2300"/>
        <w:gridCol w:w="3200"/>
        <w:gridCol w:w="3360"/>
      </w:tblGrid>
      <w:tr>
        <w:trPr>
          <w:tblHeader/>
        </w:trPr>
        <w:tc>
          <w:tcPr>
            <w:tcW w:type="dxa" w:w="500"/>
            <w:shd w:fill="1F3864" w:val="clear"/>
            <w:tcMar>
              <w:top w:type="dxa" w:w="90"/>
              <w:left w:type="dxa" w:w="110"/>
              <w:bottom w:type="dxa" w:w="90"/>
              <w:right w:type="dxa" w:w="110"/>
            </w:tcMar>
          </w:tcPr>
          <w:p>
            <w:pPr>
              <w:spacing w:after="0"/>
            </w:pPr>
            <w:r>
              <w:rPr>
                <w:rFonts w:ascii="Calibri" w:cs="Calibri" w:eastAsia="Calibri" w:hAnsi="Calibri"/>
                <w:b/>
                <w:bCs/>
                <w:color w:val="FFFFFF"/>
                <w:sz w:val="19"/>
                <w:szCs w:val="19"/>
              </w:rPr>
              <w:t xml:space="preserve">#</w:t>
            </w:r>
          </w:p>
        </w:tc>
        <w:tc>
          <w:tcPr>
            <w:tcW w:type="dxa" w:w="2300"/>
            <w:shd w:fill="1F3864" w:val="clear"/>
            <w:tcMar>
              <w:top w:type="dxa" w:w="90"/>
              <w:left w:type="dxa" w:w="110"/>
              <w:bottom w:type="dxa" w:w="90"/>
              <w:right w:type="dxa" w:w="110"/>
            </w:tcMar>
          </w:tcPr>
          <w:p>
            <w:pPr>
              <w:spacing w:after="0"/>
            </w:pPr>
            <w:r>
              <w:rPr>
                <w:rFonts w:ascii="Calibri" w:cs="Calibri" w:eastAsia="Calibri" w:hAnsi="Calibri"/>
                <w:b/>
                <w:bCs/>
                <w:color w:val="FFFFFF"/>
                <w:sz w:val="19"/>
                <w:szCs w:val="19"/>
              </w:rPr>
              <w:t xml:space="preserve">Componente</w:t>
            </w:r>
          </w:p>
        </w:tc>
        <w:tc>
          <w:tcPr>
            <w:tcW w:type="dxa" w:w="3200"/>
            <w:shd w:fill="1F3864" w:val="clear"/>
            <w:tcMar>
              <w:top w:type="dxa" w:w="90"/>
              <w:left w:type="dxa" w:w="110"/>
              <w:bottom w:type="dxa" w:w="90"/>
              <w:right w:type="dxa" w:w="110"/>
            </w:tcMar>
          </w:tcPr>
          <w:p>
            <w:pPr>
              <w:spacing w:after="0"/>
            </w:pPr>
            <w:r>
              <w:rPr>
                <w:rFonts w:ascii="Calibri" w:cs="Calibri" w:eastAsia="Calibri" w:hAnsi="Calibri"/>
                <w:b/>
                <w:bCs/>
                <w:color w:val="FFFFFF"/>
                <w:sz w:val="19"/>
                <w:szCs w:val="19"/>
              </w:rPr>
              <w:t xml:space="preserve">Función</w:t>
            </w:r>
          </w:p>
        </w:tc>
        <w:tc>
          <w:tcPr>
            <w:tcW w:type="dxa" w:w="3360"/>
            <w:shd w:fill="1F3864" w:val="clear"/>
            <w:tcMar>
              <w:top w:type="dxa" w:w="90"/>
              <w:left w:type="dxa" w:w="110"/>
              <w:bottom w:type="dxa" w:w="90"/>
              <w:right w:type="dxa" w:w="110"/>
            </w:tcMar>
          </w:tcPr>
          <w:p>
            <w:pPr>
              <w:spacing w:after="0"/>
            </w:pPr>
            <w:r>
              <w:rPr>
                <w:rFonts w:ascii="Calibri" w:cs="Calibri" w:eastAsia="Calibri" w:hAnsi="Calibri"/>
                <w:b/>
                <w:bCs/>
                <w:color w:val="FFFFFF"/>
                <w:sz w:val="19"/>
                <w:szCs w:val="19"/>
              </w:rPr>
              <w:t xml:space="preserve">Sin él, qué se rompe</w:t>
            </w:r>
          </w:p>
        </w:tc>
      </w:tr>
      <w:tr>
        <w:tc>
          <w:tcPr>
            <w:tcW w:type="dxa" w:w="500"/>
            <w:tcMar>
              <w:top w:type="dxa" w:w="80"/>
              <w:left w:type="dxa" w:w="110"/>
              <w:bottom w:type="dxa" w:w="80"/>
              <w:right w:type="dxa" w:w="110"/>
            </w:tcMar>
          </w:tcPr>
          <w:p>
            <w:pPr>
              <w:spacing w:after="0" w:line="250"/>
            </w:pPr>
            <w:r>
              <w:rPr>
                <w:rFonts w:ascii="Calibri" w:cs="Calibri" w:eastAsia="Calibri" w:hAnsi="Calibri"/>
                <w:b/>
                <w:bCs/>
                <w:sz w:val="18"/>
                <w:szCs w:val="18"/>
              </w:rPr>
              <w:t xml:space="preserve">A</w:t>
            </w:r>
          </w:p>
        </w:tc>
        <w:tc>
          <w:tcPr>
            <w:tcW w:type="dxa" w:w="230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Identidad estable del activo y cobertura del escaneo</w:t>
            </w:r>
          </w:p>
        </w:tc>
        <w:tc>
          <w:tcPr>
            <w:tcW w:type="dxa" w:w="320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Permite afirmar que el activo observado hoy es el mismo que se observó la vez anterior.</w:t>
            </w:r>
          </w:p>
        </w:tc>
        <w:tc>
          <w:tcPr>
            <w:tcW w:type="dxa" w:w="336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No hay comparación posible entre escaneos. Todo aparece como hallazgo nuevo.</w:t>
            </w:r>
          </w:p>
        </w:tc>
      </w:tr>
      <w:tr>
        <w:tc>
          <w:tcPr>
            <w:tcW w:type="dxa" w:w="500"/>
            <w:shd w:fill="F6F8FB" w:val="clear"/>
            <w:tcMar>
              <w:top w:type="dxa" w:w="80"/>
              <w:left w:type="dxa" w:w="110"/>
              <w:bottom w:type="dxa" w:w="80"/>
              <w:right w:type="dxa" w:w="110"/>
            </w:tcMar>
          </w:tcPr>
          <w:p>
            <w:pPr>
              <w:spacing w:after="0" w:line="250"/>
            </w:pPr>
            <w:r>
              <w:rPr>
                <w:rFonts w:ascii="Calibri" w:cs="Calibri" w:eastAsia="Calibri" w:hAnsi="Calibri"/>
                <w:b/>
                <w:bCs/>
                <w:sz w:val="18"/>
                <w:szCs w:val="18"/>
              </w:rPr>
              <w:t xml:space="preserve">B</w:t>
            </w:r>
          </w:p>
        </w:tc>
        <w:tc>
          <w:tcPr>
            <w:tcW w:type="dxa" w:w="2300"/>
            <w:shd w:fill="F6F8FB" w:val="clear"/>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Máquina de estados con timestamps por transición</w:t>
            </w:r>
          </w:p>
        </w:tc>
        <w:tc>
          <w:tcPr>
            <w:tcW w:type="dxa" w:w="3200"/>
            <w:shd w:fill="F6F8FB" w:val="clear"/>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Registra en qué punto del ciclo está cada caso y cuándo llegó ahí.</w:t>
            </w:r>
          </w:p>
        </w:tc>
        <w:tc>
          <w:tcPr>
            <w:tcW w:type="dxa" w:w="3360"/>
            <w:shd w:fill="F6F8FB" w:val="clear"/>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No hay intervalos medibles. Solo se conoce el estado actual, no la historia.</w:t>
            </w:r>
          </w:p>
        </w:tc>
      </w:tr>
      <w:tr>
        <w:tc>
          <w:tcPr>
            <w:tcW w:type="dxa" w:w="500"/>
            <w:tcMar>
              <w:top w:type="dxa" w:w="80"/>
              <w:left w:type="dxa" w:w="110"/>
              <w:bottom w:type="dxa" w:w="80"/>
              <w:right w:type="dxa" w:w="110"/>
            </w:tcMar>
          </w:tcPr>
          <w:p>
            <w:pPr>
              <w:spacing w:after="0" w:line="250"/>
            </w:pPr>
            <w:r>
              <w:rPr>
                <w:rFonts w:ascii="Calibri" w:cs="Calibri" w:eastAsia="Calibri" w:hAnsi="Calibri"/>
                <w:b/>
                <w:bCs/>
                <w:sz w:val="18"/>
                <w:szCs w:val="18"/>
              </w:rPr>
              <w:t xml:space="preserve">C</w:t>
            </w:r>
          </w:p>
        </w:tc>
        <w:tc>
          <w:tcPr>
            <w:tcW w:type="dxa" w:w="230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Plazo derivado de un criterio de priorización</w:t>
            </w:r>
          </w:p>
        </w:tc>
        <w:tc>
          <w:tcPr>
            <w:tcW w:type="dxa" w:w="320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Asigna a cada caso una fecha límite justificada por su riesgo.</w:t>
            </w:r>
          </w:p>
        </w:tc>
        <w:tc>
          <w:tcPr>
            <w:tcW w:type="dxa" w:w="336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No hay cumplimiento que medir. El plazo es un número arbitrario.</w:t>
            </w:r>
          </w:p>
        </w:tc>
      </w:tr>
      <w:tr>
        <w:tc>
          <w:tcPr>
            <w:tcW w:type="dxa" w:w="500"/>
            <w:shd w:fill="F6F8FB" w:val="clear"/>
            <w:tcMar>
              <w:top w:type="dxa" w:w="80"/>
              <w:left w:type="dxa" w:w="110"/>
              <w:bottom w:type="dxa" w:w="80"/>
              <w:right w:type="dxa" w:w="110"/>
            </w:tcMar>
          </w:tcPr>
          <w:p>
            <w:pPr>
              <w:spacing w:after="0" w:line="250"/>
            </w:pPr>
            <w:r>
              <w:rPr>
                <w:rFonts w:ascii="Calibri" w:cs="Calibri" w:eastAsia="Calibri" w:hAnsi="Calibri"/>
                <w:b/>
                <w:bCs/>
                <w:sz w:val="18"/>
                <w:szCs w:val="18"/>
              </w:rPr>
              <w:t xml:space="preserve">D</w:t>
            </w:r>
          </w:p>
        </w:tc>
        <w:tc>
          <w:tcPr>
            <w:tcW w:type="dxa" w:w="2300"/>
            <w:shd w:fill="F6F8FB" w:val="clear"/>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Mecanismo de verificación</w:t>
            </w:r>
          </w:p>
        </w:tc>
        <w:tc>
          <w:tcPr>
            <w:tcW w:type="dxa" w:w="3200"/>
            <w:shd w:fill="F6F8FB" w:val="clear"/>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Confirma con evidencia propia que la condición vulnerable dejó de existir.</w:t>
            </w:r>
          </w:p>
        </w:tc>
        <w:tc>
          <w:tcPr>
            <w:tcW w:type="dxa" w:w="3360"/>
            <w:shd w:fill="F6F8FB" w:val="clear"/>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El cierre es una declaración. No se puede hablar de MTTR en sentido estricto.</w:t>
            </w:r>
          </w:p>
        </w:tc>
      </w:tr>
      <w:tr>
        <w:tc>
          <w:tcPr>
            <w:tcW w:type="dxa" w:w="500"/>
            <w:tcMar>
              <w:top w:type="dxa" w:w="80"/>
              <w:left w:type="dxa" w:w="110"/>
              <w:bottom w:type="dxa" w:w="80"/>
              <w:right w:type="dxa" w:w="110"/>
            </w:tcMar>
          </w:tcPr>
          <w:p>
            <w:pPr>
              <w:spacing w:after="0" w:line="250"/>
            </w:pPr>
            <w:r>
              <w:rPr>
                <w:rFonts w:ascii="Calibri" w:cs="Calibri" w:eastAsia="Calibri" w:hAnsi="Calibri"/>
                <w:b/>
                <w:bCs/>
                <w:sz w:val="18"/>
                <w:szCs w:val="18"/>
              </w:rPr>
              <w:t xml:space="preserve">E</w:t>
            </w:r>
          </w:p>
        </w:tc>
        <w:tc>
          <w:tcPr>
            <w:tcW w:type="dxa" w:w="230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Detección de recurrencia</w:t>
            </w:r>
          </w:p>
        </w:tc>
        <w:tc>
          <w:tcPr>
            <w:tcW w:type="dxa" w:w="320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Advierte cuando una vulnerabilidad cerrada reaparece.</w:t>
            </w:r>
          </w:p>
        </w:tc>
        <w:tc>
          <w:tcPr>
            <w:tcW w:type="dxa" w:w="336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El sistema reporta un estado más sano que el real.</w:t>
            </w:r>
          </w:p>
        </w:tc>
      </w:tr>
      <w:tr>
        <w:tc>
          <w:tcPr>
            <w:tcW w:type="dxa" w:w="500"/>
            <w:shd w:fill="F6F8FB" w:val="clear"/>
            <w:tcMar>
              <w:top w:type="dxa" w:w="80"/>
              <w:left w:type="dxa" w:w="110"/>
              <w:bottom w:type="dxa" w:w="80"/>
              <w:right w:type="dxa" w:w="110"/>
            </w:tcMar>
          </w:tcPr>
          <w:p>
            <w:pPr>
              <w:spacing w:after="0" w:line="250"/>
            </w:pPr>
            <w:r>
              <w:rPr>
                <w:rFonts w:ascii="Calibri" w:cs="Calibri" w:eastAsia="Calibri" w:hAnsi="Calibri"/>
                <w:b/>
                <w:bCs/>
                <w:sz w:val="18"/>
                <w:szCs w:val="18"/>
              </w:rPr>
              <w:t xml:space="preserve">F</w:t>
            </w:r>
          </w:p>
        </w:tc>
        <w:tc>
          <w:tcPr>
            <w:tcW w:type="dxa" w:w="2300"/>
            <w:shd w:fill="F6F8FB" w:val="clear"/>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Registro de auditoría inmutable</w:t>
            </w:r>
          </w:p>
        </w:tc>
        <w:tc>
          <w:tcPr>
            <w:tcW w:type="dxa" w:w="3200"/>
            <w:shd w:fill="F6F8FB" w:val="clear"/>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Conserva quién cambió qué, cuándo y con qué justificación, sin sobrescribir.</w:t>
            </w:r>
          </w:p>
        </w:tc>
        <w:tc>
          <w:tcPr>
            <w:tcW w:type="dxa" w:w="3360"/>
            <w:shd w:fill="F6F8FB" w:val="clear"/>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No hay trazabilidad. Las métricas históricas no son reconstruibles ni auditables.</w:t>
            </w:r>
          </w:p>
        </w:tc>
      </w:tr>
    </w:tbl>
    <w:p>
      <w:pPr>
        <w:spacing w:after="140"/>
      </w:pPr>
    </w:p>
    <w:p>
      <w:pPr>
        <w:spacing w:after="120" w:before="0" w:line="276"/>
      </w:pPr>
      <w:r>
        <w:rPr>
          <w:rFonts w:ascii="Calibri" w:cs="Calibri" w:eastAsia="Calibri" w:hAnsi="Calibri"/>
          <w:sz w:val="21"/>
          <w:szCs w:val="21"/>
        </w:rPr>
        <w:t xml:space="preserve">El componente A es el más subestimado y el que sostiene a todos los demás. El F fue incorporado en esta versión a partir del contraste con otros marcos, y es el que vuelve auditable a todo el resto.</w:t>
      </w:r>
    </w:p>
    <w:p>
      <w:pPr>
        <w:pStyle w:val="Heading1"/>
        <w:pBdr>
          <w:bottom w:val="single" w:color="1F3864" w:sz="8" w:space="6"/>
        </w:pBdr>
        <w:spacing w:after="160" w:before="340"/>
      </w:pPr>
      <w:r>
        <w:rPr>
          <w:rFonts w:ascii="Calibri" w:cs="Calibri" w:eastAsia="Calibri" w:hAnsi="Calibri"/>
          <w:b/>
          <w:bCs/>
          <w:color w:val="1F3864"/>
          <w:sz w:val="30"/>
          <w:szCs w:val="30"/>
        </w:rPr>
        <w:t xml:space="preserve">5. Componente A — Identidad estable y cobertura</w:t>
      </w:r>
    </w:p>
    <w:p>
      <w:pPr>
        <w:pStyle w:val="Heading2"/>
        <w:spacing w:after="110" w:before="260"/>
      </w:pPr>
      <w:r>
        <w:rPr>
          <w:rFonts w:ascii="Calibri" w:cs="Calibri" w:eastAsia="Calibri" w:hAnsi="Calibri"/>
          <w:b/>
          <w:bCs/>
          <w:color w:val="2E5C8A"/>
          <w:sz w:val="25"/>
          <w:szCs w:val="25"/>
        </w:rPr>
        <w:t xml:space="preserve">5.1 Por qué es el cimiento</w:t>
      </w:r>
    </w:p>
    <w:p>
      <w:pPr>
        <w:spacing w:after="120" w:before="0" w:line="276"/>
      </w:pPr>
      <w:r>
        <w:rPr>
          <w:rFonts w:ascii="Calibri" w:cs="Calibri" w:eastAsia="Calibri" w:hAnsi="Calibri"/>
          <w:sz w:val="21"/>
          <w:szCs w:val="21"/>
        </w:rPr>
        <w:t xml:space="preserve">Un sistema de detección trabaja con fotos: cada ejecución produce un estado del inventario en un instante. Un sistema de tracking trabaja con la comparación entre fotos consecutivas. Esa comparación exige poder afirmar que la entidad observada en el escaneo N es la misma que la del escaneo N+1.</w:t>
      </w:r>
    </w:p>
    <w:p>
      <w:pPr>
        <w:spacing w:after="120" w:before="0" w:line="276"/>
      </w:pPr>
      <w:r>
        <w:rPr>
          <w:rFonts w:ascii="Calibri" w:cs="Calibri" w:eastAsia="Calibri" w:hAnsi="Calibri"/>
          <w:sz w:val="21"/>
          <w:szCs w:val="21"/>
        </w:rPr>
        <w:t xml:space="preserve">Si la identidad no es estable —si el nombre con que se registra el activo varía entre ejecuciones, o si se crea una entidad nueva en vez de actualizarse la existente— cada escaneo produce un universo nuevo. En esas condiciones el sistema no puede distinguir una vulnerabilidad que persiste de una que aparece por primera vez, y el tracking es estructuralmente imposible por más campos que se agreguen después.</w:t>
      </w:r>
    </w:p>
    <w:p>
      <w:pPr>
        <w:pStyle w:val="Heading2"/>
        <w:spacing w:after="110" w:before="260"/>
      </w:pPr>
      <w:r>
        <w:rPr>
          <w:rFonts w:ascii="Calibri" w:cs="Calibri" w:eastAsia="Calibri" w:hAnsi="Calibri"/>
          <w:b/>
          <w:bCs/>
          <w:color w:val="2E5C8A"/>
          <w:sz w:val="25"/>
          <w:szCs w:val="25"/>
        </w:rPr>
        <w:t xml:space="preserve">5.2 Requisitos de la identidad</w:t>
      </w:r>
    </w:p>
    <w:p>
      <w:pPr>
        <w:pStyle w:val="ListParagraph"/>
        <w:numPr>
          <w:ilvl w:val="0"/>
          <w:numId w:val="2"/>
        </w:numPr>
        <w:spacing w:after="90" w:line="276"/>
      </w:pPr>
      <w:r>
        <w:rPr>
          <w:rFonts w:ascii="Calibri" w:cs="Calibri" w:eastAsia="Calibri" w:hAnsi="Calibri"/>
          <w:b/>
          <w:bCs/>
          <w:sz w:val="21"/>
          <w:szCs w:val="21"/>
        </w:rPr>
        <w:t xml:space="preserve">Clave de identidad independiente del nombre de presentación. </w:t>
      </w:r>
      <w:r>
        <w:rPr>
          <w:rFonts w:ascii="Calibri" w:cs="Calibri" w:eastAsia="Calibri" w:hAnsi="Calibri"/>
          <w:sz w:val="21"/>
          <w:szCs w:val="21"/>
        </w:rPr>
        <w:t xml:space="preserve">El identificador que se usa para reconciliar entre escaneos no debe ser el texto que se muestra en pantalla, porque ese cambia por razones cosméticas. Tampoco debe basarse en atributos volátiles como dirección IP, nombre de host o identificador de instancia.</w:t>
      </w:r>
    </w:p>
    <w:p>
      <w:pPr>
        <w:pStyle w:val="ListParagraph"/>
        <w:numPr>
          <w:ilvl w:val="0"/>
          <w:numId w:val="2"/>
        </w:numPr>
        <w:spacing w:after="90" w:line="276"/>
      </w:pPr>
      <w:r>
        <w:rPr>
          <w:rFonts w:ascii="Calibri" w:cs="Calibri" w:eastAsia="Calibri" w:hAnsi="Calibri"/>
          <w:b/>
          <w:bCs/>
          <w:sz w:val="21"/>
          <w:szCs w:val="21"/>
        </w:rPr>
        <w:t xml:space="preserve">Identidad compuesta del hallazgo. </w:t>
      </w:r>
      <w:r>
        <w:rPr>
          <w:rFonts w:ascii="Calibri" w:cs="Calibri" w:eastAsia="Calibri" w:hAnsi="Calibri"/>
          <w:sz w:val="21"/>
          <w:szCs w:val="21"/>
        </w:rPr>
        <w:t xml:space="preserve">La práctica habitual en herramientas maduras es derivar la identidad del hallazgo de la combinación activo + vulnerabilidad + ubicación dentro del activo. Sin el tercer término, dos ocurrencias distintas de la misma vulnerabilidad en el mismo activo colapsan en una.</w:t>
      </w:r>
    </w:p>
    <w:p>
      <w:pPr>
        <w:pStyle w:val="ListParagraph"/>
        <w:numPr>
          <w:ilvl w:val="0"/>
          <w:numId w:val="2"/>
        </w:numPr>
        <w:spacing w:after="90" w:line="276"/>
      </w:pPr>
      <w:r>
        <w:rPr>
          <w:rFonts w:ascii="Calibri" w:cs="Calibri" w:eastAsia="Calibri" w:hAnsi="Calibri"/>
          <w:b/>
          <w:bCs/>
          <w:sz w:val="21"/>
          <w:szCs w:val="21"/>
        </w:rPr>
        <w:t xml:space="preserve">Normalización explícita y documentada. </w:t>
      </w:r>
      <w:r>
        <w:rPr>
          <w:rFonts w:ascii="Calibri" w:cs="Calibri" w:eastAsia="Calibri" w:hAnsi="Calibri"/>
          <w:sz w:val="21"/>
          <w:szCs w:val="21"/>
        </w:rPr>
        <w:t xml:space="preserve">Si la fuente externa entrega el identificador en un formato y el inventario propio lo guarda en otro, la regla de transformación debe estar escrita y ser determinística. Es el punto donde se rompe la reconciliación con más frecuencia.</w:t>
      </w:r>
    </w:p>
    <w:p>
      <w:pPr>
        <w:pStyle w:val="ListParagraph"/>
        <w:numPr>
          <w:ilvl w:val="0"/>
          <w:numId w:val="2"/>
        </w:numPr>
        <w:spacing w:after="90" w:line="276"/>
      </w:pPr>
      <w:r>
        <w:rPr>
          <w:rFonts w:ascii="Calibri" w:cs="Calibri" w:eastAsia="Calibri" w:hAnsi="Calibri"/>
          <w:b/>
          <w:bCs/>
          <w:sz w:val="21"/>
          <w:szCs w:val="21"/>
        </w:rPr>
        <w:t xml:space="preserve">Reconciliación por actualización, no por inserción. </w:t>
      </w:r>
      <w:r>
        <w:rPr>
          <w:rFonts w:ascii="Calibri" w:cs="Calibri" w:eastAsia="Calibri" w:hAnsi="Calibri"/>
          <w:sz w:val="21"/>
          <w:szCs w:val="21"/>
        </w:rPr>
        <w:t xml:space="preserve">La operación sobre el inventario debe actualizar si el activo existe y crear si no existe. Nunca insertar incondicionalmente.</w:t>
      </w:r>
    </w:p>
    <w:p>
      <w:pPr>
        <w:pStyle w:val="ListParagraph"/>
        <w:numPr>
          <w:ilvl w:val="0"/>
          <w:numId w:val="2"/>
        </w:numPr>
        <w:spacing w:after="90" w:line="276"/>
      </w:pPr>
      <w:r>
        <w:rPr>
          <w:rFonts w:ascii="Calibri" w:cs="Calibri" w:eastAsia="Calibri" w:hAnsi="Calibri"/>
          <w:b/>
          <w:bCs/>
          <w:sz w:val="21"/>
          <w:szCs w:val="21"/>
        </w:rPr>
        <w:t xml:space="preserve">Historial de versiones del activo. </w:t>
      </w:r>
      <w:r>
        <w:rPr>
          <w:rFonts w:ascii="Calibri" w:cs="Calibri" w:eastAsia="Calibri" w:hAnsi="Calibri"/>
          <w:sz w:val="21"/>
          <w:szCs w:val="21"/>
        </w:rPr>
        <w:t xml:space="preserve">Para verificar una remediación por comparación de versiones hace falta saber qué versión tenía antes y cuál tiene ahora. Sin historial solo hay estado presente.</w:t>
      </w:r>
    </w:p>
    <w:p>
      <w:pPr>
        <w:pStyle w:val="ListParagraph"/>
        <w:numPr>
          <w:ilvl w:val="0"/>
          <w:numId w:val="2"/>
        </w:numPr>
        <w:spacing w:after="90" w:line="276"/>
      </w:pPr>
      <w:r>
        <w:rPr>
          <w:rFonts w:ascii="Calibri" w:cs="Calibri" w:eastAsia="Calibri" w:hAnsi="Calibri"/>
          <w:b/>
          <w:bCs/>
          <w:sz w:val="21"/>
          <w:szCs w:val="21"/>
        </w:rPr>
        <w:t xml:space="preserve">Tratamiento explícito de la baja. </w:t>
      </w:r>
      <w:r>
        <w:rPr>
          <w:rFonts w:ascii="Calibri" w:cs="Calibri" w:eastAsia="Calibri" w:hAnsi="Calibri"/>
          <w:sz w:val="21"/>
          <w:szCs w:val="21"/>
        </w:rPr>
        <w:t xml:space="preserve">Un activo que deja de existir no es un activo remediado. Debe distinguirse en el modelo y excluirse del denominador de las métricas.</w:t>
      </w:r>
    </w:p>
    <w:p>
      <w:pPr>
        <w:pStyle w:val="Heading2"/>
        <w:spacing w:after="110" w:before="260"/>
      </w:pPr>
      <w:r>
        <w:rPr>
          <w:rFonts w:ascii="Calibri" w:cs="Calibri" w:eastAsia="Calibri" w:hAnsi="Calibri"/>
          <w:b/>
          <w:bCs/>
          <w:color w:val="2E5C8A"/>
          <w:sz w:val="25"/>
          <w:szCs w:val="25"/>
        </w:rPr>
        <w:t xml:space="preserve">5.3 El cierre por ausencia</w:t>
      </w:r>
    </w:p>
    <w:p>
      <w:pPr>
        <w:spacing w:after="120" w:before="0" w:line="276"/>
      </w:pPr>
      <w:r>
        <w:rPr>
          <w:rFonts w:ascii="Calibri" w:cs="Calibri" w:eastAsia="Calibri" w:hAnsi="Calibri"/>
          <w:sz w:val="21"/>
          <w:szCs w:val="21"/>
        </w:rPr>
        <w:t xml:space="preserve">Este es el error más peligroso de un tracking mal construido y merece tratamiento propio.</w:t>
      </w:r>
    </w:p>
    <w:p>
      <w:pPr>
        <w:spacing w:after="120" w:before="0" w:line="276"/>
      </w:pPr>
      <w:r>
        <w:rPr>
          <w:rFonts w:ascii="Calibri" w:cs="Calibri" w:eastAsia="Calibri" w:hAnsi="Calibri"/>
          <w:sz w:val="21"/>
          <w:szCs w:val="21"/>
        </w:rPr>
        <w:t xml:space="preserve">Cuando una vulnerabilidad abierta no aparece en el escaneo siguiente, hay al menos cinco explicaciones posibles:</w:t>
      </w:r>
    </w:p>
    <w:p>
      <w:pPr>
        <w:pStyle w:val="ListParagraph"/>
        <w:numPr>
          <w:ilvl w:val="0"/>
          <w:numId w:val="3"/>
        </w:numPr>
        <w:spacing w:after="90" w:line="276"/>
      </w:pPr>
      <w:r>
        <w:rPr>
          <w:rFonts w:ascii="Calibri" w:cs="Calibri" w:eastAsia="Calibri" w:hAnsi="Calibri"/>
          <w:sz w:val="21"/>
          <w:szCs w:val="21"/>
        </w:rPr>
        <w:t xml:space="preserve">Se remedió. El activo subió de versión y salió del rango vulnerable.</w:t>
      </w:r>
    </w:p>
    <w:p>
      <w:pPr>
        <w:pStyle w:val="ListParagraph"/>
        <w:numPr>
          <w:ilvl w:val="0"/>
          <w:numId w:val="3"/>
        </w:numPr>
        <w:spacing w:after="90" w:line="276"/>
      </w:pPr>
      <w:r>
        <w:rPr>
          <w:rFonts w:ascii="Calibri" w:cs="Calibri" w:eastAsia="Calibri" w:hAnsi="Calibri"/>
          <w:sz w:val="21"/>
          <w:szCs w:val="21"/>
        </w:rPr>
        <w:t xml:space="preserve">El activo no fue analizado. El escaneo tuvo menor cobertura: falló una fuente, se cayó una conexión, se agotó una cuota de API.</w:t>
      </w:r>
    </w:p>
    <w:p>
      <w:pPr>
        <w:pStyle w:val="ListParagraph"/>
        <w:numPr>
          <w:ilvl w:val="0"/>
          <w:numId w:val="3"/>
        </w:numPr>
        <w:spacing w:after="90" w:line="276"/>
      </w:pPr>
      <w:r>
        <w:rPr>
          <w:rFonts w:ascii="Calibri" w:cs="Calibri" w:eastAsia="Calibri" w:hAnsi="Calibri"/>
          <w:sz w:val="21"/>
          <w:szCs w:val="21"/>
        </w:rPr>
        <w:t xml:space="preserve">El activo dejó de existir. Fue dado de baja, renombrado o migrado.</w:t>
      </w:r>
    </w:p>
    <w:p>
      <w:pPr>
        <w:pStyle w:val="ListParagraph"/>
        <w:numPr>
          <w:ilvl w:val="0"/>
          <w:numId w:val="3"/>
        </w:numPr>
        <w:spacing w:after="90" w:line="276"/>
      </w:pPr>
      <w:r>
        <w:rPr>
          <w:rFonts w:ascii="Calibri" w:cs="Calibri" w:eastAsia="Calibri" w:hAnsi="Calibri"/>
          <w:sz w:val="21"/>
          <w:szCs w:val="21"/>
        </w:rPr>
        <w:t xml:space="preserve">El advisory cambió. La fuente corrigió el rango afectado, retiró el registro o lo reclasificó.</w:t>
      </w:r>
    </w:p>
    <w:p>
      <w:pPr>
        <w:pStyle w:val="ListParagraph"/>
        <w:numPr>
          <w:ilvl w:val="0"/>
          <w:numId w:val="3"/>
        </w:numPr>
        <w:spacing w:after="90" w:line="276"/>
      </w:pPr>
      <w:r>
        <w:rPr>
          <w:rFonts w:ascii="Calibri" w:cs="Calibri" w:eastAsia="Calibri" w:hAnsi="Calibri"/>
          <w:sz w:val="21"/>
          <w:szCs w:val="21"/>
        </w:rPr>
        <w:t xml:space="preserve">Falso negativo. El método de detección cambió o falló en esa ejecución.</w:t>
      </w:r>
    </w:p>
    <w:p>
      <w:pPr>
        <w:spacing w:after="60"/>
      </w:pPr>
    </w:p>
    <w:tbl>
      <w:tblPr>
        <w:tblW w:type="dxa" w:w="9360"/>
        <w:tblBorders>
          <w:top w:val="none"/>
          <w:left w:val="single" w:color="9C2B2B" w:sz="18"/>
          <w:bottom w:val="none"/>
          <w:right w:val="none"/>
          <w:insideH w:val="none"/>
          <w:insideV w:val="none"/>
        </w:tblBorders>
      </w:tblPr>
      <w:tblGrid>
        <w:gridCol w:w="9360"/>
      </w:tblGrid>
      <w:tr>
        <w:tc>
          <w:tcPr>
            <w:tcW w:type="dxa" w:w="9360"/>
            <w:shd w:fill="EEF2F7" w:val="clear"/>
            <w:tcMar>
              <w:top w:type="dxa" w:w="140"/>
              <w:left w:type="dxa" w:w="200"/>
              <w:bottom w:type="dxa" w:w="140"/>
              <w:right w:type="dxa" w:w="200"/>
            </w:tcMar>
          </w:tcPr>
          <w:p>
            <w:pPr>
              <w:spacing w:after="100" w:line="276"/>
            </w:pPr>
            <w:r>
              <w:rPr>
                <w:rFonts w:ascii="Calibri" w:cs="Calibri" w:eastAsia="Calibri" w:hAnsi="Calibri"/>
                <w:b/>
                <w:bCs/>
                <w:color w:val="9C2B2B"/>
                <w:sz w:val="21"/>
                <w:szCs w:val="21"/>
              </w:rPr>
              <w:t xml:space="preserve">El antipatrón</w:t>
            </w:r>
          </w:p>
          <w:p>
            <w:pPr>
              <w:spacing w:after="0" w:line="276"/>
            </w:pPr>
            <w:r>
              <w:rPr>
                <w:rFonts w:ascii="Calibri" w:cs="Calibri" w:eastAsia="Calibri" w:hAnsi="Calibri"/>
                <w:sz w:val="21"/>
                <w:szCs w:val="21"/>
              </w:rPr>
              <w:t xml:space="preserve">Un sistema que interpreta la desaparición de un hallazgo como remediación cierra vulnerabilidades que siguen abiertas cada vez que el escaneo tiene menor cobertura. El efecto es acumulativo y silencioso: el sistema reporta métricas cada vez mejores a medida que su cobertura empeora. Es el peor comportamiento posible en una herramienta de seguridad, porque produce confianza injustificada.</w:t>
            </w:r>
          </w:p>
        </w:tc>
      </w:tr>
    </w:tbl>
    <w:p>
      <w:pPr>
        <w:spacing w:after="60"/>
      </w:pPr>
    </w:p>
    <w:p>
      <w:pPr>
        <w:spacing w:after="120" w:before="0" w:line="276"/>
      </w:pPr>
      <w:r>
        <w:rPr>
          <w:rFonts w:ascii="Calibri" w:cs="Calibri" w:eastAsia="Calibri" w:hAnsi="Calibri"/>
          <w:sz w:val="21"/>
          <w:szCs w:val="21"/>
        </w:rPr>
        <w:t xml:space="preserve">Vale una precisión importante, porque acá hay un matiz que conviene no perder. CIS reconoce en su especificación de evaluación que la ausencia de la misma combinación activo-vulnerabilidad en el escaneo más reciente puede tomarse como indicativa de remediación. Es decir: la inferencia por ausencia es una práctica aceptada. Lo que la vuelve legítima es que sea una inferencia declarada y no una conclusión encubierta.</w:t>
      </w:r>
    </w:p>
    <w:p>
      <w:pPr>
        <w:spacing w:after="120" w:before="0" w:line="276"/>
      </w:pPr>
      <w:r>
        <w:rPr>
          <w:rFonts w:ascii="Calibri" w:cs="Calibri" w:eastAsia="Calibri" w:hAnsi="Calibri"/>
          <w:sz w:val="21"/>
          <w:szCs w:val="21"/>
        </w:rPr>
        <w:t xml:space="preserve">La contramedida práctica es doble. Registrar la cobertura de cada ejecución como dato de primer orden, y representar el resultado de la inferencia como tal. Es preferible un estado del tipo «observado ausente» que un campo booleano «remediación comprobada», porque el primero conserva la naturaleza de la evidencia y el segundo la sobrestima.</w:t>
      </w:r>
    </w:p>
    <w:p>
      <w:pPr>
        <w:spacing w:after="60"/>
      </w:pPr>
    </w:p>
    <w:p>
      <w:pPr>
        <w:spacing w:after="120" w:before="0" w:line="276"/>
      </w:pPr>
      <w:r>
        <w:rPr>
          <w:rFonts w:ascii="Calibri" w:cs="Calibri" w:eastAsia="Calibri" w:hAnsi="Calibri"/>
          <w:b/>
          <w:bCs/>
          <w:sz w:val="21"/>
          <w:szCs w:val="21"/>
        </w:rPr>
        <w:t xml:space="preserve">Campos mínimos del registro de ejecución:</w:t>
      </w:r>
    </w:p>
    <w:p>
      <w:pPr>
        <w:shd w:fill="F4F6F8" w:val="clear"/>
        <w:spacing w:after="40" w:line="240"/>
        <w:ind w:left="288"/>
      </w:pPr>
      <w:r>
        <w:rPr>
          <w:rFonts w:ascii="Consolas" w:cs="Consolas" w:eastAsia="Consolas" w:hAnsi="Consolas"/>
          <w:color w:val="24292E"/>
          <w:sz w:val="17"/>
          <w:szCs w:val="17"/>
        </w:rPr>
        <w:t xml:space="preserve">scan_id              identificador de la ejecucion</w:t>
      </w:r>
    </w:p>
    <w:p>
      <w:pPr>
        <w:shd w:fill="F4F6F8" w:val="clear"/>
        <w:spacing w:after="40" w:line="240"/>
        <w:ind w:left="288"/>
      </w:pPr>
      <w:r>
        <w:rPr>
          <w:rFonts w:ascii="Consolas" w:cs="Consolas" w:eastAsia="Consolas" w:hAnsi="Consolas"/>
          <w:color w:val="24292E"/>
          <w:sz w:val="17"/>
          <w:szCs w:val="17"/>
        </w:rPr>
        <w:t xml:space="preserve">started_at           inicio</w:t>
      </w:r>
    </w:p>
    <w:p>
      <w:pPr>
        <w:shd w:fill="F4F6F8" w:val="clear"/>
        <w:spacing w:after="40" w:line="240"/>
        <w:ind w:left="288"/>
      </w:pPr>
      <w:r>
        <w:rPr>
          <w:rFonts w:ascii="Consolas" w:cs="Consolas" w:eastAsia="Consolas" w:hAnsi="Consolas"/>
          <w:color w:val="24292E"/>
          <w:sz w:val="17"/>
          <w:szCs w:val="17"/>
        </w:rPr>
        <w:t xml:space="preserve">finished_at          fin</w:t>
      </w:r>
    </w:p>
    <w:p>
      <w:pPr>
        <w:shd w:fill="F4F6F8" w:val="clear"/>
        <w:spacing w:after="40" w:line="240"/>
        <w:ind w:left="288"/>
      </w:pPr>
      <w:r>
        <w:rPr>
          <w:rFonts w:ascii="Consolas" w:cs="Consolas" w:eastAsia="Consolas" w:hAnsi="Consolas"/>
          <w:color w:val="24292E"/>
          <w:sz w:val="17"/>
          <w:szCs w:val="17"/>
        </w:rPr>
        <w:t xml:space="preserve">status               SUCCESS | PARTIAL | FAILED</w:t>
      </w:r>
    </w:p>
    <w:p>
      <w:pPr>
        <w:shd w:fill="F4F6F8" w:val="clear"/>
        <w:spacing w:after="40" w:line="240"/>
        <w:ind w:left="288"/>
      </w:pPr>
      <w:r>
        <w:rPr>
          <w:rFonts w:ascii="Consolas" w:cs="Consolas" w:eastAsia="Consolas" w:hAnsi="Consolas"/>
          <w:color w:val="24292E"/>
          <w:sz w:val="17"/>
          <w:szCs w:val="17"/>
        </w:rPr>
        <w:t xml:space="preserve">assets_in_scope      cuantos activos debian analizarse</w:t>
      </w:r>
    </w:p>
    <w:p>
      <w:pPr>
        <w:shd w:fill="F4F6F8" w:val="clear"/>
        <w:spacing w:after="40" w:line="240"/>
        <w:ind w:left="288"/>
      </w:pPr>
      <w:r>
        <w:rPr>
          <w:rFonts w:ascii="Consolas" w:cs="Consolas" w:eastAsia="Consolas" w:hAnsi="Consolas"/>
          <w:color w:val="24292E"/>
          <w:sz w:val="17"/>
          <w:szCs w:val="17"/>
        </w:rPr>
        <w:t xml:space="preserve">assets_analyzed      cuantos se analizaron efectivamente</w:t>
      </w:r>
    </w:p>
    <w:p>
      <w:pPr>
        <w:shd w:fill="F4F6F8" w:val="clear"/>
        <w:spacing w:after="40" w:line="240"/>
        <w:ind w:left="288"/>
      </w:pPr>
      <w:r>
        <w:rPr>
          <w:rFonts w:ascii="Consolas" w:cs="Consolas" w:eastAsia="Consolas" w:hAnsi="Consolas"/>
          <w:color w:val="24292E"/>
          <w:sz w:val="17"/>
          <w:szCs w:val="17"/>
        </w:rPr>
        <w:t xml:space="preserve">sources_consulted    que fuentes respondieron</w:t>
      </w:r>
    </w:p>
    <w:p>
      <w:pPr>
        <w:shd w:fill="F4F6F8" w:val="clear"/>
        <w:spacing w:after="40" w:line="240"/>
        <w:ind w:left="288"/>
      </w:pPr>
      <w:r>
        <w:rPr>
          <w:rFonts w:ascii="Consolas" w:cs="Consolas" w:eastAsia="Consolas" w:hAnsi="Consolas"/>
          <w:color w:val="24292E"/>
          <w:sz w:val="17"/>
          <w:szCs w:val="17"/>
        </w:rPr>
        <w:t xml:space="preserve">sources_failed       que fuentes no respondieron</w:t>
      </w:r>
    </w:p>
    <w:p>
      <w:pPr>
        <w:shd w:fill="F4F6F8" w:val="clear"/>
        <w:spacing w:after="40" w:line="240"/>
        <w:ind w:left="288"/>
      </w:pPr>
      <w:r>
        <w:rPr>
          <w:rFonts w:ascii="Consolas" w:cs="Consolas" w:eastAsia="Consolas" w:hAnsi="Consolas"/>
          <w:color w:val="24292E"/>
          <w:sz w:val="17"/>
          <w:szCs w:val="17"/>
        </w:rPr>
        <w:t xml:space="preserve">error_detail         causa de la cobertura parcial</w:t>
      </w:r>
    </w:p>
    <w:p>
      <w:pPr>
        <w:spacing w:after="100"/>
      </w:pPr>
    </w:p>
    <w:p>
      <w:pPr>
        <w:spacing w:after="120" w:before="0" w:line="276"/>
      </w:pPr>
      <w:r>
        <w:rPr>
          <w:rFonts w:ascii="Calibri" w:cs="Calibri" w:eastAsia="Calibri" w:hAnsi="Calibri"/>
          <w:sz w:val="21"/>
          <w:szCs w:val="21"/>
        </w:rPr>
        <w:t xml:space="preserve">La relación entre activos en alcance y activos analizados es lo que permite distinguir un escaneo completo de uno parcial. Un escaneo con estado parcial no debe usarse para cerrar hallazgos.</w:t>
      </w:r>
    </w:p>
    <w:p>
      <w:pPr>
        <w:pStyle w:val="Heading2"/>
        <w:spacing w:after="110" w:before="260"/>
      </w:pPr>
      <w:r>
        <w:rPr>
          <w:rFonts w:ascii="Calibri" w:cs="Calibri" w:eastAsia="Calibri" w:hAnsi="Calibri"/>
          <w:b/>
          <w:bCs/>
          <w:color w:val="2E5C8A"/>
          <w:sz w:val="25"/>
          <w:szCs w:val="25"/>
        </w:rPr>
        <w:t xml:space="preserve">5.4 GHSA como fuente primaria: particularidades para el modelo</w:t>
      </w:r>
    </w:p>
    <w:p>
      <w:pPr>
        <w:spacing w:after="120" w:before="0" w:line="276"/>
      </w:pPr>
      <w:r>
        <w:rPr>
          <w:rFonts w:ascii="Calibri" w:cs="Calibri" w:eastAsia="Calibri" w:hAnsi="Calibri"/>
          <w:sz w:val="21"/>
          <w:szCs w:val="21"/>
        </w:rPr>
        <w:t xml:space="preserve">El pipeline de ingestión típico de un sistema como el descrito en este documento no consume únicamente CVE/NVD: en la práctica, la fuente más directa para un inventario de dependencias de código abierto es GitHub Security Advisories (GHSA), la base de datos de asesorías que mantiene GitHub. Tratarla como un simple espejo de CVE es un error que tiene consecuencias concretas sobre los componentes A y D del modelo.</w:t>
      </w:r>
    </w:p>
    <w:p>
      <w:pPr>
        <w:spacing w:after="90" w:before="180" w:line="276"/>
      </w:pPr>
      <w:r>
        <w:rPr>
          <w:rFonts w:ascii="Calibri" w:cs="Calibri" w:eastAsia="Calibri" w:hAnsi="Calibri"/>
          <w:b/>
          <w:bCs/>
          <w:color w:val="1F3864"/>
          <w:sz w:val="22"/>
          <w:szCs w:val="22"/>
        </w:rPr>
        <w:t xml:space="preserve">Qué es y cómo se relaciona con CVE</w:t>
      </w:r>
    </w:p>
    <w:p>
      <w:pPr>
        <w:spacing w:after="120" w:before="0" w:line="276"/>
      </w:pPr>
      <w:r>
        <w:rPr>
          <w:rFonts w:ascii="Calibri" w:cs="Calibri" w:eastAsia="Calibri" w:hAnsi="Calibri"/>
          <w:sz w:val="21"/>
          <w:szCs w:val="21"/>
        </w:rPr>
        <w:t xml:space="preserve">Un aviso de GHSA entra a la base por una de tres vías: investigación propia del equipo de seguridad de GitHub, un mantenedor de repositorio que reporta una vulnerabilidad de forma privada a través de la función de asesorías de seguridad del propio GitHub, o sincronización automática desde la National Vulnerability Database (NVD) y la lista de CVE de MITRE. GitHub es Autoridad de Numeración de CVE (CNA) desde septiembre de 2020, lo que le permite asignar identificadores CVE directamente a las asesorías originadas en repositorios alojados en su plataforma, y explica por qué gran parte de los CVE de npm, PyPI y RubyGems se originan hoy en GitHub y no en un CNA tradicional.</w:t>
      </w:r>
    </w:p>
    <w:p>
      <w:pPr>
        <w:spacing w:after="120" w:before="0" w:line="276"/>
      </w:pPr>
      <w:r>
        <w:rPr>
          <w:rFonts w:ascii="Calibri" w:cs="Calibri" w:eastAsia="Calibri" w:hAnsi="Calibri"/>
          <w:sz w:val="21"/>
          <w:szCs w:val="21"/>
        </w:rPr>
        <w:t xml:space="preserve">La relación entre GHSA y CVE no es de equivalencia uno a uno resuelta por un único campo. Un aviso puede tener únicamente ID de GHSA (sin CVE asignado todavía o nunca solicitado), o tener ambos identificadores en paralelo. El formato Open Source Vulnerability (OSV), en el que GitHub publica cada asesoría como archivo JSON, modela esto explícitamente: el identificador primario del registro es el GHSA-ID, y el CVE —cuando existe— aparece en una lista de alias, junto a otros identificadores que pudiera tener el mismo problema en otras bases (por ejemplo, un ID propio del ecosistema Go). La regla de normalización que exige el Componente A del modelo (Capítulo 5.2) debe, entonces, decidir explícitamente sobre qué identificador ancla la identidad del advisory: usar el CVE cuando existe y el GHSA-ID como respaldo, o usar el GHSA-ID siempre como clave primaria y el CVE como alias indexado aparte. La segunda opción es más robusta, porque cubre también los avisos que nunca reciben CVE.</w:t>
      </w:r>
    </w:p>
    <w:p>
      <w:pPr>
        <w:spacing w:after="90" w:before="180" w:line="276"/>
      </w:pPr>
      <w:r>
        <w:rPr>
          <w:rFonts w:ascii="Calibri" w:cs="Calibri" w:eastAsia="Calibri" w:hAnsi="Calibri"/>
          <w:b/>
          <w:bCs/>
          <w:color w:val="1F3864"/>
          <w:sz w:val="22"/>
          <w:szCs w:val="22"/>
        </w:rPr>
        <w:t xml:space="preserve">La distinción que más importa: reviewed vs. unreviewed</w:t>
      </w:r>
    </w:p>
    <w:p>
      <w:pPr>
        <w:spacing w:after="120" w:before="0" w:line="276"/>
      </w:pPr>
      <w:r>
        <w:rPr>
          <w:rFonts w:ascii="Calibri" w:cs="Calibri" w:eastAsia="Calibri" w:hAnsi="Calibri"/>
          <w:sz w:val="21"/>
          <w:szCs w:val="21"/>
        </w:rPr>
        <w:t xml:space="preserve">La base de datos de GitHub separa las asesorías en revisadas y no revisadas por el equipo de curación de GitHub. Las revisadas fueron validadas manualmente: severidad, ecosistema, rango de versiones afectadas y versión corregida están confirmados por una persona. Las no revisadas se incorporan de forma automática desde el feed de CVE de NVD para paquetes que GitHub todavía no curó, y no pasan control de calidad. En la práctica esto produce datos de rango de versión incompletos o placeholder —el patrón más citado es un rango afectado literal "&gt;= 0", artefacto recurrente de la traducción automática de NVD a formato GHSA— y campos de severidad heredados sin ajuste al contexto del ecosistema.</w:t>
      </w:r>
    </w:p>
    <w:tbl>
      <w:tblPr>
        <w:tblW w:type="dxa" w:w="9360"/>
        <w:tblBorders>
          <w:top w:val="none"/>
          <w:left w:val="single" w:color="2E5C8A" w:sz="18"/>
          <w:bottom w:val="none"/>
          <w:right w:val="none"/>
          <w:insideH w:val="none"/>
          <w:insideV w:val="none"/>
        </w:tblBorders>
      </w:tblPr>
      <w:tblGrid>
        <w:gridCol w:w="9360"/>
      </w:tblGrid>
      <w:tr>
        <w:tc>
          <w:tcPr>
            <w:tcW w:type="dxa" w:w="9360"/>
            <w:shd w:fill="EEF2F7" w:val="clear"/>
            <w:tcMar>
              <w:top w:type="dxa" w:w="140"/>
              <w:left w:type="dxa" w:w="200"/>
              <w:bottom w:type="dxa" w:w="140"/>
              <w:right w:type="dxa" w:w="200"/>
            </w:tcMar>
          </w:tcPr>
          <w:p>
            <w:pPr>
              <w:spacing w:after="100"/>
            </w:pPr>
            <w:r>
              <w:rPr>
                <w:rFonts w:ascii="Calibri" w:cs="Calibri" w:eastAsia="Calibri" w:hAnsi="Calibri"/>
                <w:b/>
                <w:bCs/>
                <w:color w:val="1F3864"/>
                <w:sz w:val="21"/>
                <w:szCs w:val="21"/>
              </w:rPr>
              <w:t xml:space="preserve">Consecuencia directa sobre el Componente D</w:t>
            </w:r>
          </w:p>
          <w:p>
            <w:pPr>
              <w:spacing w:after="100" w:line="276"/>
            </w:pPr>
            <w:r>
              <w:rPr>
                <w:rFonts w:ascii="Calibri" w:cs="Calibri" w:eastAsia="Calibri" w:hAnsi="Calibri"/>
                <w:sz w:val="21"/>
                <w:szCs w:val="21"/>
              </w:rPr>
              <w:t xml:space="preserve">Un mecanismo de verificación por comparación de versiones (Capítulo 8.2) que confía ciegamente en el rango vulnerable de un advisory no revisado puede comparar la versión del activo contra un rango sin sentido y producir un falso cierre o una alerta que nunca debió dispararse.</w:t>
            </w:r>
          </w:p>
          <w:p>
            <w:pPr>
              <w:spacing w:after="0" w:line="276"/>
            </w:pPr>
            <w:r>
              <w:rPr>
                <w:rFonts w:ascii="Calibri" w:cs="Calibri" w:eastAsia="Calibri" w:hAnsi="Calibri"/>
                <w:sz w:val="21"/>
                <w:szCs w:val="21"/>
              </w:rPr>
              <w:t xml:space="preserve">La consecuencia práctica es que el modelo de datos debería registrar si el advisory consumido es reviewed o unreviewed, y tratar el segundo caso con un nivel de confianza más bajo —análogo al nivel de evidencia E0-E6 del Capítulo 6.3, pero aplicado a la calidad del dato de entrada, no del cierre.</w:t>
            </w:r>
          </w:p>
        </w:tc>
      </w:tr>
    </w:tbl>
    <w:p>
      <w:pPr>
        <w:spacing w:after="120" w:line="240"/>
      </w:pPr>
    </w:p>
    <w:p>
      <w:pPr>
        <w:spacing w:after="90" w:before="180" w:line="276"/>
      </w:pPr>
      <w:r>
        <w:rPr>
          <w:rFonts w:ascii="Calibri" w:cs="Calibri" w:eastAsia="Calibri" w:hAnsi="Calibri"/>
          <w:b/>
          <w:bCs/>
          <w:color w:val="1F3864"/>
          <w:sz w:val="22"/>
          <w:szCs w:val="22"/>
        </w:rPr>
        <w:t xml:space="preserve">Rangos múltiples y advisories que cambian</w:t>
      </w:r>
    </w:p>
    <w:p>
      <w:pPr>
        <w:spacing w:after="120" w:before="0" w:line="276"/>
      </w:pPr>
      <w:r>
        <w:rPr>
          <w:rFonts w:ascii="Calibri" w:cs="Calibri" w:eastAsia="Calibri" w:hAnsi="Calibri"/>
          <w:sz w:val="21"/>
          <w:szCs w:val="21"/>
        </w:rPr>
        <w:t xml:space="preserve">El formato OSV que usa GHSA modela el rango afectado como una secuencia de eventos —introduced, fixed, last_affected— dentro de una estructura ranges por paquete, y un mismo advisory puede declarar varios paquetes afectados, cada uno con su propio rango. Esto confirma, con la fuente real que va a consumir el sistema, la advertencia del Capítulo 8.2 sobre advisories con múltiples rangos: no es un caso excepcional a contemplar, es la forma normal en que GHSA representa parches backporteados a versiones anteriores además de la rama principal.</w:t>
      </w:r>
    </w:p>
    <w:p>
      <w:pPr>
        <w:spacing w:after="120" w:before="0" w:line="276"/>
      </w:pPr>
      <w:r>
        <w:rPr>
          <w:rFonts w:ascii="Calibri" w:cs="Calibri" w:eastAsia="Calibri" w:hAnsi="Calibri"/>
          <w:sz w:val="21"/>
          <w:szCs w:val="21"/>
        </w:rPr>
        <w:t xml:space="preserve">El esquema OSV incluye además un campo withdrawn con fecha, para advisories retirados después de publicados —por ejemplo, cuando se determina que el reporte original era incorrecto—. Un sistema que ingiere GHSA y no revisa este campo puede mantener abierto, indefinidamente, un hallazgo basado en un advisory que la propia fuente ya retractó. Es el quinto de los cinco motivos por los que un hallazgo puede desaparecer de un escaneo, listados en el Capítulo 5.3 del cuerpo de este documento: "el advisory cambió". GHSA es la fuente concreta donde ese motivo se materializa con más frecuencia que en CVE/NVD, precisamente porque su proceso de curación comunitaria (pull requests de la propia comunidad, referenciado como mecanismo de actualización) es más ágil que el de NVD.</w:t>
      </w:r>
    </w:p>
    <w:p>
      <w:pPr>
        <w:spacing w:after="90" w:before="180" w:line="276"/>
      </w:pPr>
      <w:r>
        <w:rPr>
          <w:rFonts w:ascii="Calibri" w:cs="Calibri" w:eastAsia="Calibri" w:hAnsi="Calibri"/>
          <w:b/>
          <w:bCs/>
          <w:color w:val="1F3864"/>
          <w:sz w:val="22"/>
          <w:szCs w:val="22"/>
        </w:rPr>
        <w:t xml:space="preserve">Fuentes</w:t>
      </w:r>
    </w:p>
    <w:p>
      <w:pPr>
        <w:spacing w:after="120" w:before="0" w:line="276"/>
      </w:pPr>
      <w:r>
        <w:rPr>
          <w:rFonts w:ascii="Calibri" w:cs="Calibri" w:eastAsia="Calibri" w:hAnsi="Calibri"/>
          <w:sz w:val="21"/>
          <w:szCs w:val="21"/>
        </w:rPr>
        <w:t xml:space="preserve">GitHub Docs — About the GitHub Advisory Database (docs.github.com); repositorio github/advisory-database; especificación OSV (ossf.github.io/osv-schema). Consultado: agosto 2026.</w:t>
      </w:r>
    </w:p>
    <w:p>
      <w:pPr>
        <w:pStyle w:val="Heading1"/>
        <w:pBdr>
          <w:bottom w:val="single" w:color="1F3864" w:sz="8" w:space="6"/>
        </w:pBdr>
        <w:spacing w:after="160" w:before="340"/>
      </w:pPr>
      <w:r>
        <w:rPr>
          <w:rFonts w:ascii="Calibri" w:cs="Calibri" w:eastAsia="Calibri" w:hAnsi="Calibri"/>
          <w:b/>
          <w:bCs/>
          <w:color w:val="1F3864"/>
          <w:sz w:val="30"/>
          <w:szCs w:val="30"/>
        </w:rPr>
        <w:t xml:space="preserve">6. Componente B — Estados, timestamps y evidencia</w:t>
      </w:r>
    </w:p>
    <w:p>
      <w:pPr>
        <w:pStyle w:val="Heading2"/>
        <w:spacing w:after="110" w:before="260"/>
      </w:pPr>
      <w:r>
        <w:rPr>
          <w:rFonts w:ascii="Calibri" w:cs="Calibri" w:eastAsia="Calibri" w:hAnsi="Calibri"/>
          <w:b/>
          <w:bCs/>
          <w:color w:val="2E5C8A"/>
          <w:sz w:val="25"/>
          <w:szCs w:val="25"/>
        </w:rPr>
        <w:t xml:space="preserve">6.1 Estados mínimos</w:t>
      </w:r>
    </w:p>
    <w:p>
      <w:pPr>
        <w:spacing w:after="60"/>
      </w:pPr>
    </w:p>
    <w:tbl>
      <w:tblPr>
        <w:tblW w:type="dxa" w:w="9360"/>
        <w:tblBorders>
          <w:top w:val="single" w:color="C9D3E0" w:sz="4"/>
          <w:left w:val="single" w:color="C9D3E0" w:sz="4"/>
          <w:bottom w:val="single" w:color="C9D3E0" w:sz="4"/>
          <w:right w:val="single" w:color="C9D3E0" w:sz="4"/>
          <w:insideH w:val="single" w:color="DDE4ED" w:sz="2"/>
          <w:insideV w:val="single" w:color="DDE4ED" w:sz="2"/>
        </w:tblBorders>
      </w:tblPr>
      <w:tblGrid>
        <w:gridCol w:w="2100"/>
        <w:gridCol w:w="4900"/>
        <w:gridCol w:w="2360"/>
      </w:tblGrid>
      <w:tr>
        <w:trPr>
          <w:tblHeader/>
        </w:trPr>
        <w:tc>
          <w:tcPr>
            <w:tcW w:type="dxa" w:w="2100"/>
            <w:shd w:fill="1F3864" w:val="clear"/>
            <w:tcMar>
              <w:top w:type="dxa" w:w="90"/>
              <w:left w:type="dxa" w:w="110"/>
              <w:bottom w:type="dxa" w:w="90"/>
              <w:right w:type="dxa" w:w="110"/>
            </w:tcMar>
          </w:tcPr>
          <w:p>
            <w:pPr>
              <w:spacing w:after="0"/>
            </w:pPr>
            <w:r>
              <w:rPr>
                <w:rFonts w:ascii="Calibri" w:cs="Calibri" w:eastAsia="Calibri" w:hAnsi="Calibri"/>
                <w:b/>
                <w:bCs/>
                <w:color w:val="FFFFFF"/>
                <w:sz w:val="19"/>
                <w:szCs w:val="19"/>
              </w:rPr>
              <w:t xml:space="preserve">Estado</w:t>
            </w:r>
          </w:p>
        </w:tc>
        <w:tc>
          <w:tcPr>
            <w:tcW w:type="dxa" w:w="4900"/>
            <w:shd w:fill="1F3864" w:val="clear"/>
            <w:tcMar>
              <w:top w:type="dxa" w:w="90"/>
              <w:left w:type="dxa" w:w="110"/>
              <w:bottom w:type="dxa" w:w="90"/>
              <w:right w:type="dxa" w:w="110"/>
            </w:tcMar>
          </w:tcPr>
          <w:p>
            <w:pPr>
              <w:spacing w:after="0"/>
            </w:pPr>
            <w:r>
              <w:rPr>
                <w:rFonts w:ascii="Calibri" w:cs="Calibri" w:eastAsia="Calibri" w:hAnsi="Calibri"/>
                <w:b/>
                <w:bCs/>
                <w:color w:val="FFFFFF"/>
                <w:sz w:val="19"/>
                <w:szCs w:val="19"/>
              </w:rPr>
              <w:t xml:space="preserve">Significado</w:t>
            </w:r>
          </w:p>
        </w:tc>
        <w:tc>
          <w:tcPr>
            <w:tcW w:type="dxa" w:w="2360"/>
            <w:shd w:fill="1F3864" w:val="clear"/>
            <w:tcMar>
              <w:top w:type="dxa" w:w="90"/>
              <w:left w:type="dxa" w:w="110"/>
              <w:bottom w:type="dxa" w:w="90"/>
              <w:right w:type="dxa" w:w="110"/>
            </w:tcMar>
          </w:tcPr>
          <w:p>
            <w:pPr>
              <w:spacing w:after="0"/>
            </w:pPr>
            <w:r>
              <w:rPr>
                <w:rFonts w:ascii="Calibri" w:cs="Calibri" w:eastAsia="Calibri" w:hAnsi="Calibri"/>
                <w:b/>
                <w:bCs/>
                <w:color w:val="FFFFFF"/>
                <w:sz w:val="19"/>
                <w:szCs w:val="19"/>
              </w:rPr>
              <w:t xml:space="preserve">Timestamp</w:t>
            </w:r>
          </w:p>
        </w:tc>
      </w:tr>
      <w:tr>
        <w:tc>
          <w:tcPr>
            <w:tcW w:type="dxa" w:w="2100"/>
            <w:tcMar>
              <w:top w:type="dxa" w:w="80"/>
              <w:left w:type="dxa" w:w="110"/>
              <w:bottom w:type="dxa" w:w="80"/>
              <w:right w:type="dxa" w:w="110"/>
            </w:tcMar>
          </w:tcPr>
          <w:p>
            <w:pPr>
              <w:spacing w:after="0" w:line="250"/>
            </w:pPr>
            <w:r>
              <w:rPr>
                <w:rFonts w:ascii="Calibri" w:cs="Calibri" w:eastAsia="Calibri" w:hAnsi="Calibri"/>
                <w:b/>
                <w:bCs/>
                <w:sz w:val="18"/>
                <w:szCs w:val="18"/>
              </w:rPr>
              <w:t xml:space="preserve">Detectada</w:t>
            </w:r>
          </w:p>
        </w:tc>
        <w:tc>
          <w:tcPr>
            <w:tcW w:type="dxa" w:w="490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El sistema la correlacionó con un activo. Nadie la miró todavía.</w:t>
            </w:r>
          </w:p>
        </w:tc>
        <w:tc>
          <w:tcPr>
            <w:tcW w:type="dxa" w:w="236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detected_at</w:t>
            </w:r>
          </w:p>
        </w:tc>
      </w:tr>
      <w:tr>
        <w:tc>
          <w:tcPr>
            <w:tcW w:type="dxa" w:w="2100"/>
            <w:shd w:fill="F6F8FB" w:val="clear"/>
            <w:tcMar>
              <w:top w:type="dxa" w:w="80"/>
              <w:left w:type="dxa" w:w="110"/>
              <w:bottom w:type="dxa" w:w="80"/>
              <w:right w:type="dxa" w:w="110"/>
            </w:tcMar>
          </w:tcPr>
          <w:p>
            <w:pPr>
              <w:spacing w:after="0" w:line="250"/>
            </w:pPr>
            <w:r>
              <w:rPr>
                <w:rFonts w:ascii="Calibri" w:cs="Calibri" w:eastAsia="Calibri" w:hAnsi="Calibri"/>
                <w:b/>
                <w:bCs/>
                <w:sz w:val="18"/>
                <w:szCs w:val="18"/>
              </w:rPr>
              <w:t xml:space="preserve">Reconocida</w:t>
            </w:r>
          </w:p>
        </w:tc>
        <w:tc>
          <w:tcPr>
            <w:tcW w:type="dxa" w:w="4900"/>
            <w:shd w:fill="F6F8FB" w:val="clear"/>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Una persona la revisó y confirmó que aplica.</w:t>
            </w:r>
          </w:p>
        </w:tc>
        <w:tc>
          <w:tcPr>
            <w:tcW w:type="dxa" w:w="2360"/>
            <w:shd w:fill="F6F8FB" w:val="clear"/>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acknowledged_at</w:t>
            </w:r>
          </w:p>
        </w:tc>
      </w:tr>
      <w:tr>
        <w:tc>
          <w:tcPr>
            <w:tcW w:type="dxa" w:w="2100"/>
            <w:tcMar>
              <w:top w:type="dxa" w:w="80"/>
              <w:left w:type="dxa" w:w="110"/>
              <w:bottom w:type="dxa" w:w="80"/>
              <w:right w:type="dxa" w:w="110"/>
            </w:tcMar>
          </w:tcPr>
          <w:p>
            <w:pPr>
              <w:spacing w:after="0" w:line="250"/>
            </w:pPr>
            <w:r>
              <w:rPr>
                <w:rFonts w:ascii="Calibri" w:cs="Calibri" w:eastAsia="Calibri" w:hAnsi="Calibri"/>
                <w:b/>
                <w:bCs/>
                <w:sz w:val="18"/>
                <w:szCs w:val="18"/>
              </w:rPr>
              <w:t xml:space="preserve">En remediación</w:t>
            </w:r>
          </w:p>
        </w:tc>
        <w:tc>
          <w:tcPr>
            <w:tcW w:type="dxa" w:w="490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Hay trabajo en curso.</w:t>
            </w:r>
          </w:p>
        </w:tc>
        <w:tc>
          <w:tcPr>
            <w:tcW w:type="dxa" w:w="236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remediation_started_at</w:t>
            </w:r>
          </w:p>
        </w:tc>
      </w:tr>
      <w:tr>
        <w:tc>
          <w:tcPr>
            <w:tcW w:type="dxa" w:w="2100"/>
            <w:shd w:fill="F6F8FB" w:val="clear"/>
            <w:tcMar>
              <w:top w:type="dxa" w:w="80"/>
              <w:left w:type="dxa" w:w="110"/>
              <w:bottom w:type="dxa" w:w="80"/>
              <w:right w:type="dxa" w:w="110"/>
            </w:tcMar>
          </w:tcPr>
          <w:p>
            <w:pPr>
              <w:spacing w:after="0" w:line="250"/>
            </w:pPr>
            <w:r>
              <w:rPr>
                <w:rFonts w:ascii="Calibri" w:cs="Calibri" w:eastAsia="Calibri" w:hAnsi="Calibri"/>
                <w:b/>
                <w:bCs/>
                <w:sz w:val="18"/>
                <w:szCs w:val="18"/>
              </w:rPr>
              <w:t xml:space="preserve">Remediación declarada</w:t>
            </w:r>
          </w:p>
        </w:tc>
        <w:tc>
          <w:tcPr>
            <w:tcW w:type="dxa" w:w="4900"/>
            <w:shd w:fill="F6F8FB" w:val="clear"/>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Se afirma que el cambio fue aplicado. Sin comprobar.</w:t>
            </w:r>
          </w:p>
        </w:tc>
        <w:tc>
          <w:tcPr>
            <w:tcW w:type="dxa" w:w="2360"/>
            <w:shd w:fill="F6F8FB" w:val="clear"/>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declared_at</w:t>
            </w:r>
          </w:p>
        </w:tc>
      </w:tr>
      <w:tr>
        <w:tc>
          <w:tcPr>
            <w:tcW w:type="dxa" w:w="2100"/>
            <w:tcMar>
              <w:top w:type="dxa" w:w="80"/>
              <w:left w:type="dxa" w:w="110"/>
              <w:bottom w:type="dxa" w:w="80"/>
              <w:right w:type="dxa" w:w="110"/>
            </w:tcMar>
          </w:tcPr>
          <w:p>
            <w:pPr>
              <w:spacing w:after="0" w:line="250"/>
            </w:pPr>
            <w:r>
              <w:rPr>
                <w:rFonts w:ascii="Calibri" w:cs="Calibri" w:eastAsia="Calibri" w:hAnsi="Calibri"/>
                <w:b/>
                <w:bCs/>
                <w:sz w:val="18"/>
                <w:szCs w:val="18"/>
              </w:rPr>
              <w:t xml:space="preserve">Remediación verificada</w:t>
            </w:r>
          </w:p>
        </w:tc>
        <w:tc>
          <w:tcPr>
            <w:tcW w:type="dxa" w:w="490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El sistema comprobó que la condición vulnerable ya no está.</w:t>
            </w:r>
          </w:p>
        </w:tc>
        <w:tc>
          <w:tcPr>
            <w:tcW w:type="dxa" w:w="236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verified_at</w:t>
            </w:r>
          </w:p>
        </w:tc>
      </w:tr>
      <w:tr>
        <w:tc>
          <w:tcPr>
            <w:tcW w:type="dxa" w:w="2100"/>
            <w:shd w:fill="F6F8FB" w:val="clear"/>
            <w:tcMar>
              <w:top w:type="dxa" w:w="80"/>
              <w:left w:type="dxa" w:w="110"/>
              <w:bottom w:type="dxa" w:w="80"/>
              <w:right w:type="dxa" w:w="110"/>
            </w:tcMar>
          </w:tcPr>
          <w:p>
            <w:pPr>
              <w:spacing w:after="0" w:line="250"/>
            </w:pPr>
            <w:r>
              <w:rPr>
                <w:rFonts w:ascii="Calibri" w:cs="Calibri" w:eastAsia="Calibri" w:hAnsi="Calibri"/>
                <w:b/>
                <w:bCs/>
                <w:sz w:val="18"/>
                <w:szCs w:val="18"/>
              </w:rPr>
              <w:t xml:space="preserve">Mitigada</w:t>
            </w:r>
          </w:p>
        </w:tc>
        <w:tc>
          <w:tcPr>
            <w:tcW w:type="dxa" w:w="4900"/>
            <w:shd w:fill="F6F8FB" w:val="clear"/>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El riesgo se redujo por otra vía sin eliminar la vulnerabilidad.</w:t>
            </w:r>
          </w:p>
        </w:tc>
        <w:tc>
          <w:tcPr>
            <w:tcW w:type="dxa" w:w="2360"/>
            <w:shd w:fill="F6F8FB" w:val="clear"/>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mitigated_at + descripción del control</w:t>
            </w:r>
          </w:p>
        </w:tc>
      </w:tr>
      <w:tr>
        <w:tc>
          <w:tcPr>
            <w:tcW w:type="dxa" w:w="2100"/>
            <w:tcMar>
              <w:top w:type="dxa" w:w="80"/>
              <w:left w:type="dxa" w:w="110"/>
              <w:bottom w:type="dxa" w:w="80"/>
              <w:right w:type="dxa" w:w="110"/>
            </w:tcMar>
          </w:tcPr>
          <w:p>
            <w:pPr>
              <w:spacing w:after="0" w:line="250"/>
            </w:pPr>
            <w:r>
              <w:rPr>
                <w:rFonts w:ascii="Calibri" w:cs="Calibri" w:eastAsia="Calibri" w:hAnsi="Calibri"/>
                <w:b/>
                <w:bCs/>
                <w:sz w:val="18"/>
                <w:szCs w:val="18"/>
              </w:rPr>
              <w:t xml:space="preserve">No aplica</w:t>
            </w:r>
          </w:p>
        </w:tc>
        <w:tc>
          <w:tcPr>
            <w:tcW w:type="dxa" w:w="490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No afecta a este activo en su configuración real.</w:t>
            </w:r>
          </w:p>
        </w:tc>
        <w:tc>
          <w:tcPr>
            <w:tcW w:type="dxa" w:w="236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dismissed_at + justificación obligatoria</w:t>
            </w:r>
          </w:p>
        </w:tc>
      </w:tr>
      <w:tr>
        <w:tc>
          <w:tcPr>
            <w:tcW w:type="dxa" w:w="2100"/>
            <w:shd w:fill="F6F8FB" w:val="clear"/>
            <w:tcMar>
              <w:top w:type="dxa" w:w="80"/>
              <w:left w:type="dxa" w:w="110"/>
              <w:bottom w:type="dxa" w:w="80"/>
              <w:right w:type="dxa" w:w="110"/>
            </w:tcMar>
          </w:tcPr>
          <w:p>
            <w:pPr>
              <w:spacing w:after="0" w:line="250"/>
            </w:pPr>
            <w:r>
              <w:rPr>
                <w:rFonts w:ascii="Calibri" w:cs="Calibri" w:eastAsia="Calibri" w:hAnsi="Calibri"/>
                <w:b/>
                <w:bCs/>
                <w:sz w:val="18"/>
                <w:szCs w:val="18"/>
              </w:rPr>
              <w:t xml:space="preserve">Riesgo aceptado</w:t>
            </w:r>
          </w:p>
        </w:tc>
        <w:tc>
          <w:tcPr>
            <w:tcW w:type="dxa" w:w="4900"/>
            <w:shd w:fill="F6F8FB" w:val="clear"/>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Aplica, pero se decide no remediar.</w:t>
            </w:r>
          </w:p>
        </w:tc>
        <w:tc>
          <w:tcPr>
            <w:tcW w:type="dxa" w:w="2360"/>
            <w:shd w:fill="F6F8FB" w:val="clear"/>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accepted_at + responsable + fecha de caducidad</w:t>
            </w:r>
          </w:p>
        </w:tc>
      </w:tr>
      <w:tr>
        <w:tc>
          <w:tcPr>
            <w:tcW w:type="dxa" w:w="2100"/>
            <w:tcMar>
              <w:top w:type="dxa" w:w="80"/>
              <w:left w:type="dxa" w:w="110"/>
              <w:bottom w:type="dxa" w:w="80"/>
              <w:right w:type="dxa" w:w="110"/>
            </w:tcMar>
          </w:tcPr>
          <w:p>
            <w:pPr>
              <w:spacing w:after="0" w:line="250"/>
            </w:pPr>
            <w:r>
              <w:rPr>
                <w:rFonts w:ascii="Calibri" w:cs="Calibri" w:eastAsia="Calibri" w:hAnsi="Calibri"/>
                <w:b/>
                <w:bCs/>
                <w:sz w:val="18"/>
                <w:szCs w:val="18"/>
              </w:rPr>
              <w:t xml:space="preserve">Reabierta</w:t>
            </w:r>
          </w:p>
        </w:tc>
        <w:tc>
          <w:tcPr>
            <w:tcW w:type="dxa" w:w="490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Volvió a detectarse después del cierre.</w:t>
            </w:r>
          </w:p>
        </w:tc>
        <w:tc>
          <w:tcPr>
            <w:tcW w:type="dxa" w:w="236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reopened_at</w:t>
            </w:r>
          </w:p>
        </w:tc>
      </w:tr>
    </w:tbl>
    <w:p>
      <w:pPr>
        <w:spacing w:after="140"/>
      </w:pPr>
    </w:p>
    <w:tbl>
      <w:tblPr>
        <w:tblW w:type="dxa" w:w="9360"/>
        <w:tblBorders>
          <w:top w:val="none"/>
          <w:left w:val="single" w:color="2E5C8A" w:sz="18"/>
          <w:bottom w:val="none"/>
          <w:right w:val="none"/>
          <w:insideH w:val="none"/>
          <w:insideV w:val="none"/>
        </w:tblBorders>
      </w:tblPr>
      <w:tblGrid>
        <w:gridCol w:w="9360"/>
      </w:tblGrid>
      <w:tr>
        <w:tc>
          <w:tcPr>
            <w:tcW w:type="dxa" w:w="9360"/>
            <w:shd w:fill="EEF2F7" w:val="clear"/>
            <w:tcMar>
              <w:top w:type="dxa" w:w="140"/>
              <w:left w:type="dxa" w:w="200"/>
              <w:bottom w:type="dxa" w:w="140"/>
              <w:right w:type="dxa" w:w="200"/>
            </w:tcMar>
          </w:tcPr>
          <w:p>
            <w:pPr>
              <w:spacing w:after="100" w:line="276"/>
            </w:pPr>
            <w:r>
              <w:rPr>
                <w:rFonts w:ascii="Calibri" w:cs="Calibri" w:eastAsia="Calibri" w:hAnsi="Calibri"/>
                <w:b/>
                <w:bCs/>
                <w:color w:val="1F3864"/>
                <w:sz w:val="21"/>
                <w:szCs w:val="21"/>
              </w:rPr>
              <w:t xml:space="preserve">Remediar no es mitigar</w:t>
            </w:r>
          </w:p>
          <w:p>
            <w:pPr>
              <w:spacing w:after="0" w:line="276"/>
            </w:pPr>
            <w:r>
              <w:rPr>
                <w:rFonts w:ascii="Calibri" w:cs="Calibri" w:eastAsia="Calibri" w:hAnsi="Calibri"/>
                <w:sz w:val="21"/>
                <w:szCs w:val="21"/>
              </w:rPr>
              <w:t xml:space="preserve">Actualizar el software puede eliminar la vulnerabilidad. Pero también se puede desactivar una función, aislar el sistema, agregar una regla o cambiar una configuración. Esas acciones reducen el riesgo sin eliminar la vulnerabilidad original. Un modelo que las colapsa en un único estado «resuelta» pierde información necesaria para decidir si el caso sigue requiriendo atención.</w:t>
            </w:r>
          </w:p>
        </w:tc>
      </w:tr>
    </w:tbl>
    <w:p>
      <w:pPr>
        <w:pStyle w:val="Heading2"/>
        <w:spacing w:after="110" w:before="260"/>
      </w:pPr>
      <w:r>
        <w:rPr>
          <w:rFonts w:ascii="Calibri" w:cs="Calibri" w:eastAsia="Calibri" w:hAnsi="Calibri"/>
          <w:b/>
          <w:bCs/>
          <w:color w:val="2E5C8A"/>
          <w:sz w:val="25"/>
          <w:szCs w:val="25"/>
        </w:rPr>
        <w:t xml:space="preserve">6.2 El vocabulario normalizado: VEX</w:t>
      </w:r>
    </w:p>
    <w:p>
      <w:pPr>
        <w:spacing w:after="120" w:before="0" w:line="276"/>
      </w:pPr>
      <w:r>
        <w:rPr>
          <w:rFonts w:ascii="Calibri" w:cs="Calibri" w:eastAsia="Calibri" w:hAnsi="Calibri"/>
          <w:sz w:val="21"/>
          <w:szCs w:val="21"/>
        </w:rPr>
        <w:t xml:space="preserve">VEX (Vulnerability Exploitability eXchange), impulsado por CISA a partir del trabajo del grupo de SBOM, define cuatro estados posibles para cada par producto-vulnerabilidad.</w:t>
      </w:r>
    </w:p>
    <w:p>
      <w:pPr>
        <w:spacing w:after="60"/>
      </w:pPr>
    </w:p>
    <w:tbl>
      <w:tblPr>
        <w:tblW w:type="dxa" w:w="9360"/>
        <w:tblBorders>
          <w:top w:val="single" w:color="C9D3E0" w:sz="4"/>
          <w:left w:val="single" w:color="C9D3E0" w:sz="4"/>
          <w:bottom w:val="single" w:color="C9D3E0" w:sz="4"/>
          <w:right w:val="single" w:color="C9D3E0" w:sz="4"/>
          <w:insideH w:val="single" w:color="DDE4ED" w:sz="2"/>
          <w:insideV w:val="single" w:color="DDE4ED" w:sz="2"/>
        </w:tblBorders>
      </w:tblPr>
      <w:tblGrid>
        <w:gridCol w:w="2200"/>
        <w:gridCol w:w="7160"/>
      </w:tblGrid>
      <w:tr>
        <w:trPr>
          <w:tblHeader/>
        </w:trPr>
        <w:tc>
          <w:tcPr>
            <w:tcW w:type="dxa" w:w="2200"/>
            <w:shd w:fill="1F3864" w:val="clear"/>
            <w:tcMar>
              <w:top w:type="dxa" w:w="90"/>
              <w:left w:type="dxa" w:w="110"/>
              <w:bottom w:type="dxa" w:w="90"/>
              <w:right w:type="dxa" w:w="110"/>
            </w:tcMar>
          </w:tcPr>
          <w:p>
            <w:pPr>
              <w:spacing w:after="0"/>
            </w:pPr>
            <w:r>
              <w:rPr>
                <w:rFonts w:ascii="Calibri" w:cs="Calibri" w:eastAsia="Calibri" w:hAnsi="Calibri"/>
                <w:b/>
                <w:bCs/>
                <w:color w:val="FFFFFF"/>
                <w:sz w:val="19"/>
                <w:szCs w:val="19"/>
              </w:rPr>
              <w:t xml:space="preserve">Estado VEX</w:t>
            </w:r>
          </w:p>
        </w:tc>
        <w:tc>
          <w:tcPr>
            <w:tcW w:type="dxa" w:w="7160"/>
            <w:shd w:fill="1F3864" w:val="clear"/>
            <w:tcMar>
              <w:top w:type="dxa" w:w="90"/>
              <w:left w:type="dxa" w:w="110"/>
              <w:bottom w:type="dxa" w:w="90"/>
              <w:right w:type="dxa" w:w="110"/>
            </w:tcMar>
          </w:tcPr>
          <w:p>
            <w:pPr>
              <w:spacing w:after="0"/>
            </w:pPr>
            <w:r>
              <w:rPr>
                <w:rFonts w:ascii="Calibri" w:cs="Calibri" w:eastAsia="Calibri" w:hAnsi="Calibri"/>
                <w:b/>
                <w:bCs/>
                <w:color w:val="FFFFFF"/>
                <w:sz w:val="19"/>
                <w:szCs w:val="19"/>
              </w:rPr>
              <w:t xml:space="preserve">Significado</w:t>
            </w:r>
          </w:p>
        </w:tc>
      </w:tr>
      <w:tr>
        <w:tc>
          <w:tcPr>
            <w:tcW w:type="dxa" w:w="2200"/>
            <w:tcMar>
              <w:top w:type="dxa" w:w="80"/>
              <w:left w:type="dxa" w:w="110"/>
              <w:bottom w:type="dxa" w:w="80"/>
              <w:right w:type="dxa" w:w="110"/>
            </w:tcMar>
          </w:tcPr>
          <w:p>
            <w:pPr>
              <w:spacing w:after="0" w:line="250"/>
            </w:pPr>
            <w:r>
              <w:rPr>
                <w:rFonts w:ascii="Calibri" w:cs="Calibri" w:eastAsia="Calibri" w:hAnsi="Calibri"/>
                <w:b/>
                <w:bCs/>
                <w:sz w:val="18"/>
                <w:szCs w:val="18"/>
              </w:rPr>
              <w:t xml:space="preserve">not_affected</w:t>
            </w:r>
          </w:p>
        </w:tc>
        <w:tc>
          <w:tcPr>
            <w:tcW w:type="dxa" w:w="716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El producto no es explotable a través de esta vulnerabilidad. Requiere una justificación de un conjunto acotado, para que la afirmación sea auditable.</w:t>
            </w:r>
          </w:p>
        </w:tc>
      </w:tr>
      <w:tr>
        <w:tc>
          <w:tcPr>
            <w:tcW w:type="dxa" w:w="2200"/>
            <w:shd w:fill="F6F8FB" w:val="clear"/>
            <w:tcMar>
              <w:top w:type="dxa" w:w="80"/>
              <w:left w:type="dxa" w:w="110"/>
              <w:bottom w:type="dxa" w:w="80"/>
              <w:right w:type="dxa" w:w="110"/>
            </w:tcMar>
          </w:tcPr>
          <w:p>
            <w:pPr>
              <w:spacing w:after="0" w:line="250"/>
            </w:pPr>
            <w:r>
              <w:rPr>
                <w:rFonts w:ascii="Calibri" w:cs="Calibri" w:eastAsia="Calibri" w:hAnsi="Calibri"/>
                <w:b/>
                <w:bCs/>
                <w:sz w:val="18"/>
                <w:szCs w:val="18"/>
              </w:rPr>
              <w:t xml:space="preserve">affected</w:t>
            </w:r>
          </w:p>
        </w:tc>
        <w:tc>
          <w:tcPr>
            <w:tcW w:type="dxa" w:w="7160"/>
            <w:shd w:fill="F6F8FB" w:val="clear"/>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La vulnerabilidad afecta al producto. Se recomienda acción.</w:t>
            </w:r>
          </w:p>
        </w:tc>
      </w:tr>
      <w:tr>
        <w:tc>
          <w:tcPr>
            <w:tcW w:type="dxa" w:w="2200"/>
            <w:tcMar>
              <w:top w:type="dxa" w:w="80"/>
              <w:left w:type="dxa" w:w="110"/>
              <w:bottom w:type="dxa" w:w="80"/>
              <w:right w:type="dxa" w:w="110"/>
            </w:tcMar>
          </w:tcPr>
          <w:p>
            <w:pPr>
              <w:spacing w:after="0" w:line="250"/>
            </w:pPr>
            <w:r>
              <w:rPr>
                <w:rFonts w:ascii="Calibri" w:cs="Calibri" w:eastAsia="Calibri" w:hAnsi="Calibri"/>
                <w:b/>
                <w:bCs/>
                <w:sz w:val="18"/>
                <w:szCs w:val="18"/>
              </w:rPr>
              <w:t xml:space="preserve">fixed</w:t>
            </w:r>
          </w:p>
        </w:tc>
        <w:tc>
          <w:tcPr>
            <w:tcW w:type="dxa" w:w="716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El producto contiene la corrección.</w:t>
            </w:r>
          </w:p>
        </w:tc>
      </w:tr>
      <w:tr>
        <w:tc>
          <w:tcPr>
            <w:tcW w:type="dxa" w:w="2200"/>
            <w:shd w:fill="F6F8FB" w:val="clear"/>
            <w:tcMar>
              <w:top w:type="dxa" w:w="80"/>
              <w:left w:type="dxa" w:w="110"/>
              <w:bottom w:type="dxa" w:w="80"/>
              <w:right w:type="dxa" w:w="110"/>
            </w:tcMar>
          </w:tcPr>
          <w:p>
            <w:pPr>
              <w:spacing w:after="0" w:line="250"/>
            </w:pPr>
            <w:r>
              <w:rPr>
                <w:rFonts w:ascii="Calibri" w:cs="Calibri" w:eastAsia="Calibri" w:hAnsi="Calibri"/>
                <w:b/>
                <w:bCs/>
                <w:sz w:val="18"/>
                <w:szCs w:val="18"/>
              </w:rPr>
              <w:t xml:space="preserve">under_investigation</w:t>
            </w:r>
          </w:p>
        </w:tc>
        <w:tc>
          <w:tcPr>
            <w:tcW w:type="dxa" w:w="7160"/>
            <w:shd w:fill="F6F8FB" w:val="clear"/>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Todavía no se determinó si el producto está afectado.</w:t>
            </w:r>
          </w:p>
        </w:tc>
      </w:tr>
    </w:tbl>
    <w:p>
      <w:pPr>
        <w:spacing w:after="140"/>
      </w:pPr>
    </w:p>
    <w:p>
      <w:pPr>
        <w:spacing w:after="120" w:before="0" w:line="276"/>
      </w:pPr>
      <w:r>
        <w:rPr>
          <w:rFonts w:ascii="Calibri" w:cs="Calibri" w:eastAsia="Calibri" w:hAnsi="Calibri"/>
          <w:sz w:val="21"/>
          <w:szCs w:val="21"/>
        </w:rPr>
        <w:t xml:space="preserve">La relevancia de VEX es doble. Ofrece un anclaje normativo para el diseño del modelo de estados, en lugar de que la nomenclatura parezca arbitraria. Y sobre todo introduce una exigencia metodológica: el estado «no afectado» exige justificación explícita, precisamente para que la afirmación pueda auditarse. Un descarte sin justificación registrada no es auditable.</w:t>
      </w:r>
    </w:p>
    <w:p>
      <w:pPr>
        <w:spacing w:after="120" w:before="0" w:line="276"/>
      </w:pPr>
      <w:r>
        <w:rPr>
          <w:rFonts w:ascii="Calibri" w:cs="Calibri" w:eastAsia="Calibri" w:hAnsi="Calibri"/>
          <w:sz w:val="21"/>
          <w:szCs w:val="21"/>
        </w:rPr>
        <w:t xml:space="preserve">El problema conceptual que VEX resuelve es que la presencia de un componente vulnerable en el inventario no implica que la vulnerabilidad sea explotable en el contexto real de despliegue. La proporción de hallazgos que resultan no explotables en la configuración efectiva es habitualmente alta, y un sistema que no permite registrar ese descarte con justificación acumula ruido de manera indefinida.</w:t>
      </w:r>
    </w:p>
    <w:p>
      <w:pPr>
        <w:pStyle w:val="Heading2"/>
        <w:spacing w:after="110" w:before="260"/>
      </w:pPr>
      <w:r>
        <w:rPr>
          <w:rFonts w:ascii="Calibri" w:cs="Calibri" w:eastAsia="Calibri" w:hAnsi="Calibri"/>
          <w:b/>
          <w:bCs/>
          <w:color w:val="2E5C8A"/>
          <w:sz w:val="25"/>
          <w:szCs w:val="25"/>
        </w:rPr>
        <w:t xml:space="preserve">6.3 Declarar y comprobar</w:t>
      </w:r>
    </w:p>
    <w:p>
      <w:pPr>
        <w:spacing w:after="120" w:before="0" w:line="276"/>
      </w:pPr>
      <w:r>
        <w:rPr>
          <w:rFonts w:ascii="Calibri" w:cs="Calibri" w:eastAsia="Calibri" w:hAnsi="Calibri"/>
          <w:sz w:val="21"/>
          <w:szCs w:val="21"/>
        </w:rPr>
        <w:t xml:space="preserve">Esta distinción es el eje del diseño. Una declaración es información introducida por un actor que afirma que algo ocurrió: «parche instalado», «ticket cerrado», «servidor actualizado». El sistema puede registrarla. Registrarla no significa que pueda comprobarla.</w:t>
      </w:r>
    </w:p>
    <w:p>
      <w:pPr>
        <w:spacing w:after="120" w:before="0" w:line="276"/>
      </w:pPr>
      <w:r>
        <w:rPr>
          <w:rFonts w:ascii="Calibri" w:cs="Calibri" w:eastAsia="Calibri" w:hAnsi="Calibri"/>
          <w:sz w:val="21"/>
          <w:szCs w:val="21"/>
        </w:rPr>
        <w:t xml:space="preserve">Una evidencia es una observación que sustenta la afirmación. Puede ordenarse por fuerza relativa, y esa escala es útil para decidir qué respalda cada cierre.</w:t>
      </w:r>
    </w:p>
    <w:p>
      <w:pPr>
        <w:spacing w:after="60"/>
      </w:pPr>
    </w:p>
    <w:tbl>
      <w:tblPr>
        <w:tblW w:type="dxa" w:w="9360"/>
        <w:tblBorders>
          <w:top w:val="single" w:color="C9D3E0" w:sz="4"/>
          <w:left w:val="single" w:color="C9D3E0" w:sz="4"/>
          <w:bottom w:val="single" w:color="C9D3E0" w:sz="4"/>
          <w:right w:val="single" w:color="C9D3E0" w:sz="4"/>
          <w:insideH w:val="single" w:color="DDE4ED" w:sz="2"/>
          <w:insideV w:val="single" w:color="DDE4ED" w:sz="2"/>
        </w:tblBorders>
      </w:tblPr>
      <w:tblGrid>
        <w:gridCol w:w="1200"/>
        <w:gridCol w:w="6000"/>
        <w:gridCol w:w="2160"/>
      </w:tblGrid>
      <w:tr>
        <w:trPr>
          <w:tblHeader/>
        </w:trPr>
        <w:tc>
          <w:tcPr>
            <w:tcW w:type="dxa" w:w="1200"/>
            <w:shd w:fill="1F3864" w:val="clear"/>
            <w:tcMar>
              <w:top w:type="dxa" w:w="90"/>
              <w:left w:type="dxa" w:w="110"/>
              <w:bottom w:type="dxa" w:w="90"/>
              <w:right w:type="dxa" w:w="110"/>
            </w:tcMar>
          </w:tcPr>
          <w:p>
            <w:pPr>
              <w:spacing w:after="0"/>
            </w:pPr>
            <w:r>
              <w:rPr>
                <w:rFonts w:ascii="Calibri" w:cs="Calibri" w:eastAsia="Calibri" w:hAnsi="Calibri"/>
                <w:b/>
                <w:bCs/>
                <w:color w:val="FFFFFF"/>
                <w:sz w:val="19"/>
                <w:szCs w:val="19"/>
              </w:rPr>
              <w:t xml:space="preserve">Nivel</w:t>
            </w:r>
          </w:p>
        </w:tc>
        <w:tc>
          <w:tcPr>
            <w:tcW w:type="dxa" w:w="6000"/>
            <w:shd w:fill="1F3864" w:val="clear"/>
            <w:tcMar>
              <w:top w:type="dxa" w:w="90"/>
              <w:left w:type="dxa" w:w="110"/>
              <w:bottom w:type="dxa" w:w="90"/>
              <w:right w:type="dxa" w:w="110"/>
            </w:tcMar>
          </w:tcPr>
          <w:p>
            <w:pPr>
              <w:spacing w:after="0"/>
            </w:pPr>
            <w:r>
              <w:rPr>
                <w:rFonts w:ascii="Calibri" w:cs="Calibri" w:eastAsia="Calibri" w:hAnsi="Calibri"/>
                <w:b/>
                <w:bCs/>
                <w:color w:val="FFFFFF"/>
                <w:sz w:val="19"/>
                <w:szCs w:val="19"/>
              </w:rPr>
              <w:t xml:space="preserve">Tipo de evidencia</w:t>
            </w:r>
          </w:p>
        </w:tc>
        <w:tc>
          <w:tcPr>
            <w:tcW w:type="dxa" w:w="2160"/>
            <w:shd w:fill="1F3864" w:val="clear"/>
            <w:tcMar>
              <w:top w:type="dxa" w:w="90"/>
              <w:left w:type="dxa" w:w="110"/>
              <w:bottom w:type="dxa" w:w="90"/>
              <w:right w:type="dxa" w:w="110"/>
            </w:tcMar>
          </w:tcPr>
          <w:p>
            <w:pPr>
              <w:spacing w:after="0"/>
            </w:pPr>
            <w:r>
              <w:rPr>
                <w:rFonts w:ascii="Calibri" w:cs="Calibri" w:eastAsia="Calibri" w:hAnsi="Calibri"/>
                <w:b/>
                <w:bCs/>
                <w:color w:val="FFFFFF"/>
                <w:sz w:val="19"/>
                <w:szCs w:val="19"/>
              </w:rPr>
              <w:t xml:space="preserve">Fuerza</w:t>
            </w:r>
          </w:p>
        </w:tc>
      </w:tr>
      <w:tr>
        <w:tc>
          <w:tcPr>
            <w:tcW w:type="dxa" w:w="1200"/>
            <w:tcMar>
              <w:top w:type="dxa" w:w="80"/>
              <w:left w:type="dxa" w:w="110"/>
              <w:bottom w:type="dxa" w:w="80"/>
              <w:right w:type="dxa" w:w="110"/>
            </w:tcMar>
          </w:tcPr>
          <w:p>
            <w:pPr>
              <w:spacing w:after="0" w:line="250"/>
            </w:pPr>
            <w:r>
              <w:rPr>
                <w:rFonts w:ascii="Calibri" w:cs="Calibri" w:eastAsia="Calibri" w:hAnsi="Calibri"/>
                <w:b/>
                <w:bCs/>
                <w:sz w:val="18"/>
                <w:szCs w:val="18"/>
              </w:rPr>
              <w:t xml:space="preserve">E0</w:t>
            </w:r>
          </w:p>
        </w:tc>
        <w:tc>
          <w:tcPr>
            <w:tcW w:type="dxa" w:w="600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Ninguna. Solo el cambio de estado.</w:t>
            </w:r>
          </w:p>
        </w:tc>
        <w:tc>
          <w:tcPr>
            <w:tcW w:type="dxa" w:w="216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Nula</w:t>
            </w:r>
          </w:p>
        </w:tc>
      </w:tr>
      <w:tr>
        <w:tc>
          <w:tcPr>
            <w:tcW w:type="dxa" w:w="1200"/>
            <w:shd w:fill="F6F8FB" w:val="clear"/>
            <w:tcMar>
              <w:top w:type="dxa" w:w="80"/>
              <w:left w:type="dxa" w:w="110"/>
              <w:bottom w:type="dxa" w:w="80"/>
              <w:right w:type="dxa" w:w="110"/>
            </w:tcMar>
          </w:tcPr>
          <w:p>
            <w:pPr>
              <w:spacing w:after="0" w:line="250"/>
            </w:pPr>
            <w:r>
              <w:rPr>
                <w:rFonts w:ascii="Calibri" w:cs="Calibri" w:eastAsia="Calibri" w:hAnsi="Calibri"/>
                <w:b/>
                <w:bCs/>
                <w:sz w:val="18"/>
                <w:szCs w:val="18"/>
              </w:rPr>
              <w:t xml:space="preserve">E1</w:t>
            </w:r>
          </w:p>
        </w:tc>
        <w:tc>
          <w:tcPr>
            <w:tcW w:type="dxa" w:w="6000"/>
            <w:shd w:fill="F6F8FB" w:val="clear"/>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Declaración manual de una persona.</w:t>
            </w:r>
          </w:p>
        </w:tc>
        <w:tc>
          <w:tcPr>
            <w:tcW w:type="dxa" w:w="2160"/>
            <w:shd w:fill="F6F8FB" w:val="clear"/>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Baja</w:t>
            </w:r>
          </w:p>
        </w:tc>
      </w:tr>
      <w:tr>
        <w:tc>
          <w:tcPr>
            <w:tcW w:type="dxa" w:w="1200"/>
            <w:tcMar>
              <w:top w:type="dxa" w:w="80"/>
              <w:left w:type="dxa" w:w="110"/>
              <w:bottom w:type="dxa" w:w="80"/>
              <w:right w:type="dxa" w:w="110"/>
            </w:tcMar>
          </w:tcPr>
          <w:p>
            <w:pPr>
              <w:spacing w:after="0" w:line="250"/>
            </w:pPr>
            <w:r>
              <w:rPr>
                <w:rFonts w:ascii="Calibri" w:cs="Calibri" w:eastAsia="Calibri" w:hAnsi="Calibri"/>
                <w:b/>
                <w:bCs/>
                <w:sz w:val="18"/>
                <w:szCs w:val="18"/>
              </w:rPr>
              <w:t xml:space="preserve">E2</w:t>
            </w:r>
          </w:p>
        </w:tc>
        <w:tc>
          <w:tcPr>
            <w:tcW w:type="dxa" w:w="600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Ticket cerrado en un sistema de gestión.</w:t>
            </w:r>
          </w:p>
        </w:tc>
        <w:tc>
          <w:tcPr>
            <w:tcW w:type="dxa" w:w="216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Baja-media</w:t>
            </w:r>
          </w:p>
        </w:tc>
      </w:tr>
      <w:tr>
        <w:tc>
          <w:tcPr>
            <w:tcW w:type="dxa" w:w="1200"/>
            <w:shd w:fill="F6F8FB" w:val="clear"/>
            <w:tcMar>
              <w:top w:type="dxa" w:w="80"/>
              <w:left w:type="dxa" w:w="110"/>
              <w:bottom w:type="dxa" w:w="80"/>
              <w:right w:type="dxa" w:w="110"/>
            </w:tcMar>
          </w:tcPr>
          <w:p>
            <w:pPr>
              <w:spacing w:after="0" w:line="250"/>
            </w:pPr>
            <w:r>
              <w:rPr>
                <w:rFonts w:ascii="Calibri" w:cs="Calibri" w:eastAsia="Calibri" w:hAnsi="Calibri"/>
                <w:b/>
                <w:bCs/>
                <w:sz w:val="18"/>
                <w:szCs w:val="18"/>
              </w:rPr>
              <w:t xml:space="preserve">E3</w:t>
            </w:r>
          </w:p>
        </w:tc>
        <w:tc>
          <w:tcPr>
            <w:tcW w:type="dxa" w:w="6000"/>
            <w:shd w:fill="F6F8FB" w:val="clear"/>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Registro de despliegue con marca de tiempo.</w:t>
            </w:r>
          </w:p>
        </w:tc>
        <w:tc>
          <w:tcPr>
            <w:tcW w:type="dxa" w:w="2160"/>
            <w:shd w:fill="F6F8FB" w:val="clear"/>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Media</w:t>
            </w:r>
          </w:p>
        </w:tc>
      </w:tr>
      <w:tr>
        <w:tc>
          <w:tcPr>
            <w:tcW w:type="dxa" w:w="1200"/>
            <w:tcMar>
              <w:top w:type="dxa" w:w="80"/>
              <w:left w:type="dxa" w:w="110"/>
              <w:bottom w:type="dxa" w:w="80"/>
              <w:right w:type="dxa" w:w="110"/>
            </w:tcMar>
          </w:tcPr>
          <w:p>
            <w:pPr>
              <w:spacing w:after="0" w:line="250"/>
            </w:pPr>
            <w:r>
              <w:rPr>
                <w:rFonts w:ascii="Calibri" w:cs="Calibri" w:eastAsia="Calibri" w:hAnsi="Calibri"/>
                <w:b/>
                <w:bCs/>
                <w:sz w:val="18"/>
                <w:szCs w:val="18"/>
              </w:rPr>
              <w:t xml:space="preserve">E4</w:t>
            </w:r>
          </w:p>
        </w:tc>
        <w:tc>
          <w:tcPr>
            <w:tcW w:type="dxa" w:w="600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Inventario o configuración posterior que muestra la versión corregida.</w:t>
            </w:r>
          </w:p>
        </w:tc>
        <w:tc>
          <w:tcPr>
            <w:tcW w:type="dxa" w:w="216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Alta</w:t>
            </w:r>
          </w:p>
        </w:tc>
      </w:tr>
      <w:tr>
        <w:tc>
          <w:tcPr>
            <w:tcW w:type="dxa" w:w="1200"/>
            <w:shd w:fill="F6F8FB" w:val="clear"/>
            <w:tcMar>
              <w:top w:type="dxa" w:w="80"/>
              <w:left w:type="dxa" w:w="110"/>
              <w:bottom w:type="dxa" w:w="80"/>
              <w:right w:type="dxa" w:w="110"/>
            </w:tcMar>
          </w:tcPr>
          <w:p>
            <w:pPr>
              <w:spacing w:after="0" w:line="250"/>
            </w:pPr>
            <w:r>
              <w:rPr>
                <w:rFonts w:ascii="Calibri" w:cs="Calibri" w:eastAsia="Calibri" w:hAnsi="Calibri"/>
                <w:b/>
                <w:bCs/>
                <w:sz w:val="18"/>
                <w:szCs w:val="18"/>
              </w:rPr>
              <w:t xml:space="preserve">E5</w:t>
            </w:r>
          </w:p>
        </w:tc>
        <w:tc>
          <w:tcPr>
            <w:tcW w:type="dxa" w:w="6000"/>
            <w:shd w:fill="F6F8FB" w:val="clear"/>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Nueva evaluación independiente que ya no detecta la condición.</w:t>
            </w:r>
          </w:p>
        </w:tc>
        <w:tc>
          <w:tcPr>
            <w:tcW w:type="dxa" w:w="2160"/>
            <w:shd w:fill="F6F8FB" w:val="clear"/>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Muy alta</w:t>
            </w:r>
          </w:p>
        </w:tc>
      </w:tr>
      <w:tr>
        <w:tc>
          <w:tcPr>
            <w:tcW w:type="dxa" w:w="1200"/>
            <w:tcMar>
              <w:top w:type="dxa" w:w="80"/>
              <w:left w:type="dxa" w:w="110"/>
              <w:bottom w:type="dxa" w:w="80"/>
              <w:right w:type="dxa" w:w="110"/>
            </w:tcMar>
          </w:tcPr>
          <w:p>
            <w:pPr>
              <w:spacing w:after="0" w:line="250"/>
            </w:pPr>
            <w:r>
              <w:rPr>
                <w:rFonts w:ascii="Calibri" w:cs="Calibri" w:eastAsia="Calibri" w:hAnsi="Calibri"/>
                <w:b/>
                <w:bCs/>
                <w:sz w:val="18"/>
                <w:szCs w:val="18"/>
              </w:rPr>
              <w:t xml:space="preserve">E6</w:t>
            </w:r>
          </w:p>
        </w:tc>
        <w:tc>
          <w:tcPr>
            <w:tcW w:type="dxa" w:w="600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Verificación específica y reproducible de que el vector no es alcanzable.</w:t>
            </w:r>
          </w:p>
        </w:tc>
        <w:tc>
          <w:tcPr>
            <w:tcW w:type="dxa" w:w="216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Muy alta</w:t>
            </w:r>
          </w:p>
        </w:tc>
      </w:tr>
    </w:tbl>
    <w:p>
      <w:pPr>
        <w:spacing w:after="140"/>
      </w:pPr>
    </w:p>
    <w:tbl>
      <w:tblPr>
        <w:tblW w:type="dxa" w:w="9360"/>
        <w:tblBorders>
          <w:top w:val="none"/>
          <w:left w:val="single" w:color="2E5C8A" w:sz="18"/>
          <w:bottom w:val="none"/>
          <w:right w:val="none"/>
          <w:insideH w:val="none"/>
          <w:insideV w:val="none"/>
        </w:tblBorders>
      </w:tblPr>
      <w:tblGrid>
        <w:gridCol w:w="9360"/>
      </w:tblGrid>
      <w:tr>
        <w:tc>
          <w:tcPr>
            <w:tcW w:type="dxa" w:w="9360"/>
            <w:shd w:fill="EEF2F7" w:val="clear"/>
            <w:tcMar>
              <w:top w:type="dxa" w:w="140"/>
              <w:left w:type="dxa" w:w="200"/>
              <w:bottom w:type="dxa" w:w="140"/>
              <w:right w:type="dxa" w:w="200"/>
            </w:tcMar>
          </w:tcPr>
          <w:p>
            <w:pPr>
              <w:spacing w:after="100" w:line="276"/>
            </w:pPr>
            <w:r>
              <w:rPr>
                <w:rFonts w:ascii="Calibri" w:cs="Calibri" w:eastAsia="Calibri" w:hAnsi="Calibri"/>
                <w:b/>
                <w:bCs/>
                <w:color w:val="1F3864"/>
                <w:sz w:val="21"/>
                <w:szCs w:val="21"/>
              </w:rPr>
              <w:t xml:space="preserve">La consecuencia sobre las métricas</w:t>
            </w:r>
          </w:p>
          <w:p>
            <w:pPr>
              <w:spacing w:after="100" w:line="276"/>
            </w:pPr>
            <w:r>
              <w:rPr>
                <w:rFonts w:ascii="Calibri" w:cs="Calibri" w:eastAsia="Calibri" w:hAnsi="Calibri"/>
                <w:sz w:val="21"/>
                <w:szCs w:val="21"/>
              </w:rPr>
              <w:t xml:space="preserve">Una métrica construida solo sobre estados declarados mide actividad del proceso. Una métrica construida sobre verificación independiente puede medir reducción observada de exposición. Son cosas distintas y no deberían llevar el mismo nombre.</w:t>
            </w:r>
          </w:p>
          <w:p>
            <w:pPr>
              <w:spacing w:after="0" w:line="276"/>
            </w:pPr>
            <w:r>
              <w:rPr>
                <w:rFonts w:ascii="Calibri" w:cs="Calibri" w:eastAsia="Calibri" w:hAnsi="Calibri"/>
                <w:sz w:val="21"/>
                <w:szCs w:val="21"/>
              </w:rPr>
              <w:t xml:space="preserve">Esta escala no es normativa: es una ordenación técnica útil para clasificar el respaldo de cada cierre.</w:t>
            </w:r>
          </w:p>
        </w:tc>
      </w:tr>
    </w:tbl>
    <w:p>
      <w:pPr>
        <w:pStyle w:val="Heading2"/>
        <w:spacing w:after="110" w:before="260"/>
      </w:pPr>
      <w:r>
        <w:rPr>
          <w:rFonts w:ascii="Calibri" w:cs="Calibri" w:eastAsia="Calibri" w:hAnsi="Calibri"/>
          <w:b/>
          <w:bCs/>
          <w:color w:val="2E5C8A"/>
          <w:sz w:val="25"/>
          <w:szCs w:val="25"/>
        </w:rPr>
        <w:t xml:space="preserve">6.4 Reglas de transición</w:t>
      </w:r>
    </w:p>
    <w:p>
      <w:pPr>
        <w:pStyle w:val="ListParagraph"/>
        <w:numPr>
          <w:ilvl w:val="0"/>
          <w:numId w:val="2"/>
        </w:numPr>
        <w:spacing w:after="90" w:line="276"/>
      </w:pPr>
      <w:r>
        <w:rPr>
          <w:rFonts w:ascii="Calibri" w:cs="Calibri" w:eastAsia="Calibri" w:hAnsi="Calibri"/>
          <w:sz w:val="21"/>
          <w:szCs w:val="21"/>
        </w:rPr>
        <w:t xml:space="preserve">¿Se puede pasar de detectada a verificada sin pasos intermedios? Ocurre cuando el activo se actualiza por una razón ajena al hallazgo. El sistema debe poder registrarlo sin inventar timestamps intermedios.</w:t>
      </w:r>
    </w:p>
    <w:p>
      <w:pPr>
        <w:pStyle w:val="ListParagraph"/>
        <w:numPr>
          <w:ilvl w:val="0"/>
          <w:numId w:val="2"/>
        </w:numPr>
        <w:spacing w:after="90" w:line="276"/>
      </w:pPr>
      <w:r>
        <w:rPr>
          <w:rFonts w:ascii="Calibri" w:cs="Calibri" w:eastAsia="Calibri" w:hAnsi="Calibri"/>
          <w:sz w:val="21"/>
          <w:szCs w:val="21"/>
        </w:rPr>
        <w:t xml:space="preserve">¿La verificación puede fallar? Si el sistema comprueba y encuentra que la vulnerabilidad persiste pese a la declaración, ese evento debe registrarse: es información sobre la calidad del proceso de remediación, y habilita una métrica propia.</w:t>
      </w:r>
    </w:p>
    <w:p>
      <w:pPr>
        <w:pStyle w:val="ListParagraph"/>
        <w:numPr>
          <w:ilvl w:val="0"/>
          <w:numId w:val="2"/>
        </w:numPr>
        <w:spacing w:after="90" w:line="276"/>
      </w:pPr>
      <w:r>
        <w:rPr>
          <w:rFonts w:ascii="Calibri" w:cs="Calibri" w:eastAsia="Calibri" w:hAnsi="Calibri"/>
          <w:sz w:val="21"/>
          <w:szCs w:val="21"/>
        </w:rPr>
        <w:t xml:space="preserve">¿La aceptación de riesgo caduca? Una aceptación sin fecha de revisión se vuelve permanente por omisión y sobrevive a la rotación de personal y a los cambios de arquitectura. El modelo debería forzar el vencimiento.</w:t>
      </w:r>
    </w:p>
    <w:p>
      <w:pPr>
        <w:pStyle w:val="ListParagraph"/>
        <w:numPr>
          <w:ilvl w:val="0"/>
          <w:numId w:val="2"/>
        </w:numPr>
        <w:spacing w:after="90" w:line="276"/>
      </w:pPr>
      <w:r>
        <w:rPr>
          <w:rFonts w:ascii="Calibri" w:cs="Calibri" w:eastAsia="Calibri" w:hAnsi="Calibri"/>
          <w:sz w:val="21"/>
          <w:szCs w:val="21"/>
        </w:rPr>
        <w:t xml:space="preserve">¿Qué pasa si el activo se da de baja? No es una remediación. Necesita estado propio o exclusión explícita del denominador.</w:t>
      </w:r>
    </w:p>
    <w:p>
      <w:pPr>
        <w:pStyle w:val="Heading1"/>
        <w:pBdr>
          <w:bottom w:val="single" w:color="1F3864" w:sz="8" w:space="6"/>
        </w:pBdr>
        <w:spacing w:after="160" w:before="340"/>
      </w:pPr>
      <w:r>
        <w:rPr>
          <w:rFonts w:ascii="Calibri" w:cs="Calibri" w:eastAsia="Calibri" w:hAnsi="Calibri"/>
          <w:b/>
          <w:bCs/>
          <w:color w:val="1F3864"/>
          <w:sz w:val="30"/>
          <w:szCs w:val="30"/>
        </w:rPr>
        <w:t xml:space="preserve">7. Componente C — Plazos y criterio de priorización</w:t>
      </w:r>
    </w:p>
    <w:p>
      <w:pPr>
        <w:pStyle w:val="Heading2"/>
        <w:spacing w:after="110" w:before="260"/>
      </w:pPr>
      <w:r>
        <w:rPr>
          <w:rFonts w:ascii="Calibri" w:cs="Calibri" w:eastAsia="Calibri" w:hAnsi="Calibri"/>
          <w:b/>
          <w:bCs/>
          <w:color w:val="2E5C8A"/>
          <w:sz w:val="25"/>
          <w:szCs w:val="25"/>
        </w:rPr>
        <w:t xml:space="preserve">7.1 El plazo necesita un criterio</w:t>
      </w:r>
    </w:p>
    <w:p>
      <w:pPr>
        <w:spacing w:after="120" w:before="0" w:line="276"/>
      </w:pPr>
      <w:r>
        <w:rPr>
          <w:rFonts w:ascii="Calibri" w:cs="Calibri" w:eastAsia="Calibri" w:hAnsi="Calibri"/>
          <w:sz w:val="21"/>
          <w:szCs w:val="21"/>
        </w:rPr>
        <w:t xml:space="preserve">Asignar una fecha límite es técnicamente trivial: un campo calculado a partir de la detección y de la clasificación de riesgo. Lo que no es trivial, y es lo que un lector externo va a mirar, es la justificación del criterio que determina esa clasificación. Un plazo sin criterio documentado es un número arbitrario; un plazo derivado de un marco reconocido es una decisión de diseño defendible.</w:t>
      </w:r>
    </w:p>
    <w:p>
      <w:pPr>
        <w:pStyle w:val="Heading2"/>
        <w:spacing w:after="110" w:before="260"/>
      </w:pPr>
      <w:r>
        <w:rPr>
          <w:rFonts w:ascii="Calibri" w:cs="Calibri" w:eastAsia="Calibri" w:hAnsi="Calibri"/>
          <w:b/>
          <w:bCs/>
          <w:color w:val="2E5C8A"/>
          <w:sz w:val="25"/>
          <w:szCs w:val="25"/>
        </w:rPr>
        <w:t xml:space="preserve">7.2 El modelo vigente: BOD 26-04</w:t>
      </w:r>
    </w:p>
    <w:p>
      <w:pPr>
        <w:spacing w:after="120" w:before="0" w:line="276"/>
      </w:pPr>
      <w:r>
        <w:rPr>
          <w:rFonts w:ascii="Calibri" w:cs="Calibri" w:eastAsia="Calibri" w:hAnsi="Calibri"/>
          <w:sz w:val="21"/>
          <w:szCs w:val="21"/>
        </w:rPr>
        <w:t xml:space="preserve">La directiva emitida el 10 de junio de 2026 reemplaza la lógica basada en severidad por cuatro variables binarias evaluadas para cada combinación de vulnerabilidad y activo.</w:t>
      </w:r>
    </w:p>
    <w:p>
      <w:pPr>
        <w:spacing w:after="60"/>
      </w:pPr>
    </w:p>
    <w:tbl>
      <w:tblPr>
        <w:tblW w:type="dxa" w:w="9360"/>
        <w:tblBorders>
          <w:top w:val="single" w:color="C9D3E0" w:sz="4"/>
          <w:left w:val="single" w:color="C9D3E0" w:sz="4"/>
          <w:bottom w:val="single" w:color="C9D3E0" w:sz="4"/>
          <w:right w:val="single" w:color="C9D3E0" w:sz="4"/>
          <w:insideH w:val="single" w:color="DDE4ED" w:sz="2"/>
          <w:insideV w:val="single" w:color="DDE4ED" w:sz="2"/>
        </w:tblBorders>
      </w:tblPr>
      <w:tblGrid>
        <w:gridCol w:w="2200"/>
        <w:gridCol w:w="4300"/>
        <w:gridCol w:w="2860"/>
      </w:tblGrid>
      <w:tr>
        <w:trPr>
          <w:tblHeader/>
        </w:trPr>
        <w:tc>
          <w:tcPr>
            <w:tcW w:type="dxa" w:w="2200"/>
            <w:shd w:fill="1F3864" w:val="clear"/>
            <w:tcMar>
              <w:top w:type="dxa" w:w="90"/>
              <w:left w:type="dxa" w:w="110"/>
              <w:bottom w:type="dxa" w:w="90"/>
              <w:right w:type="dxa" w:w="110"/>
            </w:tcMar>
          </w:tcPr>
          <w:p>
            <w:pPr>
              <w:spacing w:after="0"/>
            </w:pPr>
            <w:r>
              <w:rPr>
                <w:rFonts w:ascii="Calibri" w:cs="Calibri" w:eastAsia="Calibri" w:hAnsi="Calibri"/>
                <w:b/>
                <w:bCs/>
                <w:color w:val="FFFFFF"/>
                <w:sz w:val="19"/>
                <w:szCs w:val="19"/>
              </w:rPr>
              <w:t xml:space="preserve">Variable</w:t>
            </w:r>
          </w:p>
        </w:tc>
        <w:tc>
          <w:tcPr>
            <w:tcW w:type="dxa" w:w="4300"/>
            <w:shd w:fill="1F3864" w:val="clear"/>
            <w:tcMar>
              <w:top w:type="dxa" w:w="90"/>
              <w:left w:type="dxa" w:w="110"/>
              <w:bottom w:type="dxa" w:w="90"/>
              <w:right w:type="dxa" w:w="110"/>
            </w:tcMar>
          </w:tcPr>
          <w:p>
            <w:pPr>
              <w:spacing w:after="0"/>
            </w:pPr>
            <w:r>
              <w:rPr>
                <w:rFonts w:ascii="Calibri" w:cs="Calibri" w:eastAsia="Calibri" w:hAnsi="Calibri"/>
                <w:b/>
                <w:bCs/>
                <w:color w:val="FFFFFF"/>
                <w:sz w:val="19"/>
                <w:szCs w:val="19"/>
              </w:rPr>
              <w:t xml:space="preserve">Pregunta</w:t>
            </w:r>
          </w:p>
        </w:tc>
        <w:tc>
          <w:tcPr>
            <w:tcW w:type="dxa" w:w="2860"/>
            <w:shd w:fill="1F3864" w:val="clear"/>
            <w:tcMar>
              <w:top w:type="dxa" w:w="90"/>
              <w:left w:type="dxa" w:w="110"/>
              <w:bottom w:type="dxa" w:w="90"/>
              <w:right w:type="dxa" w:w="110"/>
            </w:tcMar>
          </w:tcPr>
          <w:p>
            <w:pPr>
              <w:spacing w:after="0"/>
            </w:pPr>
            <w:r>
              <w:rPr>
                <w:rFonts w:ascii="Calibri" w:cs="Calibri" w:eastAsia="Calibri" w:hAnsi="Calibri"/>
                <w:b/>
                <w:bCs/>
                <w:color w:val="FFFFFF"/>
                <w:sz w:val="19"/>
                <w:szCs w:val="19"/>
              </w:rPr>
              <w:t xml:space="preserve">Quién la provee</w:t>
            </w:r>
          </w:p>
        </w:tc>
      </w:tr>
      <w:tr>
        <w:tc>
          <w:tcPr>
            <w:tcW w:type="dxa" w:w="2200"/>
            <w:tcMar>
              <w:top w:type="dxa" w:w="80"/>
              <w:left w:type="dxa" w:w="110"/>
              <w:bottom w:type="dxa" w:w="80"/>
              <w:right w:type="dxa" w:w="110"/>
            </w:tcMar>
          </w:tcPr>
          <w:p>
            <w:pPr>
              <w:spacing w:after="0" w:line="250"/>
            </w:pPr>
            <w:r>
              <w:rPr>
                <w:rFonts w:ascii="Calibri" w:cs="Calibri" w:eastAsia="Calibri" w:hAnsi="Calibri"/>
                <w:b/>
                <w:bCs/>
                <w:sz w:val="18"/>
                <w:szCs w:val="18"/>
              </w:rPr>
              <w:t xml:space="preserve">Exposición del activo</w:t>
            </w:r>
          </w:p>
        </w:tc>
        <w:tc>
          <w:tcPr>
            <w:tcW w:type="dxa" w:w="430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¿El activo vulnerable es alcanzable desde internet?</w:t>
            </w:r>
          </w:p>
        </w:tc>
        <w:tc>
          <w:tcPr>
            <w:tcW w:type="dxa" w:w="286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La propia organización, desde su inventario</w:t>
            </w:r>
          </w:p>
        </w:tc>
      </w:tr>
      <w:tr>
        <w:tc>
          <w:tcPr>
            <w:tcW w:type="dxa" w:w="2200"/>
            <w:shd w:fill="F6F8FB" w:val="clear"/>
            <w:tcMar>
              <w:top w:type="dxa" w:w="80"/>
              <w:left w:type="dxa" w:w="110"/>
              <w:bottom w:type="dxa" w:w="80"/>
              <w:right w:type="dxa" w:w="110"/>
            </w:tcMar>
          </w:tcPr>
          <w:p>
            <w:pPr>
              <w:spacing w:after="0" w:line="250"/>
            </w:pPr>
            <w:r>
              <w:rPr>
                <w:rFonts w:ascii="Calibri" w:cs="Calibri" w:eastAsia="Calibri" w:hAnsi="Calibri"/>
                <w:b/>
                <w:bCs/>
                <w:sz w:val="18"/>
                <w:szCs w:val="18"/>
              </w:rPr>
              <w:t xml:space="preserve">Estado KEV</w:t>
            </w:r>
          </w:p>
        </w:tc>
        <w:tc>
          <w:tcPr>
            <w:tcW w:type="dxa" w:w="4300"/>
            <w:shd w:fill="F6F8FB" w:val="clear"/>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¿El CVE figura en el catálogo de vulnerabilidades explotadas conocidas?</w:t>
            </w:r>
          </w:p>
        </w:tc>
        <w:tc>
          <w:tcPr>
            <w:tcW w:type="dxa" w:w="2860"/>
            <w:shd w:fill="F6F8FB" w:val="clear"/>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CISA</w:t>
            </w:r>
          </w:p>
        </w:tc>
      </w:tr>
      <w:tr>
        <w:tc>
          <w:tcPr>
            <w:tcW w:type="dxa" w:w="2200"/>
            <w:tcMar>
              <w:top w:type="dxa" w:w="80"/>
              <w:left w:type="dxa" w:w="110"/>
              <w:bottom w:type="dxa" w:w="80"/>
              <w:right w:type="dxa" w:w="110"/>
            </w:tcMar>
          </w:tcPr>
          <w:p>
            <w:pPr>
              <w:spacing w:after="0" w:line="250"/>
            </w:pPr>
            <w:r>
              <w:rPr>
                <w:rFonts w:ascii="Calibri" w:cs="Calibri" w:eastAsia="Calibri" w:hAnsi="Calibri"/>
                <w:b/>
                <w:bCs/>
                <w:sz w:val="18"/>
                <w:szCs w:val="18"/>
              </w:rPr>
              <w:t xml:space="preserve">Automatización del exploit</w:t>
            </w:r>
          </w:p>
        </w:tc>
        <w:tc>
          <w:tcPr>
            <w:tcW w:type="dxa" w:w="430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¿Un adversario puede automatizar todos los pasos de la explotación?</w:t>
            </w:r>
          </w:p>
        </w:tc>
        <w:tc>
          <w:tcPr>
            <w:tcW w:type="dxa" w:w="286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CISA, vía su programa de enriquecimiento</w:t>
            </w:r>
          </w:p>
        </w:tc>
      </w:tr>
      <w:tr>
        <w:tc>
          <w:tcPr>
            <w:tcW w:type="dxa" w:w="2200"/>
            <w:shd w:fill="F6F8FB" w:val="clear"/>
            <w:tcMar>
              <w:top w:type="dxa" w:w="80"/>
              <w:left w:type="dxa" w:w="110"/>
              <w:bottom w:type="dxa" w:w="80"/>
              <w:right w:type="dxa" w:w="110"/>
            </w:tcMar>
          </w:tcPr>
          <w:p>
            <w:pPr>
              <w:spacing w:after="0" w:line="250"/>
            </w:pPr>
            <w:r>
              <w:rPr>
                <w:rFonts w:ascii="Calibri" w:cs="Calibri" w:eastAsia="Calibri" w:hAnsi="Calibri"/>
                <w:b/>
                <w:bCs/>
                <w:sz w:val="18"/>
                <w:szCs w:val="18"/>
              </w:rPr>
              <w:t xml:space="preserve">Impacto técnico</w:t>
            </w:r>
          </w:p>
        </w:tc>
        <w:tc>
          <w:tcPr>
            <w:tcW w:type="dxa" w:w="4300"/>
            <w:shd w:fill="F6F8FB" w:val="clear"/>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¿La explotación otorga control total del sistema?</w:t>
            </w:r>
          </w:p>
        </w:tc>
        <w:tc>
          <w:tcPr>
            <w:tcW w:type="dxa" w:w="2860"/>
            <w:shd w:fill="F6F8FB" w:val="clear"/>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CISA, vía su programa de enriquecimiento</w:t>
            </w:r>
          </w:p>
        </w:tc>
      </w:tr>
    </w:tbl>
    <w:p>
      <w:pPr>
        <w:spacing w:after="140"/>
      </w:pPr>
    </w:p>
    <w:p>
      <w:pPr>
        <w:spacing w:after="120" w:before="0" w:line="276"/>
      </w:pPr>
      <w:r>
        <w:rPr>
          <w:rFonts w:ascii="Calibri" w:cs="Calibri" w:eastAsia="Calibri" w:hAnsi="Calibri"/>
          <w:sz w:val="21"/>
          <w:szCs w:val="21"/>
        </w:rPr>
        <w:t xml:space="preserve">La combinación de las cuatro variables produce dieciséis escenarios, que la directiva mapea a cinco niveles de plazo en la Tabla 1 de su Apéndice A. En el extremo más urgente el plazo es de tres días con triage forense obligatorio, exigido cuando la vulnerabilidad está en KEV y otorga control total. En el extremo opuesto, la corrección se difiere hasta la siguiente actualización programada del sistema.</w:t>
      </w:r>
    </w:p>
    <w:tbl>
      <w:tblPr>
        <w:tblW w:type="dxa" w:w="9360"/>
        <w:tblBorders>
          <w:top w:val="none"/>
          <w:left w:val="single" w:color="2E5C8A" w:sz="18"/>
          <w:bottom w:val="none"/>
          <w:right w:val="none"/>
          <w:insideH w:val="none"/>
          <w:insideV w:val="none"/>
        </w:tblBorders>
      </w:tblPr>
      <w:tblGrid>
        <w:gridCol w:w="9360"/>
      </w:tblGrid>
      <w:tr>
        <w:tc>
          <w:tcPr>
            <w:tcW w:type="dxa" w:w="9360"/>
            <w:shd w:fill="EEF2F7" w:val="clear"/>
            <w:tcMar>
              <w:top w:type="dxa" w:w="140"/>
              <w:left w:type="dxa" w:w="200"/>
              <w:bottom w:type="dxa" w:w="140"/>
              <w:right w:type="dxa" w:w="200"/>
            </w:tcMar>
          </w:tcPr>
          <w:p>
            <w:pPr>
              <w:spacing w:after="100" w:line="276"/>
            </w:pPr>
            <w:r>
              <w:rPr>
                <w:rFonts w:ascii="Calibri" w:cs="Calibri" w:eastAsia="Calibri" w:hAnsi="Calibri"/>
                <w:b/>
                <w:bCs/>
                <w:color w:val="1F3864"/>
                <w:sz w:val="21"/>
                <w:szCs w:val="21"/>
              </w:rPr>
              <w:t xml:space="preserve">Lo relevante para el diseño</w:t>
            </w:r>
          </w:p>
          <w:p>
            <w:pPr>
              <w:spacing w:after="100" w:line="276"/>
            </w:pPr>
            <w:r>
              <w:rPr>
                <w:rFonts w:ascii="Calibri" w:cs="Calibri" w:eastAsia="Calibri" w:hAnsi="Calibri"/>
                <w:sz w:val="21"/>
                <w:szCs w:val="21"/>
              </w:rPr>
              <w:t xml:space="preserve">CISA descartó el puntaje CVSS como señal única de programación de plazos. La severidad intrínseca cedió lugar a la evidencia de explotación real y al contexto del activo. Un sistema que en 2026 derive sus plazos exclusivamente de CVSS está aplicando un criterio que la principal autoridad de referencia acaba de abandonar.</w:t>
            </w:r>
          </w:p>
          <w:p>
            <w:pPr>
              <w:spacing w:after="0" w:line="276"/>
            </w:pPr>
            <w:r>
              <w:rPr>
                <w:rFonts w:ascii="Calibri" w:cs="Calibri" w:eastAsia="Calibri" w:hAnsi="Calibri"/>
                <w:sz w:val="21"/>
                <w:szCs w:val="21"/>
              </w:rPr>
              <w:t xml:space="preserve">Nota de alcance: la directiva obliga solo a agencias civiles federales de Estados Unidos. Para cualquier otra organización es marco de referencia, no obligación. Conviene declararlo así.</w:t>
            </w:r>
          </w:p>
        </w:tc>
      </w:tr>
    </w:tbl>
    <w:p>
      <w:pPr>
        <w:pStyle w:val="Heading2"/>
        <w:spacing w:after="110" w:before="260"/>
      </w:pPr>
      <w:r>
        <w:rPr>
          <w:rFonts w:ascii="Calibri" w:cs="Calibri" w:eastAsia="Calibri" w:hAnsi="Calibri"/>
          <w:b/>
          <w:bCs/>
          <w:color w:val="2E5C8A"/>
          <w:sz w:val="25"/>
          <w:szCs w:val="25"/>
        </w:rPr>
        <w:t xml:space="preserve">7.3 El plazo dinámico</w:t>
      </w:r>
    </w:p>
    <w:p>
      <w:pPr>
        <w:spacing w:after="120" w:before="0" w:line="276"/>
      </w:pPr>
      <w:r>
        <w:rPr>
          <w:rFonts w:ascii="Calibri" w:cs="Calibri" w:eastAsia="Calibri" w:hAnsi="Calibri"/>
          <w:sz w:val="21"/>
          <w:szCs w:val="21"/>
        </w:rPr>
        <w:t xml:space="preserve">Una consecuencia poco tratada del modelo de la BOD 26-04 es que las variables que determinan el plazo cambian con el tiempo. Un CVE que hoy no está en KEV puede entrar mañana. Un activo que hoy no está expuesto puede quedar expuesto tras un cambio de configuración.</w:t>
      </w:r>
    </w:p>
    <w:p>
      <w:pPr>
        <w:spacing w:after="120" w:before="0" w:line="276"/>
      </w:pPr>
      <w:r>
        <w:rPr>
          <w:rFonts w:ascii="Calibri" w:cs="Calibri" w:eastAsia="Calibri" w:hAnsi="Calibri"/>
          <w:sz w:val="21"/>
          <w:szCs w:val="21"/>
        </w:rPr>
        <w:t xml:space="preserve">Un plazo calculado una sola vez, en el momento de la detección, queda congelado y deja de reflejar el riesgo real. La alternativa es recalcularlo en cada evaluación: si las variables cambian, la fecha límite se ajusta. Esto obliga a registrar no solo el plazo sino también las variables que lo produjeron, para que el cambio sea explicable y auditable.</w:t>
      </w:r>
    </w:p>
    <w:p>
      <w:pPr>
        <w:pStyle w:val="Heading2"/>
        <w:spacing w:after="110" w:before="260"/>
      </w:pPr>
      <w:r>
        <w:rPr>
          <w:rFonts w:ascii="Calibri" w:cs="Calibri" w:eastAsia="Calibri" w:hAnsi="Calibri"/>
          <w:b/>
          <w:bCs/>
          <w:color w:val="2E5C8A"/>
          <w:sz w:val="25"/>
          <w:szCs w:val="25"/>
        </w:rPr>
        <w:t xml:space="preserve">7.4 Marcos de plazos</w:t>
      </w:r>
    </w:p>
    <w:p>
      <w:pPr>
        <w:spacing w:after="60"/>
      </w:pPr>
    </w:p>
    <w:tbl>
      <w:tblPr>
        <w:tblW w:type="dxa" w:w="9360"/>
        <w:tblBorders>
          <w:top w:val="single" w:color="C9D3E0" w:sz="4"/>
          <w:left w:val="single" w:color="C9D3E0" w:sz="4"/>
          <w:bottom w:val="single" w:color="C9D3E0" w:sz="4"/>
          <w:right w:val="single" w:color="C9D3E0" w:sz="4"/>
          <w:insideH w:val="single" w:color="DDE4ED" w:sz="2"/>
          <w:insideV w:val="single" w:color="DDE4ED" w:sz="2"/>
        </w:tblBorders>
      </w:tblPr>
      <w:tblGrid>
        <w:gridCol w:w="2400"/>
        <w:gridCol w:w="4400"/>
        <w:gridCol w:w="2560"/>
      </w:tblGrid>
      <w:tr>
        <w:trPr>
          <w:tblHeader/>
        </w:trPr>
        <w:tc>
          <w:tcPr>
            <w:tcW w:type="dxa" w:w="2400"/>
            <w:shd w:fill="1F3864" w:val="clear"/>
            <w:tcMar>
              <w:top w:type="dxa" w:w="90"/>
              <w:left w:type="dxa" w:w="110"/>
              <w:bottom w:type="dxa" w:w="90"/>
              <w:right w:type="dxa" w:w="110"/>
            </w:tcMar>
          </w:tcPr>
          <w:p>
            <w:pPr>
              <w:spacing w:after="0"/>
            </w:pPr>
            <w:r>
              <w:rPr>
                <w:rFonts w:ascii="Calibri" w:cs="Calibri" w:eastAsia="Calibri" w:hAnsi="Calibri"/>
                <w:b/>
                <w:bCs/>
                <w:color w:val="FFFFFF"/>
                <w:sz w:val="19"/>
                <w:szCs w:val="19"/>
              </w:rPr>
              <w:t xml:space="preserve">Marco</w:t>
            </w:r>
          </w:p>
        </w:tc>
        <w:tc>
          <w:tcPr>
            <w:tcW w:type="dxa" w:w="4400"/>
            <w:shd w:fill="1F3864" w:val="clear"/>
            <w:tcMar>
              <w:top w:type="dxa" w:w="90"/>
              <w:left w:type="dxa" w:w="110"/>
              <w:bottom w:type="dxa" w:w="90"/>
              <w:right w:type="dxa" w:w="110"/>
            </w:tcMar>
          </w:tcPr>
          <w:p>
            <w:pPr>
              <w:spacing w:after="0"/>
            </w:pPr>
            <w:r>
              <w:rPr>
                <w:rFonts w:ascii="Calibri" w:cs="Calibri" w:eastAsia="Calibri" w:hAnsi="Calibri"/>
                <w:b/>
                <w:bCs/>
                <w:color w:val="FFFFFF"/>
                <w:sz w:val="19"/>
                <w:szCs w:val="19"/>
              </w:rPr>
              <w:t xml:space="preserve">Qué aporta</w:t>
            </w:r>
          </w:p>
        </w:tc>
        <w:tc>
          <w:tcPr>
            <w:tcW w:type="dxa" w:w="2560"/>
            <w:shd w:fill="1F3864" w:val="clear"/>
            <w:tcMar>
              <w:top w:type="dxa" w:w="90"/>
              <w:left w:type="dxa" w:w="110"/>
              <w:bottom w:type="dxa" w:w="90"/>
              <w:right w:type="dxa" w:w="110"/>
            </w:tcMar>
          </w:tcPr>
          <w:p>
            <w:pPr>
              <w:spacing w:after="0"/>
            </w:pPr>
            <w:r>
              <w:rPr>
                <w:rFonts w:ascii="Calibri" w:cs="Calibri" w:eastAsia="Calibri" w:hAnsi="Calibri"/>
                <w:b/>
                <w:bCs/>
                <w:color w:val="FFFFFF"/>
                <w:sz w:val="19"/>
                <w:szCs w:val="19"/>
              </w:rPr>
              <w:t xml:space="preserve">Naturaleza</w:t>
            </w:r>
          </w:p>
        </w:tc>
      </w:tr>
      <w:tr>
        <w:tc>
          <w:tcPr>
            <w:tcW w:type="dxa" w:w="2400"/>
            <w:tcMar>
              <w:top w:type="dxa" w:w="80"/>
              <w:left w:type="dxa" w:w="110"/>
              <w:bottom w:type="dxa" w:w="80"/>
              <w:right w:type="dxa" w:w="110"/>
            </w:tcMar>
          </w:tcPr>
          <w:p>
            <w:pPr>
              <w:spacing w:after="0" w:line="250"/>
            </w:pPr>
            <w:r>
              <w:rPr>
                <w:rFonts w:ascii="Calibri" w:cs="Calibri" w:eastAsia="Calibri" w:hAnsi="Calibri"/>
                <w:b/>
                <w:bCs/>
                <w:sz w:val="18"/>
                <w:szCs w:val="18"/>
              </w:rPr>
              <w:t xml:space="preserve">CISA BOD 26-04 (2026)</w:t>
            </w:r>
          </w:p>
        </w:tc>
        <w:tc>
          <w:tcPr>
            <w:tcW w:type="dxa" w:w="440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Plazos graduados de 3 días a diferimiento, según cuatro variables de riesgo real.</w:t>
            </w:r>
          </w:p>
        </w:tc>
        <w:tc>
          <w:tcPr>
            <w:tcW w:type="dxa" w:w="256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Vinculante solo para agencias federales civiles de EE. UU.</w:t>
            </w:r>
          </w:p>
        </w:tc>
      </w:tr>
      <w:tr>
        <w:tc>
          <w:tcPr>
            <w:tcW w:type="dxa" w:w="2400"/>
            <w:shd w:fill="F6F8FB" w:val="clear"/>
            <w:tcMar>
              <w:top w:type="dxa" w:w="80"/>
              <w:left w:type="dxa" w:w="110"/>
              <w:bottom w:type="dxa" w:w="80"/>
              <w:right w:type="dxa" w:w="110"/>
            </w:tcMar>
          </w:tcPr>
          <w:p>
            <w:pPr>
              <w:spacing w:after="0" w:line="250"/>
            </w:pPr>
            <w:r>
              <w:rPr>
                <w:rFonts w:ascii="Calibri" w:cs="Calibri" w:eastAsia="Calibri" w:hAnsi="Calibri"/>
                <w:b/>
                <w:bCs/>
                <w:sz w:val="18"/>
                <w:szCs w:val="18"/>
              </w:rPr>
              <w:t xml:space="preserve">PCI DSS v4.0.1 (2024)</w:t>
            </w:r>
          </w:p>
        </w:tc>
        <w:tc>
          <w:tcPr>
            <w:tcW w:type="dxa" w:w="4400"/>
            <w:shd w:fill="F6F8FB" w:val="clear"/>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Plazo de un mes desde la publicación para parches de vulnerabilidades críticas; el resto, en un plazo definido por la entidad.</w:t>
            </w:r>
          </w:p>
        </w:tc>
        <w:tc>
          <w:tcPr>
            <w:tcW w:type="dxa" w:w="2560"/>
            <w:shd w:fill="F6F8FB" w:val="clear"/>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Obligatorio dentro del ámbito PCI</w:t>
            </w:r>
          </w:p>
        </w:tc>
      </w:tr>
      <w:tr>
        <w:tc>
          <w:tcPr>
            <w:tcW w:type="dxa" w:w="2400"/>
            <w:tcMar>
              <w:top w:type="dxa" w:w="80"/>
              <w:left w:type="dxa" w:w="110"/>
              <w:bottom w:type="dxa" w:w="80"/>
              <w:right w:type="dxa" w:w="110"/>
            </w:tcMar>
          </w:tcPr>
          <w:p>
            <w:pPr>
              <w:spacing w:after="0" w:line="250"/>
            </w:pPr>
            <w:r>
              <w:rPr>
                <w:rFonts w:ascii="Calibri" w:cs="Calibri" w:eastAsia="Calibri" w:hAnsi="Calibri"/>
                <w:b/>
                <w:bCs/>
                <w:sz w:val="18"/>
                <w:szCs w:val="18"/>
              </w:rPr>
              <w:t xml:space="preserve">NIST SP 800-40 Rev. 4 (2022)</w:t>
            </w:r>
          </w:p>
        </w:tc>
        <w:tc>
          <w:tcPr>
            <w:tcW w:type="dxa" w:w="440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Marco de planificación del proceso completo, incluida la verificación.</w:t>
            </w:r>
          </w:p>
        </w:tc>
        <w:tc>
          <w:tcPr>
            <w:tcW w:type="dxa" w:w="256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Guía metodológica; no prescribe plazos</w:t>
            </w:r>
          </w:p>
        </w:tc>
      </w:tr>
      <w:tr>
        <w:tc>
          <w:tcPr>
            <w:tcW w:type="dxa" w:w="2400"/>
            <w:shd w:fill="F6F8FB" w:val="clear"/>
            <w:tcMar>
              <w:top w:type="dxa" w:w="80"/>
              <w:left w:type="dxa" w:w="110"/>
              <w:bottom w:type="dxa" w:w="80"/>
              <w:right w:type="dxa" w:w="110"/>
            </w:tcMar>
          </w:tcPr>
          <w:p>
            <w:pPr>
              <w:spacing w:after="0" w:line="250"/>
            </w:pPr>
            <w:r>
              <w:rPr>
                <w:rFonts w:ascii="Calibri" w:cs="Calibri" w:eastAsia="Calibri" w:hAnsi="Calibri"/>
                <w:b/>
                <w:bCs/>
                <w:sz w:val="18"/>
                <w:szCs w:val="18"/>
              </w:rPr>
              <w:t xml:space="preserve">NIST SP 800-53, SI-2(3)</w:t>
            </w:r>
          </w:p>
        </w:tc>
        <w:tc>
          <w:tcPr>
            <w:tcW w:type="dxa" w:w="4400"/>
            <w:shd w:fill="F6F8FB" w:val="clear"/>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Exige medir el tiempo entre identificación y remediación del fallo, y establecer umbrales de referencia.</w:t>
            </w:r>
          </w:p>
        </w:tc>
        <w:tc>
          <w:tcPr>
            <w:tcW w:type="dxa" w:w="2560"/>
            <w:shd w:fill="F6F8FB" w:val="clear"/>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Catálogo de controles; obligatoriedad según adopción</w:t>
            </w:r>
          </w:p>
        </w:tc>
      </w:tr>
      <w:tr>
        <w:tc>
          <w:tcPr>
            <w:tcW w:type="dxa" w:w="2400"/>
            <w:tcMar>
              <w:top w:type="dxa" w:w="80"/>
              <w:left w:type="dxa" w:w="110"/>
              <w:bottom w:type="dxa" w:w="80"/>
              <w:right w:type="dxa" w:w="110"/>
            </w:tcMar>
          </w:tcPr>
          <w:p>
            <w:pPr>
              <w:spacing w:after="0" w:line="250"/>
            </w:pPr>
            <w:r>
              <w:rPr>
                <w:rFonts w:ascii="Calibri" w:cs="Calibri" w:eastAsia="Calibri" w:hAnsi="Calibri"/>
                <w:b/>
                <w:bCs/>
                <w:sz w:val="18"/>
                <w:szCs w:val="18"/>
              </w:rPr>
              <w:t xml:space="preserve">CIS Controls v8.1, Safeguard 7.2</w:t>
            </w:r>
          </w:p>
        </w:tc>
        <w:tc>
          <w:tcPr>
            <w:tcW w:type="dxa" w:w="440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Estrategia de remediación basada en riesgo, documentada, con revisión mensual o más frecuente.</w:t>
            </w:r>
          </w:p>
        </w:tc>
        <w:tc>
          <w:tcPr>
            <w:tcW w:type="dxa" w:w="256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Práctica priorizada; no legislación</w:t>
            </w:r>
          </w:p>
        </w:tc>
      </w:tr>
      <w:tr>
        <w:tc>
          <w:tcPr>
            <w:tcW w:type="dxa" w:w="2400"/>
            <w:shd w:fill="F6F8FB" w:val="clear"/>
            <w:tcMar>
              <w:top w:type="dxa" w:w="80"/>
              <w:left w:type="dxa" w:w="110"/>
              <w:bottom w:type="dxa" w:w="80"/>
              <w:right w:type="dxa" w:w="110"/>
            </w:tcMar>
          </w:tcPr>
          <w:p>
            <w:pPr>
              <w:spacing w:after="0" w:line="250"/>
            </w:pPr>
            <w:r>
              <w:rPr>
                <w:rFonts w:ascii="Calibri" w:cs="Calibri" w:eastAsia="Calibri" w:hAnsi="Calibri"/>
                <w:b/>
                <w:bCs/>
                <w:sz w:val="18"/>
                <w:szCs w:val="18"/>
              </w:rPr>
              <w:t xml:space="preserve">SSVC (Spring et al., 2019)</w:t>
            </w:r>
          </w:p>
        </w:tc>
        <w:tc>
          <w:tcPr>
            <w:tcW w:type="dxa" w:w="4400"/>
            <w:shd w:fill="F6F8FB" w:val="clear"/>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Árboles de decisión que producen una acción recomendada en lugar de un número.</w:t>
            </w:r>
          </w:p>
        </w:tc>
        <w:tc>
          <w:tcPr>
            <w:tcW w:type="dxa" w:w="2560"/>
            <w:shd w:fill="F6F8FB" w:val="clear"/>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Metodología académica; base conceptual de la BOD 26-04</w:t>
            </w:r>
          </w:p>
        </w:tc>
      </w:tr>
    </w:tbl>
    <w:p>
      <w:pPr>
        <w:spacing w:after="140"/>
      </w:pPr>
    </w:p>
    <w:p>
      <w:pPr>
        <w:spacing w:after="120" w:before="0" w:line="276"/>
      </w:pPr>
      <w:r>
        <w:rPr>
          <w:rFonts w:ascii="Calibri" w:cs="Calibri" w:eastAsia="Calibri" w:hAnsi="Calibri"/>
          <w:sz w:val="21"/>
          <w:szCs w:val="21"/>
        </w:rPr>
        <w:t xml:space="preserve">Sobre PCI DSS conviene una precisión: la versión 4.0.1, publicada el 11 de junio de 2024, revirtió la redacción de la 4.0 para que el plazo de un mes aplique a vulnerabilidades críticas y no también a las de severidad alta. Las fuentes secundarias difieren en la numeración exacta del requisito, de modo que si se lo cita conviene consultar el documento del PCI Security Standards Council directamente.</w:t>
      </w:r>
    </w:p>
    <w:p>
      <w:pPr>
        <w:pStyle w:val="Heading2"/>
        <w:spacing w:after="110" w:before="260"/>
      </w:pPr>
      <w:r>
        <w:rPr>
          <w:rFonts w:ascii="Calibri" w:cs="Calibri" w:eastAsia="Calibri" w:hAnsi="Calibri"/>
          <w:b/>
          <w:bCs/>
          <w:color w:val="2E5C8A"/>
          <w:sz w:val="25"/>
          <w:szCs w:val="25"/>
        </w:rPr>
        <w:t xml:space="preserve">7.5 SSVC: la alternativa al puntaje</w:t>
      </w:r>
    </w:p>
    <w:p>
      <w:pPr>
        <w:spacing w:after="120" w:before="0" w:line="276"/>
      </w:pPr>
      <w:r>
        <w:rPr>
          <w:rFonts w:ascii="Calibri" w:cs="Calibri" w:eastAsia="Calibri" w:hAnsi="Calibri"/>
          <w:sz w:val="21"/>
          <w:szCs w:val="21"/>
        </w:rPr>
        <w:t xml:space="preserve">SSVC (Stakeholder-Specific Vulnerability Categorization) fue desarrollado en el Software Engineering Institute de Carnegie Mellon —Spring, Hatleback, Householder, Manion y Shick— y publicado en 2019, con una versión presentada en el Workshop on the Economics of Information Security en 2020. CISA colaboró en su desarrollo y construyó después su propio árbol de decisión.</w:t>
      </w:r>
    </w:p>
    <w:p>
      <w:pPr>
        <w:spacing w:after="120" w:before="0" w:line="276"/>
      </w:pPr>
      <w:r>
        <w:rPr>
          <w:rFonts w:ascii="Calibri" w:cs="Calibri" w:eastAsia="Calibri" w:hAnsi="Calibri"/>
          <w:sz w:val="21"/>
          <w:szCs w:val="21"/>
        </w:rPr>
        <w:t xml:space="preserve">Su aporte es reemplazar el puntaje numérico por un árbol que produce directamente una acción recomendada. El argumento de fondo es que un número no es una acción: dos vulnerabilidades con idéntica puntuación pueden ser problemas operativos completamente distintos según la exposición del activo y la existencia de explotación observada.</w:t>
      </w:r>
    </w:p>
    <w:p>
      <w:pPr>
        <w:spacing w:after="120" w:before="0" w:line="276"/>
      </w:pPr>
      <w:r>
        <w:rPr>
          <w:rFonts w:ascii="Calibri" w:cs="Calibri" w:eastAsia="Calibri" w:hAnsi="Calibri"/>
          <w:sz w:val="21"/>
          <w:szCs w:val="21"/>
        </w:rPr>
        <w:t xml:space="preserve">SSVC define árboles diferenciados por rol. El del proveedor, que desarrolla el parche, y el del implementador, que lo aplica, usan puntos de decisión distintos porque enfrentan decisiones distintas. Para un sistema de gestión de vulnerabilidades el árbol relevante es el del implementador.</w:t>
      </w:r>
    </w:p>
    <w:p>
      <w:pPr>
        <w:pStyle w:val="Heading2"/>
        <w:spacing w:after="110" w:before="260"/>
      </w:pPr>
      <w:r>
        <w:rPr>
          <w:rFonts w:ascii="Calibri" w:cs="Calibri" w:eastAsia="Calibri" w:hAnsi="Calibri"/>
          <w:b/>
          <w:bCs/>
          <w:color w:val="2E5C8A"/>
          <w:sz w:val="25"/>
          <w:szCs w:val="25"/>
        </w:rPr>
        <w:t xml:space="preserve">7.6 EPSS: la señal probabilística</w:t>
      </w:r>
    </w:p>
    <w:p>
      <w:pPr>
        <w:spacing w:after="120" w:before="0" w:line="276"/>
      </w:pPr>
      <w:r>
        <w:rPr>
          <w:rFonts w:ascii="Calibri" w:cs="Calibri" w:eastAsia="Calibri" w:hAnsi="Calibri"/>
          <w:sz w:val="21"/>
          <w:szCs w:val="21"/>
        </w:rPr>
        <w:t xml:space="preserve">EPSS (Exploit Prediction Scoring System), mantenido por FIRST, es un modelo de aprendizaje automático que estima la probabilidad de que un CVE publicado sea explotado en los treinta días siguientes. Publica un valor entre 0 y 1 con percentiles, actualizado a diario para todos los CVE, accesible de forma abierta por API y por archivos CSV. La versión 4 fue publicada el 17 de marzo de 2025.</w:t>
      </w:r>
    </w:p>
    <w:tbl>
      <w:tblPr>
        <w:tblW w:type="dxa" w:w="9360"/>
        <w:tblBorders>
          <w:top w:val="none"/>
          <w:left w:val="single" w:color="2E5C8A" w:sz="18"/>
          <w:bottom w:val="none"/>
          <w:right w:val="none"/>
          <w:insideH w:val="none"/>
          <w:insideV w:val="none"/>
        </w:tblBorders>
      </w:tblPr>
      <w:tblGrid>
        <w:gridCol w:w="9360"/>
      </w:tblGrid>
      <w:tr>
        <w:tc>
          <w:tcPr>
            <w:tcW w:type="dxa" w:w="9360"/>
            <w:shd w:fill="EEF2F7" w:val="clear"/>
            <w:tcMar>
              <w:top w:type="dxa" w:w="140"/>
              <w:left w:type="dxa" w:w="200"/>
              <w:bottom w:type="dxa" w:w="140"/>
              <w:right w:type="dxa" w:w="200"/>
            </w:tcMar>
          </w:tcPr>
          <w:p>
            <w:pPr>
              <w:spacing w:after="100" w:line="276"/>
            </w:pPr>
            <w:r>
              <w:rPr>
                <w:rFonts w:ascii="Calibri" w:cs="Calibri" w:eastAsia="Calibri" w:hAnsi="Calibri"/>
                <w:b/>
                <w:bCs/>
                <w:color w:val="1F3864"/>
                <w:sz w:val="21"/>
                <w:szCs w:val="21"/>
              </w:rPr>
              <w:t xml:space="preserve">Limitación explícita, según la documentación del propio EPSS</w:t>
            </w:r>
          </w:p>
          <w:p>
            <w:pPr>
              <w:spacing w:after="100" w:line="276"/>
            </w:pPr>
            <w:r>
              <w:rPr>
                <w:rFonts w:ascii="Calibri" w:cs="Calibri" w:eastAsia="Calibri" w:hAnsi="Calibri"/>
                <w:sz w:val="21"/>
                <w:szCs w:val="21"/>
              </w:rPr>
              <w:t xml:space="preserve">EPSS no es un puntaje de riesgo completo. No estima el daño que causaría una explotación exitosa, no conoce qué activos opera la organización, y no contempla controles compensatorios ni ningún factor específico del entorno. Provee únicamente el componente de probabilidad de amenaza. Usarlo como puntaje de riesgo integral omite justamente los factores que determinan si la explotación causaría daño real.</w:t>
            </w:r>
          </w:p>
          <w:p>
            <w:pPr>
              <w:spacing w:after="0" w:line="276"/>
            </w:pPr>
            <w:r>
              <w:rPr>
                <w:rFonts w:ascii="Calibri" w:cs="Calibri" w:eastAsia="Calibri" w:hAnsi="Calibri"/>
                <w:sz w:val="21"/>
                <w:szCs w:val="21"/>
              </w:rPr>
              <w:t xml:space="preserve">El modelo se revisa con frecuencia y la versión vigente cambia. Toda cita debe indicar versión y fecha de consulta.</w:t>
            </w:r>
          </w:p>
        </w:tc>
      </w:tr>
    </w:tbl>
    <w:p>
      <w:pPr>
        <w:spacing w:after="120" w:before="0" w:line="276"/>
      </w:pPr>
      <w:r>
        <w:rPr>
          <w:rFonts w:ascii="Calibri" w:cs="Calibri" w:eastAsia="Calibri" w:hAnsi="Calibri"/>
          <w:sz w:val="21"/>
          <w:szCs w:val="21"/>
        </w:rPr>
        <w:t xml:space="preserve">Para el diseño de plazos, la combinación habitual es KEV como señal de explotación confirmada, EPSS como señal de probabilidad para lo que no está en KEV, y el contexto propio del activo como modulador. Esa combinación es, en esencia, lo que la BOD 26-04 formalizó.</w:t>
      </w:r>
    </w:p>
    <w:p>
      <w:pPr>
        <w:pStyle w:val="Heading1"/>
        <w:pBdr>
          <w:bottom w:val="single" w:color="1F3864" w:sz="8" w:space="6"/>
        </w:pBdr>
        <w:spacing w:after="160" w:before="340"/>
      </w:pPr>
      <w:r>
        <w:rPr>
          <w:rFonts w:ascii="Calibri" w:cs="Calibri" w:eastAsia="Calibri" w:hAnsi="Calibri"/>
          <w:b/>
          <w:bCs/>
          <w:color w:val="1F3864"/>
          <w:sz w:val="30"/>
          <w:szCs w:val="30"/>
        </w:rPr>
        <w:t xml:space="preserve">8. Componente D — Verificación</w:t>
      </w:r>
    </w:p>
    <w:p>
      <w:pPr>
        <w:pStyle w:val="Heading2"/>
        <w:spacing w:after="110" w:before="260"/>
      </w:pPr>
      <w:r>
        <w:rPr>
          <w:rFonts w:ascii="Calibri" w:cs="Calibri" w:eastAsia="Calibri" w:hAnsi="Calibri"/>
          <w:b/>
          <w:bCs/>
          <w:color w:val="2E5C8A"/>
          <w:sz w:val="25"/>
          <w:szCs w:val="25"/>
        </w:rPr>
        <w:t xml:space="preserve">8.1 Escala de madurez de verificación</w:t>
      </w:r>
    </w:p>
    <w:p>
      <w:pPr>
        <w:spacing w:after="120" w:before="0" w:line="276"/>
      </w:pPr>
      <w:r>
        <w:rPr>
          <w:rFonts w:ascii="Calibri" w:cs="Calibri" w:eastAsia="Calibri" w:hAnsi="Calibri"/>
          <w:sz w:val="21"/>
          <w:szCs w:val="21"/>
        </w:rPr>
        <w:t xml:space="preserve">La verificación no es binaria. Admite una escala, y ubicarse honestamente en ella es más defendible que afirmar una capacidad que no se tiene. Esta escala es el instrumento principal de autoevaluación que propone el documento, y es una síntesis propia, no un modelo normativo.</w:t>
      </w:r>
    </w:p>
    <w:p>
      <w:pPr>
        <w:spacing w:after="60"/>
      </w:pPr>
    </w:p>
    <w:tbl>
      <w:tblPr>
        <w:tblW w:type="dxa" w:w="9360"/>
        <w:tblBorders>
          <w:top w:val="single" w:color="C9D3E0" w:sz="4"/>
          <w:left w:val="single" w:color="C9D3E0" w:sz="4"/>
          <w:bottom w:val="single" w:color="C9D3E0" w:sz="4"/>
          <w:right w:val="single" w:color="C9D3E0" w:sz="4"/>
          <w:insideH w:val="single" w:color="DDE4ED" w:sz="2"/>
          <w:insideV w:val="single" w:color="DDE4ED" w:sz="2"/>
        </w:tblBorders>
      </w:tblPr>
      <w:tblGrid>
        <w:gridCol w:w="1700"/>
        <w:gridCol w:w="3300"/>
        <w:gridCol w:w="2200"/>
        <w:gridCol w:w="2160"/>
      </w:tblGrid>
      <w:tr>
        <w:trPr>
          <w:tblHeader/>
        </w:trPr>
        <w:tc>
          <w:tcPr>
            <w:tcW w:type="dxa" w:w="1700"/>
            <w:shd w:fill="1F3864" w:val="clear"/>
            <w:tcMar>
              <w:top w:type="dxa" w:w="90"/>
              <w:left w:type="dxa" w:w="110"/>
              <w:bottom w:type="dxa" w:w="90"/>
              <w:right w:type="dxa" w:w="110"/>
            </w:tcMar>
          </w:tcPr>
          <w:p>
            <w:pPr>
              <w:spacing w:after="0"/>
            </w:pPr>
            <w:r>
              <w:rPr>
                <w:rFonts w:ascii="Calibri" w:cs="Calibri" w:eastAsia="Calibri" w:hAnsi="Calibri"/>
                <w:b/>
                <w:bCs/>
                <w:color w:val="FFFFFF"/>
                <w:sz w:val="19"/>
                <w:szCs w:val="19"/>
              </w:rPr>
              <w:t xml:space="preserve">Nivel</w:t>
            </w:r>
          </w:p>
        </w:tc>
        <w:tc>
          <w:tcPr>
            <w:tcW w:type="dxa" w:w="3300"/>
            <w:shd w:fill="1F3864" w:val="clear"/>
            <w:tcMar>
              <w:top w:type="dxa" w:w="90"/>
              <w:left w:type="dxa" w:w="110"/>
              <w:bottom w:type="dxa" w:w="90"/>
              <w:right w:type="dxa" w:w="110"/>
            </w:tcMar>
          </w:tcPr>
          <w:p>
            <w:pPr>
              <w:spacing w:after="0"/>
            </w:pPr>
            <w:r>
              <w:rPr>
                <w:rFonts w:ascii="Calibri" w:cs="Calibri" w:eastAsia="Calibri" w:hAnsi="Calibri"/>
                <w:b/>
                <w:bCs/>
                <w:color w:val="FFFFFF"/>
                <w:sz w:val="19"/>
                <w:szCs w:val="19"/>
              </w:rPr>
              <w:t xml:space="preserve">Qué hace el sistema</w:t>
            </w:r>
          </w:p>
        </w:tc>
        <w:tc>
          <w:tcPr>
            <w:tcW w:type="dxa" w:w="2200"/>
            <w:shd w:fill="1F3864" w:val="clear"/>
            <w:tcMar>
              <w:top w:type="dxa" w:w="90"/>
              <w:left w:type="dxa" w:w="110"/>
              <w:bottom w:type="dxa" w:w="90"/>
              <w:right w:type="dxa" w:w="110"/>
            </w:tcMar>
          </w:tcPr>
          <w:p>
            <w:pPr>
              <w:spacing w:after="0"/>
            </w:pPr>
            <w:r>
              <w:rPr>
                <w:rFonts w:ascii="Calibri" w:cs="Calibri" w:eastAsia="Calibri" w:hAnsi="Calibri"/>
                <w:b/>
                <w:bCs/>
                <w:color w:val="FFFFFF"/>
                <w:sz w:val="19"/>
                <w:szCs w:val="19"/>
              </w:rPr>
              <w:t xml:space="preserve">Evidencia</w:t>
            </w:r>
          </w:p>
        </w:tc>
        <w:tc>
          <w:tcPr>
            <w:tcW w:type="dxa" w:w="2160"/>
            <w:shd w:fill="1F3864" w:val="clear"/>
            <w:tcMar>
              <w:top w:type="dxa" w:w="90"/>
              <w:left w:type="dxa" w:w="110"/>
              <w:bottom w:type="dxa" w:w="90"/>
              <w:right w:type="dxa" w:w="110"/>
            </w:tcMar>
          </w:tcPr>
          <w:p>
            <w:pPr>
              <w:spacing w:after="0"/>
            </w:pPr>
            <w:r>
              <w:rPr>
                <w:rFonts w:ascii="Calibri" w:cs="Calibri" w:eastAsia="Calibri" w:hAnsi="Calibri"/>
                <w:b/>
                <w:bCs/>
                <w:color w:val="FFFFFF"/>
                <w:sz w:val="19"/>
                <w:szCs w:val="19"/>
              </w:rPr>
              <w:t xml:space="preserve">Métrica que habilita</w:t>
            </w:r>
          </w:p>
        </w:tc>
      </w:tr>
      <w:tr>
        <w:tc>
          <w:tcPr>
            <w:tcW w:type="dxa" w:w="1700"/>
            <w:tcMar>
              <w:top w:type="dxa" w:w="80"/>
              <w:left w:type="dxa" w:w="110"/>
              <w:bottom w:type="dxa" w:w="80"/>
              <w:right w:type="dxa" w:w="110"/>
            </w:tcMar>
          </w:tcPr>
          <w:p>
            <w:pPr>
              <w:spacing w:after="0" w:line="250"/>
            </w:pPr>
            <w:r>
              <w:rPr>
                <w:rFonts w:ascii="Calibri" w:cs="Calibri" w:eastAsia="Calibri" w:hAnsi="Calibri"/>
                <w:b/>
                <w:bCs/>
                <w:sz w:val="18"/>
                <w:szCs w:val="18"/>
              </w:rPr>
              <w:t xml:space="preserve">0 — Sin tracking</w:t>
            </w:r>
          </w:p>
        </w:tc>
        <w:tc>
          <w:tcPr>
            <w:tcW w:type="dxa" w:w="330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Registra que la vulnerabilidad existe. No hay estados ni cierre.</w:t>
            </w:r>
          </w:p>
        </w:tc>
        <w:tc>
          <w:tcPr>
            <w:tcW w:type="dxa" w:w="220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Ninguna</w:t>
            </w:r>
          </w:p>
        </w:tc>
        <w:tc>
          <w:tcPr>
            <w:tcW w:type="dxa" w:w="216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Solo conteos de hallazgos abiertos</w:t>
            </w:r>
          </w:p>
        </w:tc>
      </w:tr>
      <w:tr>
        <w:tc>
          <w:tcPr>
            <w:tcW w:type="dxa" w:w="1700"/>
            <w:shd w:fill="F6F8FB" w:val="clear"/>
            <w:tcMar>
              <w:top w:type="dxa" w:w="80"/>
              <w:left w:type="dxa" w:w="110"/>
              <w:bottom w:type="dxa" w:w="80"/>
              <w:right w:type="dxa" w:w="110"/>
            </w:tcMar>
          </w:tcPr>
          <w:p>
            <w:pPr>
              <w:spacing w:after="0" w:line="250"/>
            </w:pPr>
            <w:r>
              <w:rPr>
                <w:rFonts w:ascii="Calibri" w:cs="Calibri" w:eastAsia="Calibri" w:hAnsi="Calibri"/>
                <w:b/>
                <w:bCs/>
                <w:sz w:val="18"/>
                <w:szCs w:val="18"/>
              </w:rPr>
              <w:t xml:space="preserve">1 — Declarativa</w:t>
            </w:r>
          </w:p>
        </w:tc>
        <w:tc>
          <w:tcPr>
            <w:tcW w:type="dxa" w:w="3300"/>
            <w:shd w:fill="F6F8FB" w:val="clear"/>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Una persona marca el hallazgo como resuelto. El sistema estampa la fecha.</w:t>
            </w:r>
          </w:p>
        </w:tc>
        <w:tc>
          <w:tcPr>
            <w:tcW w:type="dxa" w:w="2200"/>
            <w:shd w:fill="F6F8FB" w:val="clear"/>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La afirmación de la persona</w:t>
            </w:r>
          </w:p>
        </w:tc>
        <w:tc>
          <w:tcPr>
            <w:tcW w:type="dxa" w:w="2160"/>
            <w:shd w:fill="F6F8FB" w:val="clear"/>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Tiempo de gestión. No MTTR.</w:t>
            </w:r>
          </w:p>
        </w:tc>
      </w:tr>
      <w:tr>
        <w:tc>
          <w:tcPr>
            <w:tcW w:type="dxa" w:w="1700"/>
            <w:tcMar>
              <w:top w:type="dxa" w:w="80"/>
              <w:left w:type="dxa" w:w="110"/>
              <w:bottom w:type="dxa" w:w="80"/>
              <w:right w:type="dxa" w:w="110"/>
            </w:tcMar>
          </w:tcPr>
          <w:p>
            <w:pPr>
              <w:spacing w:after="0" w:line="250"/>
            </w:pPr>
            <w:r>
              <w:rPr>
                <w:rFonts w:ascii="Calibri" w:cs="Calibri" w:eastAsia="Calibri" w:hAnsi="Calibri"/>
                <w:b/>
                <w:bCs/>
                <w:sz w:val="18"/>
                <w:szCs w:val="18"/>
              </w:rPr>
              <w:t xml:space="preserve">2 — Declarativa con evidencia</w:t>
            </w:r>
          </w:p>
        </w:tc>
        <w:tc>
          <w:tcPr>
            <w:tcW w:type="dxa" w:w="330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Se registra qué se hizo: versión aplicada, método, quién y cuándo.</w:t>
            </w:r>
          </w:p>
        </w:tc>
        <w:tc>
          <w:tcPr>
            <w:tcW w:type="dxa" w:w="220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La afirmación más su respaldo documental</w:t>
            </w:r>
          </w:p>
        </w:tc>
        <w:tc>
          <w:tcPr>
            <w:tcW w:type="dxa" w:w="216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Tiempo de gestión con trazabilidad auditable</w:t>
            </w:r>
          </w:p>
        </w:tc>
      </w:tr>
      <w:tr>
        <w:tc>
          <w:tcPr>
            <w:tcW w:type="dxa" w:w="1700"/>
            <w:shd w:fill="F6F8FB" w:val="clear"/>
            <w:tcMar>
              <w:top w:type="dxa" w:w="80"/>
              <w:left w:type="dxa" w:w="110"/>
              <w:bottom w:type="dxa" w:w="80"/>
              <w:right w:type="dxa" w:w="110"/>
            </w:tcMar>
          </w:tcPr>
          <w:p>
            <w:pPr>
              <w:spacing w:after="0" w:line="250"/>
            </w:pPr>
            <w:r>
              <w:rPr>
                <w:rFonts w:ascii="Calibri" w:cs="Calibri" w:eastAsia="Calibri" w:hAnsi="Calibri"/>
                <w:b/>
                <w:bCs/>
                <w:sz w:val="18"/>
                <w:szCs w:val="18"/>
              </w:rPr>
              <w:t xml:space="preserve">3 — Verificación por inventario</w:t>
            </w:r>
          </w:p>
        </w:tc>
        <w:tc>
          <w:tcPr>
            <w:tcW w:type="dxa" w:w="3300"/>
            <w:shd w:fill="F6F8FB" w:val="clear"/>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En el escaneo siguiente el sistema compara la versión del activo contra el rango vulnerable y confirma por sí mismo.</w:t>
            </w:r>
          </w:p>
        </w:tc>
        <w:tc>
          <w:tcPr>
            <w:tcW w:type="dxa" w:w="2200"/>
            <w:shd w:fill="F6F8FB" w:val="clear"/>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Comprobación automática sobre datos propios</w:t>
            </w:r>
          </w:p>
        </w:tc>
        <w:tc>
          <w:tcPr>
            <w:tcW w:type="dxa" w:w="2160"/>
            <w:shd w:fill="F6F8FB" w:val="clear"/>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MTTR estricto, tiempo de verificación, recurrencia</w:t>
            </w:r>
          </w:p>
        </w:tc>
      </w:tr>
      <w:tr>
        <w:tc>
          <w:tcPr>
            <w:tcW w:type="dxa" w:w="1700"/>
            <w:tcMar>
              <w:top w:type="dxa" w:w="80"/>
              <w:left w:type="dxa" w:w="110"/>
              <w:bottom w:type="dxa" w:w="80"/>
              <w:right w:type="dxa" w:w="110"/>
            </w:tcMar>
          </w:tcPr>
          <w:p>
            <w:pPr>
              <w:spacing w:after="0" w:line="250"/>
            </w:pPr>
            <w:r>
              <w:rPr>
                <w:rFonts w:ascii="Calibri" w:cs="Calibri" w:eastAsia="Calibri" w:hAnsi="Calibri"/>
                <w:b/>
                <w:bCs/>
                <w:sz w:val="18"/>
                <w:szCs w:val="18"/>
              </w:rPr>
              <w:t xml:space="preserve">4 — Verificación por reescaneo activo</w:t>
            </w:r>
          </w:p>
        </w:tc>
        <w:tc>
          <w:tcPr>
            <w:tcW w:type="dxa" w:w="330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Un escáner independiente comprueba sobre el activo en ejecución que la condición ya no es alcanzable.</w:t>
            </w:r>
          </w:p>
        </w:tc>
        <w:tc>
          <w:tcPr>
            <w:tcW w:type="dxa" w:w="220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Comprobación automática sobre el sistema real</w:t>
            </w:r>
          </w:p>
        </w:tc>
        <w:tc>
          <w:tcPr>
            <w:tcW w:type="dxa" w:w="216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Todo lo anterior, con evidencia de explotabilidad efectiva</w:t>
            </w:r>
          </w:p>
        </w:tc>
      </w:tr>
    </w:tbl>
    <w:p>
      <w:pPr>
        <w:spacing w:after="140"/>
      </w:pPr>
    </w:p>
    <w:tbl>
      <w:tblPr>
        <w:tblW w:type="dxa" w:w="9360"/>
        <w:tblBorders>
          <w:top w:val="none"/>
          <w:left w:val="single" w:color="2E5C8A" w:sz="18"/>
          <w:bottom w:val="none"/>
          <w:right w:val="none"/>
          <w:insideH w:val="none"/>
          <w:insideV w:val="none"/>
        </w:tblBorders>
      </w:tblPr>
      <w:tblGrid>
        <w:gridCol w:w="9360"/>
      </w:tblGrid>
      <w:tr>
        <w:tc>
          <w:tcPr>
            <w:tcW w:type="dxa" w:w="9360"/>
            <w:shd w:fill="EEF2F7" w:val="clear"/>
            <w:tcMar>
              <w:top w:type="dxa" w:w="140"/>
              <w:left w:type="dxa" w:w="200"/>
              <w:bottom w:type="dxa" w:w="140"/>
              <w:right w:type="dxa" w:w="200"/>
            </w:tcMar>
          </w:tcPr>
          <w:p>
            <w:pPr>
              <w:spacing w:after="100" w:line="276"/>
            </w:pPr>
            <w:r>
              <w:rPr>
                <w:rFonts w:ascii="Calibri" w:cs="Calibri" w:eastAsia="Calibri" w:hAnsi="Calibri"/>
                <w:b/>
                <w:bCs/>
                <w:color w:val="1F3864"/>
                <w:sz w:val="21"/>
                <w:szCs w:val="21"/>
              </w:rPr>
              <w:t xml:space="preserve">Dónde está el salto cualitativo</w:t>
            </w:r>
          </w:p>
          <w:p>
            <w:pPr>
              <w:spacing w:after="100" w:line="276"/>
            </w:pPr>
            <w:r>
              <w:rPr>
                <w:rFonts w:ascii="Calibri" w:cs="Calibri" w:eastAsia="Calibri" w:hAnsi="Calibri"/>
                <w:sz w:val="21"/>
                <w:szCs w:val="21"/>
              </w:rPr>
              <w:t xml:space="preserve">La frontera está entre el nivel 2 y el nivel 3. Hasta el 2 inclusive, el cierre es una afirmación humana mejor o peor documentada, y la métrica de tiempo mide el proceso de gestión. A partir del 3 el sistema produce evidencia propia, y recién ahí el intervalo medido corresponde a lo que la literatura llama MTTR.</w:t>
            </w:r>
          </w:p>
          <w:p>
            <w:pPr>
              <w:spacing w:after="0" w:line="276"/>
            </w:pPr>
            <w:r>
              <w:rPr>
                <w:rFonts w:ascii="Calibri" w:cs="Calibri" w:eastAsia="Calibri" w:hAnsi="Calibri"/>
                <w:sz w:val="21"/>
                <w:szCs w:val="21"/>
              </w:rPr>
              <w:t xml:space="preserve">El nivel 3 es alcanzable para un sistema que trabaja sobre inventario de dependencias declaradas, porque la comprobación es una comparación de versiones contra el rango del advisory. El nivel 4 requiere un escáner activo y queda fuera del alcance de la mayoría de los trabajos de este tipo.</w:t>
            </w:r>
          </w:p>
        </w:tc>
      </w:tr>
    </w:tbl>
    <w:p>
      <w:pPr>
        <w:pStyle w:val="Heading2"/>
        <w:spacing w:after="110" w:before="260"/>
      </w:pPr>
      <w:r>
        <w:rPr>
          <w:rFonts w:ascii="Calibri" w:cs="Calibri" w:eastAsia="Calibri" w:hAnsi="Calibri"/>
          <w:b/>
          <w:bCs/>
          <w:color w:val="2E5C8A"/>
          <w:sz w:val="25"/>
          <w:szCs w:val="25"/>
        </w:rPr>
        <w:t xml:space="preserve">8.2 Cómo funciona la verificación de nivel 3</w:t>
      </w:r>
    </w:p>
    <w:p>
      <w:pPr>
        <w:spacing w:after="120" w:before="0" w:line="276"/>
      </w:pPr>
      <w:r>
        <w:rPr>
          <w:rFonts w:ascii="Calibri" w:cs="Calibri" w:eastAsia="Calibri" w:hAnsi="Calibri"/>
          <w:sz w:val="21"/>
          <w:szCs w:val="21"/>
        </w:rPr>
        <w:t xml:space="preserve">Es una comparación entre el estado del activo en dos escaneos consecutivos, contrastada contra el rango vulnerable declarado por el advisory.</w:t>
      </w:r>
    </w:p>
    <w:p>
      <w:pPr>
        <w:spacing w:after="60"/>
      </w:pPr>
    </w:p>
    <w:p>
      <w:pPr>
        <w:shd w:fill="F4F6F8" w:val="clear"/>
        <w:spacing w:after="40" w:line="240"/>
        <w:ind w:left="288"/>
      </w:pPr>
      <w:r>
        <w:rPr>
          <w:rFonts w:ascii="Consolas" w:cs="Consolas" w:eastAsia="Consolas" w:hAnsi="Consolas"/>
          <w:color w:val="24292E"/>
          <w:sz w:val="17"/>
          <w:szCs w:val="17"/>
        </w:rPr>
        <w:t xml:space="preserve">para cada hallazgo abierto H (activo A, advisory V):</w:t>
      </w:r>
    </w:p>
    <w:p>
      <w:pPr>
        <w:shd w:fill="F4F6F8" w:val="clear"/>
        <w:spacing w:after="40" w:line="240"/>
        <w:ind w:left="288"/>
      </w:pPr>
      <w:r>
        <w:rPr>
          <w:rFonts w:ascii="Consolas" w:cs="Consolas" w:eastAsia="Consolas" w:hAnsi="Consolas"/>
          <w:color w:val="24292E"/>
          <w:sz w:val="17"/>
          <w:szCs w:val="17"/>
        </w:rPr>
        <w:t xml:space="preserve"/>
      </w:r>
    </w:p>
    <w:p>
      <w:pPr>
        <w:shd w:fill="F4F6F8" w:val="clear"/>
        <w:spacing w:after="40" w:line="240"/>
        <w:ind w:left="288"/>
      </w:pPr>
      <w:r>
        <w:rPr>
          <w:rFonts w:ascii="Consolas" w:cs="Consolas" w:eastAsia="Consolas" w:hAnsi="Consolas"/>
          <w:color w:val="24292E"/>
          <w:sz w:val="17"/>
          <w:szCs w:val="17"/>
        </w:rPr>
        <w:t xml:space="preserve">  si A no fue analizado en el escaneo actual:</w:t>
      </w:r>
    </w:p>
    <w:p>
      <w:pPr>
        <w:shd w:fill="F4F6F8" w:val="clear"/>
        <w:spacing w:after="40" w:line="240"/>
        <w:ind w:left="288"/>
      </w:pPr>
      <w:r>
        <w:rPr>
          <w:rFonts w:ascii="Consolas" w:cs="Consolas" w:eastAsia="Consolas" w:hAnsi="Consolas"/>
          <w:color w:val="24292E"/>
          <w:sz w:val="17"/>
          <w:szCs w:val="17"/>
        </w:rPr>
        <w:t xml:space="preserve">      -&gt; conservar estado. NO cerrar. (cobertura parcial)</w:t>
      </w:r>
    </w:p>
    <w:p>
      <w:pPr>
        <w:shd w:fill="F4F6F8" w:val="clear"/>
        <w:spacing w:after="40" w:line="240"/>
        <w:ind w:left="288"/>
      </w:pPr>
      <w:r>
        <w:rPr>
          <w:rFonts w:ascii="Consolas" w:cs="Consolas" w:eastAsia="Consolas" w:hAnsi="Consolas"/>
          <w:color w:val="24292E"/>
          <w:sz w:val="17"/>
          <w:szCs w:val="17"/>
        </w:rPr>
        <w:t xml:space="preserve"/>
      </w:r>
    </w:p>
    <w:p>
      <w:pPr>
        <w:shd w:fill="F4F6F8" w:val="clear"/>
        <w:spacing w:after="40" w:line="240"/>
        <w:ind w:left="288"/>
      </w:pPr>
      <w:r>
        <w:rPr>
          <w:rFonts w:ascii="Consolas" w:cs="Consolas" w:eastAsia="Consolas" w:hAnsi="Consolas"/>
          <w:color w:val="24292E"/>
          <w:sz w:val="17"/>
          <w:szCs w:val="17"/>
        </w:rPr>
        <w:t xml:space="preserve">  si A fue analizado:</w:t>
      </w:r>
    </w:p>
    <w:p>
      <w:pPr>
        <w:shd w:fill="F4F6F8" w:val="clear"/>
        <w:spacing w:after="40" w:line="240"/>
        <w:ind w:left="288"/>
      </w:pPr>
      <w:r>
        <w:rPr>
          <w:rFonts w:ascii="Consolas" w:cs="Consolas" w:eastAsia="Consolas" w:hAnsi="Consolas"/>
          <w:color w:val="24292E"/>
          <w:sz w:val="17"/>
          <w:szCs w:val="17"/>
        </w:rPr>
        <w:t xml:space="preserve">      version_actual = version de A en el escaneo actual</w:t>
      </w:r>
    </w:p>
    <w:p>
      <w:pPr>
        <w:shd w:fill="F4F6F8" w:val="clear"/>
        <w:spacing w:after="40" w:line="240"/>
        <w:ind w:left="288"/>
      </w:pPr>
      <w:r>
        <w:rPr>
          <w:rFonts w:ascii="Consolas" w:cs="Consolas" w:eastAsia="Consolas" w:hAnsi="Consolas"/>
          <w:color w:val="24292E"/>
          <w:sz w:val="17"/>
          <w:szCs w:val="17"/>
        </w:rPr>
        <w:t xml:space="preserve"/>
      </w:r>
    </w:p>
    <w:p>
      <w:pPr>
        <w:shd w:fill="F4F6F8" w:val="clear"/>
        <w:spacing w:after="40" w:line="240"/>
        <w:ind w:left="288"/>
      </w:pPr>
      <w:r>
        <w:rPr>
          <w:rFonts w:ascii="Consolas" w:cs="Consolas" w:eastAsia="Consolas" w:hAnsi="Consolas"/>
          <w:color w:val="24292E"/>
          <w:sz w:val="17"/>
          <w:szCs w:val="17"/>
        </w:rPr>
        <w:t xml:space="preserve">      si version_actual sigue dentro del rango vulnerable de V:</w:t>
      </w:r>
    </w:p>
    <w:p>
      <w:pPr>
        <w:shd w:fill="F4F6F8" w:val="clear"/>
        <w:spacing w:after="40" w:line="240"/>
        <w:ind w:left="288"/>
      </w:pPr>
      <w:r>
        <w:rPr>
          <w:rFonts w:ascii="Consolas" w:cs="Consolas" w:eastAsia="Consolas" w:hAnsi="Consolas"/>
          <w:color w:val="24292E"/>
          <w:sz w:val="17"/>
          <w:szCs w:val="17"/>
        </w:rPr>
        <w:t xml:space="preserve">          -&gt; sigue abierta. Evaluar vencimiento de plazo.</w:t>
      </w:r>
    </w:p>
    <w:p>
      <w:pPr>
        <w:shd w:fill="F4F6F8" w:val="clear"/>
        <w:spacing w:after="40" w:line="240"/>
        <w:ind w:left="288"/>
      </w:pPr>
      <w:r>
        <w:rPr>
          <w:rFonts w:ascii="Consolas" w:cs="Consolas" w:eastAsia="Consolas" w:hAnsi="Consolas"/>
          <w:color w:val="24292E"/>
          <w:sz w:val="17"/>
          <w:szCs w:val="17"/>
        </w:rPr>
        <w:t xml:space="preserve"/>
      </w:r>
    </w:p>
    <w:p>
      <w:pPr>
        <w:shd w:fill="F4F6F8" w:val="clear"/>
        <w:spacing w:after="40" w:line="240"/>
        <w:ind w:left="288"/>
      </w:pPr>
      <w:r>
        <w:rPr>
          <w:rFonts w:ascii="Consolas" w:cs="Consolas" w:eastAsia="Consolas" w:hAnsi="Consolas"/>
          <w:color w:val="24292E"/>
          <w:sz w:val="17"/>
          <w:szCs w:val="17"/>
        </w:rPr>
        <w:t xml:space="preserve">      si version_actual quedo fuera del rango vulnerable de V:</w:t>
      </w:r>
    </w:p>
    <w:p>
      <w:pPr>
        <w:shd w:fill="F4F6F8" w:val="clear"/>
        <w:spacing w:after="40" w:line="240"/>
        <w:ind w:left="288"/>
      </w:pPr>
      <w:r>
        <w:rPr>
          <w:rFonts w:ascii="Consolas" w:cs="Consolas" w:eastAsia="Consolas" w:hAnsi="Consolas"/>
          <w:color w:val="24292E"/>
          <w:sz w:val="17"/>
          <w:szCs w:val="17"/>
        </w:rPr>
        <w:t xml:space="preserve">          -&gt; remediacion verificada.</w:t>
      </w:r>
    </w:p>
    <w:p>
      <w:pPr>
        <w:shd w:fill="F4F6F8" w:val="clear"/>
        <w:spacing w:after="40" w:line="240"/>
        <w:ind w:left="288"/>
      </w:pPr>
      <w:r>
        <w:rPr>
          <w:rFonts w:ascii="Consolas" w:cs="Consolas" w:eastAsia="Consolas" w:hAnsi="Consolas"/>
          <w:color w:val="24292E"/>
          <w:sz w:val="17"/>
          <w:szCs w:val="17"/>
        </w:rPr>
        <w:t xml:space="preserve">          -&gt; estampar verified_at</w:t>
      </w:r>
    </w:p>
    <w:p>
      <w:pPr>
        <w:shd w:fill="F4F6F8" w:val="clear"/>
        <w:spacing w:after="40" w:line="240"/>
        <w:ind w:left="288"/>
      </w:pPr>
      <w:r>
        <w:rPr>
          <w:rFonts w:ascii="Consolas" w:cs="Consolas" w:eastAsia="Consolas" w:hAnsi="Consolas"/>
          <w:color w:val="24292E"/>
          <w:sz w:val="17"/>
          <w:szCs w:val="17"/>
        </w:rPr>
        <w:t xml:space="preserve">          -&gt; registrar version_previa y version_actual</w:t>
      </w:r>
    </w:p>
    <w:p>
      <w:pPr>
        <w:shd w:fill="F4F6F8" w:val="clear"/>
        <w:spacing w:after="40" w:line="240"/>
        <w:ind w:left="288"/>
      </w:pPr>
      <w:r>
        <w:rPr>
          <w:rFonts w:ascii="Consolas" w:cs="Consolas" w:eastAsia="Consolas" w:hAnsi="Consolas"/>
          <w:color w:val="24292E"/>
          <w:sz w:val="17"/>
          <w:szCs w:val="17"/>
        </w:rPr>
        <w:t xml:space="preserve">          -&gt; conservar el par bajo observacion</w:t>
      </w:r>
    </w:p>
    <w:p>
      <w:pPr>
        <w:spacing w:after="120"/>
      </w:pPr>
    </w:p>
    <w:p>
      <w:pPr>
        <w:spacing w:after="120" w:before="0" w:line="276"/>
      </w:pPr>
      <w:r>
        <w:rPr>
          <w:rFonts w:ascii="Calibri" w:cs="Calibri" w:eastAsia="Calibri" w:hAnsi="Calibri"/>
          <w:sz w:val="21"/>
          <w:szCs w:val="21"/>
        </w:rPr>
        <w:t xml:space="preserve">Decisiones de diseño que este mecanismo obliga a tomar y conviene documentar:</w:t>
      </w:r>
    </w:p>
    <w:p>
      <w:pPr>
        <w:pStyle w:val="ListParagraph"/>
        <w:numPr>
          <w:ilvl w:val="0"/>
          <w:numId w:val="2"/>
        </w:numPr>
        <w:spacing w:after="90" w:line="276"/>
      </w:pPr>
      <w:r>
        <w:rPr>
          <w:rFonts w:ascii="Calibri" w:cs="Calibri" w:eastAsia="Calibri" w:hAnsi="Calibri"/>
          <w:b/>
          <w:bCs/>
          <w:sz w:val="21"/>
          <w:szCs w:val="21"/>
        </w:rPr>
        <w:t xml:space="preserve">Comparación de versiones. </w:t>
      </w:r>
      <w:r>
        <w:rPr>
          <w:rFonts w:ascii="Calibri" w:cs="Calibri" w:eastAsia="Calibri" w:hAnsi="Calibri"/>
          <w:sz w:val="21"/>
          <w:szCs w:val="21"/>
        </w:rPr>
        <w:t xml:space="preserve">El orden entre dos versiones no es trivial fuera del versionado semántico estricto: sufijos de distribución, versiones de cuatro componentes, formatos de fecha y etiquetas de preproducción requieren reglas explícitas. Cada regla heurística introduce incertidumbre que debería registrarse como nivel de confianza del resultado.</w:t>
      </w:r>
    </w:p>
    <w:p>
      <w:pPr>
        <w:pStyle w:val="ListParagraph"/>
        <w:numPr>
          <w:ilvl w:val="0"/>
          <w:numId w:val="2"/>
        </w:numPr>
        <w:spacing w:after="90" w:line="276"/>
      </w:pPr>
      <w:r>
        <w:rPr>
          <w:rFonts w:ascii="Calibri" w:cs="Calibri" w:eastAsia="Calibri" w:hAnsi="Calibri"/>
          <w:b/>
          <w:bCs/>
          <w:sz w:val="21"/>
          <w:szCs w:val="21"/>
        </w:rPr>
        <w:t xml:space="preserve">Advisories con múltiples rangos. </w:t>
      </w:r>
      <w:r>
        <w:rPr>
          <w:rFonts w:ascii="Calibri" w:cs="Calibri" w:eastAsia="Calibri" w:hAnsi="Calibri"/>
          <w:sz w:val="21"/>
          <w:szCs w:val="21"/>
        </w:rPr>
        <w:t xml:space="preserve">Un mismo advisory puede declarar varios rangos afectados con distintas versiones de corrección. La verificación debe evaluarlos todos.</w:t>
      </w:r>
    </w:p>
    <w:p>
      <w:pPr>
        <w:pStyle w:val="ListParagraph"/>
        <w:numPr>
          <w:ilvl w:val="0"/>
          <w:numId w:val="2"/>
        </w:numPr>
        <w:spacing w:after="90" w:line="276"/>
      </w:pPr>
      <w:r>
        <w:rPr>
          <w:rFonts w:ascii="Calibri" w:cs="Calibri" w:eastAsia="Calibri" w:hAnsi="Calibri"/>
          <w:b/>
          <w:bCs/>
          <w:sz w:val="21"/>
          <w:szCs w:val="21"/>
        </w:rPr>
        <w:t xml:space="preserve">Advisories que cambian. </w:t>
      </w:r>
      <w:r>
        <w:rPr>
          <w:rFonts w:ascii="Calibri" w:cs="Calibri" w:eastAsia="Calibri" w:hAnsi="Calibri"/>
          <w:sz w:val="21"/>
          <w:szCs w:val="21"/>
        </w:rPr>
        <w:t xml:space="preserve">La fuente puede ampliar el rango afectado después de la publicación inicial. Una remediación verificada contra un rango que luego se amplía deja de ser válida.</w:t>
      </w:r>
    </w:p>
    <w:p>
      <w:pPr>
        <w:pStyle w:val="ListParagraph"/>
        <w:numPr>
          <w:ilvl w:val="0"/>
          <w:numId w:val="2"/>
        </w:numPr>
        <w:spacing w:after="90" w:line="276"/>
      </w:pPr>
      <w:r>
        <w:rPr>
          <w:rFonts w:ascii="Calibri" w:cs="Calibri" w:eastAsia="Calibri" w:hAnsi="Calibri"/>
          <w:b/>
          <w:bCs/>
          <w:sz w:val="21"/>
          <w:szCs w:val="21"/>
        </w:rPr>
        <w:t xml:space="preserve">Remediación por vía distinta al parche. </w:t>
      </w:r>
      <w:r>
        <w:rPr>
          <w:rFonts w:ascii="Calibri" w:cs="Calibri" w:eastAsia="Calibri" w:hAnsi="Calibri"/>
          <w:sz w:val="21"/>
          <w:szCs w:val="21"/>
        </w:rPr>
        <w:t xml:space="preserve">Un activo puede dejar de ser vulnerable porque se eliminó la dependencia, se aplicó un control compensatorio o se cambió la configuración. La comparación de versiones no captura estos casos y el modelo debe permitir registrarlos con justificación.</w:t>
      </w:r>
    </w:p>
    <w:p>
      <w:pPr>
        <w:pStyle w:val="Heading2"/>
        <w:spacing w:after="110" w:before="260"/>
      </w:pPr>
      <w:r>
        <w:rPr>
          <w:rFonts w:ascii="Calibri" w:cs="Calibri" w:eastAsia="Calibri" w:hAnsi="Calibri"/>
          <w:b/>
          <w:bCs/>
          <w:color w:val="2E5C8A"/>
          <w:sz w:val="25"/>
          <w:szCs w:val="25"/>
        </w:rPr>
        <w:t xml:space="preserve">8.3 Reverificación periódica</w:t>
      </w:r>
    </w:p>
    <w:p>
      <w:pPr>
        <w:spacing w:after="120" w:before="0" w:line="276"/>
      </w:pPr>
      <w:r>
        <w:rPr>
          <w:rFonts w:ascii="Calibri" w:cs="Calibri" w:eastAsia="Calibri" w:hAnsi="Calibri"/>
          <w:sz w:val="21"/>
          <w:szCs w:val="21"/>
        </w:rPr>
        <w:t xml:space="preserve">Una verificación puntual establece que la condición vulnerable no existía en un instante. No establece que no vuelva a existir. La literatura sobre evolución de parches señala que una proporción alta de los CVE presenta evolución continua de su corrección después de la publicación inicial, de modo que una versión considerada segura puede dejar de serlo cuando el proyecto de origen publica una revisión posterior.</w:t>
      </w:r>
    </w:p>
    <w:p>
      <w:pPr>
        <w:spacing w:after="120" w:before="0" w:line="276"/>
      </w:pPr>
      <w:r>
        <w:rPr>
          <w:rFonts w:ascii="Calibri" w:cs="Calibri" w:eastAsia="Calibri" w:hAnsi="Calibri"/>
          <w:sz w:val="21"/>
          <w:szCs w:val="21"/>
        </w:rPr>
        <w:t xml:space="preserve">De ahí que un tracking completo no cierre definitivamente: mantiene el par activo-advisory bajo observación y reevalúa en cada escaneo. La diferencia entre «cerrado» y «cerrado y bajo observación» es lo que separa un registro histórico de un sistema de tracking.</w:t>
      </w:r>
    </w:p>
    <w:p>
      <w:pPr>
        <w:pStyle w:val="Heading1"/>
        <w:pBdr>
          <w:bottom w:val="single" w:color="1F3864" w:sz="8" w:space="6"/>
        </w:pBdr>
        <w:spacing w:after="160" w:before="340"/>
      </w:pPr>
      <w:r>
        <w:rPr>
          <w:rFonts w:ascii="Calibri" w:cs="Calibri" w:eastAsia="Calibri" w:hAnsi="Calibri"/>
          <w:b/>
          <w:bCs/>
          <w:color w:val="1F3864"/>
          <w:sz w:val="30"/>
          <w:szCs w:val="30"/>
        </w:rPr>
        <w:t xml:space="preserve">9. Componente E — Recurrencia</w:t>
      </w:r>
    </w:p>
    <w:p>
      <w:pPr>
        <w:spacing w:after="120" w:before="0" w:line="276"/>
      </w:pPr>
      <w:r>
        <w:rPr>
          <w:rFonts w:ascii="Calibri" w:cs="Calibri" w:eastAsia="Calibri" w:hAnsi="Calibri"/>
          <w:sz w:val="21"/>
          <w:szCs w:val="21"/>
        </w:rPr>
        <w:t xml:space="preserve">Una vulnerabilidad remediada puede volver. Las causas habituales son la reversión de una dependencia, el despliegue de una imagen anterior, la restauración de un respaldo, o la recreación del entorno desde una plantilla desactualizada.</w:t>
      </w:r>
    </w:p>
    <w:p>
      <w:pPr>
        <w:spacing w:after="120" w:before="0" w:line="276"/>
      </w:pPr>
      <w:r>
        <w:rPr>
          <w:rFonts w:ascii="Calibri" w:cs="Calibri" w:eastAsia="Calibri" w:hAnsi="Calibri"/>
          <w:sz w:val="21"/>
          <w:szCs w:val="21"/>
        </w:rPr>
        <w:t xml:space="preserve">Sin detección de recurrencia el sistema reporta un estado más sano que el real: la vulnerabilidad figura como resuelta en la métrica histórica mientras está activa en el entorno. Y el fenómeno queda invisible para el equipo, con lo cual la causa raíz —típicamente un proceso de despliegue mal controlado— nunca se corrige.</w:t>
      </w:r>
    </w:p>
    <w:p>
      <w:pPr>
        <w:spacing w:after="60"/>
      </w:pPr>
    </w:p>
    <w:p>
      <w:pPr>
        <w:spacing w:after="120" w:before="0" w:line="276"/>
      </w:pPr>
      <w:r>
        <w:rPr>
          <w:rFonts w:ascii="Calibri" w:cs="Calibri" w:eastAsia="Calibri" w:hAnsi="Calibri"/>
          <w:b/>
          <w:bCs/>
          <w:sz w:val="21"/>
          <w:szCs w:val="21"/>
        </w:rPr>
        <w:t xml:space="preserve">Requisitos del modelo:</w:t>
      </w:r>
    </w:p>
    <w:p>
      <w:pPr>
        <w:pStyle w:val="ListParagraph"/>
        <w:numPr>
          <w:ilvl w:val="0"/>
          <w:numId w:val="2"/>
        </w:numPr>
        <w:spacing w:after="90" w:line="276"/>
      </w:pPr>
      <w:r>
        <w:rPr>
          <w:rFonts w:ascii="Calibri" w:cs="Calibri" w:eastAsia="Calibri" w:hAnsi="Calibri"/>
          <w:sz w:val="21"/>
          <w:szCs w:val="21"/>
        </w:rPr>
        <w:t xml:space="preserve">El par activo-advisory se conserva después del cierre, no se elimina ni se archiva.</w:t>
      </w:r>
    </w:p>
    <w:p>
      <w:pPr>
        <w:pStyle w:val="ListParagraph"/>
        <w:numPr>
          <w:ilvl w:val="0"/>
          <w:numId w:val="2"/>
        </w:numPr>
        <w:spacing w:after="90" w:line="276"/>
      </w:pPr>
      <w:r>
        <w:rPr>
          <w:rFonts w:ascii="Calibri" w:cs="Calibri" w:eastAsia="Calibri" w:hAnsi="Calibri"/>
          <w:sz w:val="21"/>
          <w:szCs w:val="21"/>
        </w:rPr>
        <w:t xml:space="preserve">Existe un estado de reapertura distinto del de detección inicial, para no contaminar las métricas de detección con reapariciones.</w:t>
      </w:r>
    </w:p>
    <w:p>
      <w:pPr>
        <w:pStyle w:val="ListParagraph"/>
        <w:numPr>
          <w:ilvl w:val="0"/>
          <w:numId w:val="2"/>
        </w:numPr>
        <w:spacing w:after="90" w:line="276"/>
      </w:pPr>
      <w:r>
        <w:rPr>
          <w:rFonts w:ascii="Calibri" w:cs="Calibri" w:eastAsia="Calibri" w:hAnsi="Calibri"/>
          <w:sz w:val="21"/>
          <w:szCs w:val="21"/>
        </w:rPr>
        <w:t xml:space="preserve">Cada ciclo de apertura y cierre se registra por separado, de modo que un mismo par pueda acumular varios intervalos de remediación.</w:t>
      </w:r>
    </w:p>
    <w:p>
      <w:pPr>
        <w:pStyle w:val="ListParagraph"/>
        <w:numPr>
          <w:ilvl w:val="0"/>
          <w:numId w:val="2"/>
        </w:numPr>
        <w:spacing w:after="90" w:line="276"/>
      </w:pPr>
      <w:r>
        <w:rPr>
          <w:rFonts w:ascii="Calibri" w:cs="Calibri" w:eastAsia="Calibri" w:hAnsi="Calibri"/>
          <w:sz w:val="21"/>
          <w:szCs w:val="21"/>
        </w:rPr>
        <w:t xml:space="preserve">Las decisiones de triage previas se conservan y se reaplican: si un hallazgo fue descartado con justificación, la reaparición no debería obligar a repetir el análisis desde cero.</w:t>
      </w:r>
    </w:p>
    <w:p>
      <w:pPr>
        <w:pStyle w:val="ListParagraph"/>
        <w:numPr>
          <w:ilvl w:val="0"/>
          <w:numId w:val="2"/>
        </w:numPr>
        <w:spacing w:after="90" w:line="276"/>
      </w:pPr>
      <w:r>
        <w:rPr>
          <w:rFonts w:ascii="Calibri" w:cs="Calibri" w:eastAsia="Calibri" w:hAnsi="Calibri"/>
          <w:sz w:val="21"/>
          <w:szCs w:val="21"/>
        </w:rPr>
        <w:t xml:space="preserve">La tasa de recurrencia es una métrica de primer orden, no un subproducto.</w:t>
      </w:r>
    </w:p>
    <w:p>
      <w:pPr>
        <w:spacing w:after="60"/>
      </w:pPr>
    </w:p>
    <w:tbl>
      <w:tblPr>
        <w:tblW w:type="dxa" w:w="9360"/>
        <w:tblBorders>
          <w:top w:val="none"/>
          <w:left w:val="single" w:color="2E5C8A" w:sz="18"/>
          <w:bottom w:val="none"/>
          <w:right w:val="none"/>
          <w:insideH w:val="none"/>
          <w:insideV w:val="none"/>
        </w:tblBorders>
      </w:tblPr>
      <w:tblGrid>
        <w:gridCol w:w="9360"/>
      </w:tblGrid>
      <w:tr>
        <w:tc>
          <w:tcPr>
            <w:tcW w:type="dxa" w:w="9360"/>
            <w:shd w:fill="EEF2F7" w:val="clear"/>
            <w:tcMar>
              <w:top w:type="dxa" w:w="140"/>
              <w:left w:type="dxa" w:w="200"/>
              <w:bottom w:type="dxa" w:w="140"/>
              <w:right w:type="dxa" w:w="200"/>
            </w:tcMar>
          </w:tcPr>
          <w:p>
            <w:pPr>
              <w:spacing w:after="100" w:line="276"/>
            </w:pPr>
            <w:r>
              <w:rPr>
                <w:rFonts w:ascii="Calibri" w:cs="Calibri" w:eastAsia="Calibri" w:hAnsi="Calibri"/>
                <w:b/>
                <w:bCs/>
                <w:color w:val="1F3864"/>
                <w:sz w:val="21"/>
                <w:szCs w:val="21"/>
              </w:rPr>
              <w:t xml:space="preserve">Implicancia sobre el modelo de datos</w:t>
            </w:r>
          </w:p>
          <w:p>
            <w:pPr>
              <w:spacing w:after="100" w:line="276"/>
            </w:pPr>
            <w:r>
              <w:rPr>
                <w:rFonts w:ascii="Calibri" w:cs="Calibri" w:eastAsia="Calibri" w:hAnsi="Calibri"/>
                <w:sz w:val="21"/>
                <w:szCs w:val="21"/>
              </w:rPr>
              <w:t xml:space="preserve">Soportar recurrencia obliga a separar la entidad «hallazgo persistente» de la entidad «ciclo de remediación». El par activo-advisory es persistente; los ciclos son varios y cada uno tiene sus propios timestamps. Un modelo que guarda los timestamps directamente en el hallazgo solo puede representar un ciclo y sobrescribe la historia en cada reapertura.</w:t>
            </w:r>
          </w:p>
          <w:p>
            <w:pPr>
              <w:spacing w:after="0" w:line="276"/>
            </w:pPr>
            <w:r>
              <w:rPr>
                <w:rFonts w:ascii="Calibri" w:cs="Calibri" w:eastAsia="Calibri" w:hAnsi="Calibri"/>
                <w:sz w:val="21"/>
                <w:szCs w:val="21"/>
              </w:rPr>
              <w:t xml:space="preserve">Es una decisión de modelado que conviene tomar temprano: migrar después obliga a rehacer todas las consultas de métricas.</w:t>
            </w:r>
          </w:p>
        </w:tc>
      </w:tr>
    </w:tbl>
    <w:p>
      <w:pPr>
        <w:pStyle w:val="Heading1"/>
        <w:pBdr>
          <w:bottom w:val="single" w:color="1F3864" w:sz="8" w:space="6"/>
        </w:pBdr>
        <w:spacing w:after="160" w:before="340"/>
      </w:pPr>
      <w:r>
        <w:rPr>
          <w:rFonts w:ascii="Calibri" w:cs="Calibri" w:eastAsia="Calibri" w:hAnsi="Calibri"/>
          <w:b/>
          <w:bCs/>
          <w:color w:val="1F3864"/>
          <w:sz w:val="30"/>
          <w:szCs w:val="30"/>
        </w:rPr>
        <w:t xml:space="preserve">10. Componente F — Registro de auditoría</w:t>
      </w:r>
    </w:p>
    <w:p>
      <w:pPr>
        <w:spacing w:after="120" w:before="0" w:line="276"/>
      </w:pPr>
      <w:r>
        <w:rPr>
          <w:rFonts w:ascii="Calibri" w:cs="Calibri" w:eastAsia="Calibri" w:hAnsi="Calibri"/>
          <w:sz w:val="21"/>
          <w:szCs w:val="21"/>
        </w:rPr>
        <w:t xml:space="preserve">Los cinco componentes anteriores describen qué debe registrar el sistema. Este describe cómo debe conservarlo, y es lo que vuelve auditable a todo lo demás.</w:t>
      </w:r>
    </w:p>
    <w:p>
      <w:pPr>
        <w:spacing w:after="120" w:before="0" w:line="276"/>
      </w:pPr>
      <w:r>
        <w:rPr>
          <w:rFonts w:ascii="Calibri" w:cs="Calibri" w:eastAsia="Calibri" w:hAnsi="Calibri"/>
          <w:sz w:val="21"/>
          <w:szCs w:val="21"/>
        </w:rPr>
        <w:t xml:space="preserve">El principio es que el historial de eventos sea una entidad de primer orden del modelo y no un efecto secundario del estado actual. Cada transición debe generar un registro propio con el estado anterior, el nuevo, el momento, el actor que la produjo, el tipo de disparador —humano, escáner, política automática— y la referencia a la evidencia asociada.</w:t>
      </w:r>
    </w:p>
    <w:p>
      <w:pPr>
        <w:spacing w:after="60"/>
      </w:pPr>
    </w:p>
    <w:tbl>
      <w:tblPr>
        <w:tblW w:type="dxa" w:w="9360"/>
        <w:tblBorders>
          <w:top w:val="none"/>
          <w:left w:val="single" w:color="2E5C8A" w:sz="18"/>
          <w:bottom w:val="none"/>
          <w:right w:val="none"/>
          <w:insideH w:val="none"/>
          <w:insideV w:val="none"/>
        </w:tblBorders>
      </w:tblPr>
      <w:tblGrid>
        <w:gridCol w:w="9360"/>
      </w:tblGrid>
      <w:tr>
        <w:tc>
          <w:tcPr>
            <w:tcW w:type="dxa" w:w="9360"/>
            <w:shd w:fill="EEF2F7" w:val="clear"/>
            <w:tcMar>
              <w:top w:type="dxa" w:w="140"/>
              <w:left w:type="dxa" w:w="200"/>
              <w:bottom w:type="dxa" w:w="140"/>
              <w:right w:type="dxa" w:w="200"/>
            </w:tcMar>
          </w:tcPr>
          <w:p>
            <w:pPr>
              <w:spacing w:after="100" w:line="276"/>
            </w:pPr>
            <w:r>
              <w:rPr>
                <w:rFonts w:ascii="Calibri" w:cs="Calibri" w:eastAsia="Calibri" w:hAnsi="Calibri"/>
                <w:b/>
                <w:bCs/>
                <w:color w:val="1F3864"/>
                <w:sz w:val="21"/>
                <w:szCs w:val="21"/>
              </w:rPr>
              <w:t xml:space="preserve">La propiedad clave: el historial no se sobrescribe</w:t>
            </w:r>
          </w:p>
          <w:p>
            <w:pPr>
              <w:spacing w:after="0" w:line="276"/>
            </w:pPr>
            <w:r>
              <w:rPr>
                <w:rFonts w:ascii="Calibri" w:cs="Calibri" w:eastAsia="Calibri" w:hAnsi="Calibri"/>
                <w:sz w:val="21"/>
                <w:szCs w:val="21"/>
              </w:rPr>
              <w:t xml:space="preserve">Un análisis posterior nunca reemplaza uno anterior: lo agrega. El historial sobrevive incluso cuando el hallazgo deja de estar activo. Esto permite reconstruir la secuencia completa de decisiones y es la única forma de auditar tanto errores como cambios indebidos.</w:t>
            </w:r>
          </w:p>
        </w:tc>
      </w:tr>
    </w:tbl>
    <w:p>
      <w:pPr>
        <w:spacing w:after="120" w:before="0" w:line="276"/>
      </w:pPr>
      <w:r>
        <w:rPr>
          <w:rFonts w:ascii="Calibri" w:cs="Calibri" w:eastAsia="Calibri" w:hAnsi="Calibri"/>
          <w:sz w:val="21"/>
          <w:szCs w:val="21"/>
        </w:rPr>
        <w:t xml:space="preserve">Sin este componente se pierden tres cosas: el tiempo de permanencia en cada estado, que es lo que identifica los cuellos de botella del proceso; la capacidad de reconstruir métricas históricas cuando cambia la definición de una métrica; y la trazabilidad exigida por cualquier marco de cumplimiento.</w:t>
      </w:r>
    </w:p>
    <w:p>
      <w:pPr>
        <w:spacing w:after="120" w:before="0" w:line="276"/>
      </w:pPr>
      <w:r>
        <w:rPr>
          <w:rFonts w:ascii="Calibri" w:cs="Calibri" w:eastAsia="Calibri" w:hAnsi="Calibri"/>
          <w:sz w:val="21"/>
          <w:szCs w:val="21"/>
        </w:rPr>
        <w:t xml:space="preserve">La distinción entre el actor humano y el proceso automático merece un campo propio. Saber que un cierre lo produjo una política automática y no una persona cambia por completo el valor probatorio del registro.</w:t>
      </w:r>
    </w:p>
    <w:p>
      <w:pPr>
        <w:pStyle w:val="Heading1"/>
        <w:pBdr>
          <w:bottom w:val="single" w:color="1F3864" w:sz="8" w:space="6"/>
        </w:pBdr>
        <w:spacing w:after="160" w:before="340"/>
      </w:pPr>
      <w:r>
        <w:rPr>
          <w:rFonts w:ascii="Calibri" w:cs="Calibri" w:eastAsia="Calibri" w:hAnsi="Calibri"/>
          <w:b/>
          <w:bCs/>
          <w:color w:val="1F3864"/>
          <w:sz w:val="30"/>
          <w:szCs w:val="30"/>
        </w:rPr>
        <w:t xml:space="preserve">11. Métricas</w:t>
      </w:r>
    </w:p>
    <w:p>
      <w:pPr>
        <w:pStyle w:val="Heading2"/>
        <w:spacing w:after="110" w:before="260"/>
      </w:pPr>
      <w:r>
        <w:rPr>
          <w:rFonts w:ascii="Calibri" w:cs="Calibri" w:eastAsia="Calibri" w:hAnsi="Calibri"/>
          <w:b/>
          <w:bCs/>
          <w:color w:val="2E5C8A"/>
          <w:sz w:val="25"/>
          <w:szCs w:val="25"/>
        </w:rPr>
        <w:t xml:space="preserve">11.1 Tres familias que no deben mezclarse</w:t>
      </w:r>
    </w:p>
    <w:p>
      <w:pPr>
        <w:spacing w:after="120" w:before="0" w:line="276"/>
      </w:pPr>
      <w:r>
        <w:rPr>
          <w:rFonts w:ascii="Calibri" w:cs="Calibri" w:eastAsia="Calibri" w:hAnsi="Calibri"/>
          <w:sz w:val="21"/>
          <w:szCs w:val="21"/>
        </w:rPr>
        <w:t xml:space="preserve">Antes de la tabla de dependencias conviene una clasificación, porque presentar métricas de familias distintas como si fueran comparables es un error metodológico frecuente.</w:t>
      </w:r>
    </w:p>
    <w:p>
      <w:pPr>
        <w:spacing w:after="60"/>
      </w:pPr>
    </w:p>
    <w:tbl>
      <w:tblPr>
        <w:tblW w:type="dxa" w:w="9360"/>
        <w:tblBorders>
          <w:top w:val="single" w:color="C9D3E0" w:sz="4"/>
          <w:left w:val="single" w:color="C9D3E0" w:sz="4"/>
          <w:bottom w:val="single" w:color="C9D3E0" w:sz="4"/>
          <w:right w:val="single" w:color="C9D3E0" w:sz="4"/>
          <w:insideH w:val="single" w:color="DDE4ED" w:sz="2"/>
          <w:insideV w:val="single" w:color="DDE4ED" w:sz="2"/>
        </w:tblBorders>
      </w:tblPr>
      <w:tblGrid>
        <w:gridCol w:w="1600"/>
        <w:gridCol w:w="2300"/>
        <w:gridCol w:w="3300"/>
        <w:gridCol w:w="2160"/>
      </w:tblGrid>
      <w:tr>
        <w:trPr>
          <w:tblHeader/>
        </w:trPr>
        <w:tc>
          <w:tcPr>
            <w:tcW w:type="dxa" w:w="1600"/>
            <w:shd w:fill="1F3864" w:val="clear"/>
            <w:tcMar>
              <w:top w:type="dxa" w:w="90"/>
              <w:left w:type="dxa" w:w="110"/>
              <w:bottom w:type="dxa" w:w="90"/>
              <w:right w:type="dxa" w:w="110"/>
            </w:tcMar>
          </w:tcPr>
          <w:p>
            <w:pPr>
              <w:spacing w:after="0"/>
            </w:pPr>
            <w:r>
              <w:rPr>
                <w:rFonts w:ascii="Calibri" w:cs="Calibri" w:eastAsia="Calibri" w:hAnsi="Calibri"/>
                <w:b/>
                <w:bCs/>
                <w:color w:val="FFFFFF"/>
                <w:sz w:val="19"/>
                <w:szCs w:val="19"/>
              </w:rPr>
              <w:t xml:space="preserve">Familia</w:t>
            </w:r>
          </w:p>
        </w:tc>
        <w:tc>
          <w:tcPr>
            <w:tcW w:type="dxa" w:w="2300"/>
            <w:shd w:fill="1F3864" w:val="clear"/>
            <w:tcMar>
              <w:top w:type="dxa" w:w="90"/>
              <w:left w:type="dxa" w:w="110"/>
              <w:bottom w:type="dxa" w:w="90"/>
              <w:right w:type="dxa" w:w="110"/>
            </w:tcMar>
          </w:tcPr>
          <w:p>
            <w:pPr>
              <w:spacing w:after="0"/>
            </w:pPr>
            <w:r>
              <w:rPr>
                <w:rFonts w:ascii="Calibri" w:cs="Calibri" w:eastAsia="Calibri" w:hAnsi="Calibri"/>
                <w:b/>
                <w:bCs/>
                <w:color w:val="FFFFFF"/>
                <w:sz w:val="19"/>
                <w:szCs w:val="19"/>
              </w:rPr>
              <w:t xml:space="preserve">Qué mide</w:t>
            </w:r>
          </w:p>
        </w:tc>
        <w:tc>
          <w:tcPr>
            <w:tcW w:type="dxa" w:w="3300"/>
            <w:shd w:fill="1F3864" w:val="clear"/>
            <w:tcMar>
              <w:top w:type="dxa" w:w="90"/>
              <w:left w:type="dxa" w:w="110"/>
              <w:bottom w:type="dxa" w:w="90"/>
              <w:right w:type="dxa" w:w="110"/>
            </w:tcMar>
          </w:tcPr>
          <w:p>
            <w:pPr>
              <w:spacing w:after="0"/>
            </w:pPr>
            <w:r>
              <w:rPr>
                <w:rFonts w:ascii="Calibri" w:cs="Calibri" w:eastAsia="Calibri" w:hAnsi="Calibri"/>
                <w:b/>
                <w:bCs/>
                <w:color w:val="FFFFFF"/>
                <w:sz w:val="19"/>
                <w:szCs w:val="19"/>
              </w:rPr>
              <w:t xml:space="preserve">Ejemplos</w:t>
            </w:r>
          </w:p>
        </w:tc>
        <w:tc>
          <w:tcPr>
            <w:tcW w:type="dxa" w:w="2160"/>
            <w:shd w:fill="1F3864" w:val="clear"/>
            <w:tcMar>
              <w:top w:type="dxa" w:w="90"/>
              <w:left w:type="dxa" w:w="110"/>
              <w:bottom w:type="dxa" w:w="90"/>
              <w:right w:type="dxa" w:w="110"/>
            </w:tcMar>
          </w:tcPr>
          <w:p>
            <w:pPr>
              <w:spacing w:after="0"/>
            </w:pPr>
            <w:r>
              <w:rPr>
                <w:rFonts w:ascii="Calibri" w:cs="Calibri" w:eastAsia="Calibri" w:hAnsi="Calibri"/>
                <w:b/>
                <w:bCs/>
                <w:color w:val="FFFFFF"/>
                <w:sz w:val="19"/>
                <w:szCs w:val="19"/>
              </w:rPr>
              <w:t xml:space="preserve">Qué NO demuestra</w:t>
            </w:r>
          </w:p>
        </w:tc>
      </w:tr>
      <w:tr>
        <w:tc>
          <w:tcPr>
            <w:tcW w:type="dxa" w:w="1600"/>
            <w:tcMar>
              <w:top w:type="dxa" w:w="80"/>
              <w:left w:type="dxa" w:w="110"/>
              <w:bottom w:type="dxa" w:w="80"/>
              <w:right w:type="dxa" w:w="110"/>
            </w:tcMar>
          </w:tcPr>
          <w:p>
            <w:pPr>
              <w:spacing w:after="0" w:line="250"/>
            </w:pPr>
            <w:r>
              <w:rPr>
                <w:rFonts w:ascii="Calibri" w:cs="Calibri" w:eastAsia="Calibri" w:hAnsi="Calibri"/>
                <w:b/>
                <w:bCs/>
                <w:sz w:val="18"/>
                <w:szCs w:val="18"/>
              </w:rPr>
              <w:t xml:space="preserve">Actividad</w:t>
            </w:r>
          </w:p>
        </w:tc>
        <w:tc>
          <w:tcPr>
            <w:tcW w:type="dxa" w:w="230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Lo que el proceso hizo.</w:t>
            </w:r>
          </w:p>
        </w:tc>
        <w:tc>
          <w:tcPr>
            <w:tcW w:type="dxa" w:w="330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Casos creados, asignados, cerrados; parches desplegados.</w:t>
            </w:r>
          </w:p>
        </w:tc>
        <w:tc>
          <w:tcPr>
            <w:tcW w:type="dxa" w:w="216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No demuestra reducción de exposición.</w:t>
            </w:r>
          </w:p>
        </w:tc>
      </w:tr>
      <w:tr>
        <w:tc>
          <w:tcPr>
            <w:tcW w:type="dxa" w:w="1600"/>
            <w:shd w:fill="F6F8FB" w:val="clear"/>
            <w:tcMar>
              <w:top w:type="dxa" w:w="80"/>
              <w:left w:type="dxa" w:w="110"/>
              <w:bottom w:type="dxa" w:w="80"/>
              <w:right w:type="dxa" w:w="110"/>
            </w:tcMar>
          </w:tcPr>
          <w:p>
            <w:pPr>
              <w:spacing w:after="0" w:line="250"/>
            </w:pPr>
            <w:r>
              <w:rPr>
                <w:rFonts w:ascii="Calibri" w:cs="Calibri" w:eastAsia="Calibri" w:hAnsi="Calibri"/>
                <w:b/>
                <w:bCs/>
                <w:sz w:val="18"/>
                <w:szCs w:val="18"/>
              </w:rPr>
              <w:t xml:space="preserve">Resultado observado</w:t>
            </w:r>
          </w:p>
        </w:tc>
        <w:tc>
          <w:tcPr>
            <w:tcW w:type="dxa" w:w="2300"/>
            <w:shd w:fill="F6F8FB" w:val="clear"/>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Cambios comprobados en la exposición.</w:t>
            </w:r>
          </w:p>
        </w:tc>
        <w:tc>
          <w:tcPr>
            <w:tcW w:type="dxa" w:w="3300"/>
            <w:shd w:fill="F6F8FB" w:val="clear"/>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Hallazgos que dejaron de detectarse; activos que pasaron de vulnerable a no vulnerable.</w:t>
            </w:r>
          </w:p>
        </w:tc>
        <w:tc>
          <w:tcPr>
            <w:tcW w:type="dxa" w:w="2160"/>
            <w:shd w:fill="F6F8FB" w:val="clear"/>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No demuestra reducción de riesgo, que depende del contexto.</w:t>
            </w:r>
          </w:p>
        </w:tc>
      </w:tr>
      <w:tr>
        <w:tc>
          <w:tcPr>
            <w:tcW w:type="dxa" w:w="1600"/>
            <w:tcMar>
              <w:top w:type="dxa" w:w="80"/>
              <w:left w:type="dxa" w:w="110"/>
              <w:bottom w:type="dxa" w:w="80"/>
              <w:right w:type="dxa" w:w="110"/>
            </w:tcMar>
          </w:tcPr>
          <w:p>
            <w:pPr>
              <w:spacing w:after="0" w:line="250"/>
            </w:pPr>
            <w:r>
              <w:rPr>
                <w:rFonts w:ascii="Calibri" w:cs="Calibri" w:eastAsia="Calibri" w:hAnsi="Calibri"/>
                <w:b/>
                <w:bCs/>
                <w:sz w:val="18"/>
                <w:szCs w:val="18"/>
              </w:rPr>
              <w:t xml:space="preserve">Riesgo</w:t>
            </w:r>
          </w:p>
        </w:tc>
        <w:tc>
          <w:tcPr>
            <w:tcW w:type="dxa" w:w="230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Cambio estimado en el riesgo.</w:t>
            </w:r>
          </w:p>
        </w:tc>
        <w:tc>
          <w:tcPr>
            <w:tcW w:type="dxa" w:w="330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Diferencia de exposición ponderada por criticidad y probabilidad.</w:t>
            </w:r>
          </w:p>
        </w:tc>
        <w:tc>
          <w:tcPr>
            <w:tcW w:type="dxa" w:w="216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Depende de supuestos que deben declararse.</w:t>
            </w:r>
          </w:p>
        </w:tc>
      </w:tr>
    </w:tbl>
    <w:p>
      <w:pPr>
        <w:spacing w:after="140"/>
      </w:pPr>
    </w:p>
    <w:p>
      <w:pPr>
        <w:spacing w:after="120" w:before="0" w:line="276"/>
      </w:pPr>
      <w:r>
        <w:rPr>
          <w:rFonts w:ascii="Calibri" w:cs="Calibri" w:eastAsia="Calibri" w:hAnsi="Calibri"/>
          <w:sz w:val="21"/>
          <w:szCs w:val="21"/>
        </w:rPr>
        <w:t xml:space="preserve">Las de actividad son las más fáciles de calcular y las menos concluyentes. Las de riesgo son las más ambiciosas y las que más supuestos requieren. Un trabajo riguroso declara a qué familia pertenece cada métrica que reporta.</w:t>
      </w:r>
    </w:p>
    <w:p>
      <w:pPr>
        <w:pStyle w:val="Heading2"/>
        <w:spacing w:after="110" w:before="260"/>
      </w:pPr>
      <w:r>
        <w:rPr>
          <w:rFonts w:ascii="Calibri" w:cs="Calibri" w:eastAsia="Calibri" w:hAnsi="Calibri"/>
          <w:b/>
          <w:bCs/>
          <w:color w:val="2E5C8A"/>
          <w:sz w:val="25"/>
          <w:szCs w:val="25"/>
        </w:rPr>
        <w:t xml:space="preserve">11.2 Tabla de dependencias</w:t>
      </w:r>
    </w:p>
    <w:p>
      <w:pPr>
        <w:spacing w:after="60"/>
      </w:pPr>
    </w:p>
    <w:tbl>
      <w:tblPr>
        <w:tblW w:type="dxa" w:w="9360"/>
        <w:tblBorders>
          <w:top w:val="single" w:color="C9D3E0" w:sz="4"/>
          <w:left w:val="single" w:color="C9D3E0" w:sz="4"/>
          <w:bottom w:val="single" w:color="C9D3E0" w:sz="4"/>
          <w:right w:val="single" w:color="C9D3E0" w:sz="4"/>
          <w:insideH w:val="single" w:color="DDE4ED" w:sz="2"/>
          <w:insideV w:val="single" w:color="DDE4ED" w:sz="2"/>
        </w:tblBorders>
      </w:tblPr>
      <w:tblGrid>
        <w:gridCol w:w="2300"/>
        <w:gridCol w:w="3700"/>
        <w:gridCol w:w="3360"/>
      </w:tblGrid>
      <w:tr>
        <w:trPr>
          <w:tblHeader/>
        </w:trPr>
        <w:tc>
          <w:tcPr>
            <w:tcW w:type="dxa" w:w="2300"/>
            <w:shd w:fill="1F3864" w:val="clear"/>
            <w:tcMar>
              <w:top w:type="dxa" w:w="90"/>
              <w:left w:type="dxa" w:w="110"/>
              <w:bottom w:type="dxa" w:w="90"/>
              <w:right w:type="dxa" w:w="110"/>
            </w:tcMar>
          </w:tcPr>
          <w:p>
            <w:pPr>
              <w:spacing w:after="0"/>
            </w:pPr>
            <w:r>
              <w:rPr>
                <w:rFonts w:ascii="Calibri" w:cs="Calibri" w:eastAsia="Calibri" w:hAnsi="Calibri"/>
                <w:b/>
                <w:bCs/>
                <w:color w:val="FFFFFF"/>
                <w:sz w:val="19"/>
                <w:szCs w:val="19"/>
              </w:rPr>
              <w:t xml:space="preserve">Métrica</w:t>
            </w:r>
          </w:p>
        </w:tc>
        <w:tc>
          <w:tcPr>
            <w:tcW w:type="dxa" w:w="3700"/>
            <w:shd w:fill="1F3864" w:val="clear"/>
            <w:tcMar>
              <w:top w:type="dxa" w:w="90"/>
              <w:left w:type="dxa" w:w="110"/>
              <w:bottom w:type="dxa" w:w="90"/>
              <w:right w:type="dxa" w:w="110"/>
            </w:tcMar>
          </w:tcPr>
          <w:p>
            <w:pPr>
              <w:spacing w:after="0"/>
            </w:pPr>
            <w:r>
              <w:rPr>
                <w:rFonts w:ascii="Calibri" w:cs="Calibri" w:eastAsia="Calibri" w:hAnsi="Calibri"/>
                <w:b/>
                <w:bCs/>
                <w:color w:val="FFFFFF"/>
                <w:sz w:val="19"/>
                <w:szCs w:val="19"/>
              </w:rPr>
              <w:t xml:space="preserve">Definición</w:t>
            </w:r>
          </w:p>
        </w:tc>
        <w:tc>
          <w:tcPr>
            <w:tcW w:type="dxa" w:w="3360"/>
            <w:shd w:fill="1F3864" w:val="clear"/>
            <w:tcMar>
              <w:top w:type="dxa" w:w="90"/>
              <w:left w:type="dxa" w:w="110"/>
              <w:bottom w:type="dxa" w:w="90"/>
              <w:right w:type="dxa" w:w="110"/>
            </w:tcMar>
          </w:tcPr>
          <w:p>
            <w:pPr>
              <w:spacing w:after="0"/>
            </w:pPr>
            <w:r>
              <w:rPr>
                <w:rFonts w:ascii="Calibri" w:cs="Calibri" w:eastAsia="Calibri" w:hAnsi="Calibri"/>
                <w:b/>
                <w:bCs/>
                <w:color w:val="FFFFFF"/>
                <w:sz w:val="19"/>
                <w:szCs w:val="19"/>
              </w:rPr>
              <w:t xml:space="preserve">Componentes que exige</w:t>
            </w:r>
          </w:p>
        </w:tc>
      </w:tr>
      <w:tr>
        <w:tc>
          <w:tcPr>
            <w:tcW w:type="dxa" w:w="2300"/>
            <w:tcMar>
              <w:top w:type="dxa" w:w="80"/>
              <w:left w:type="dxa" w:w="110"/>
              <w:bottom w:type="dxa" w:w="80"/>
              <w:right w:type="dxa" w:w="110"/>
            </w:tcMar>
          </w:tcPr>
          <w:p>
            <w:pPr>
              <w:spacing w:after="0" w:line="250"/>
            </w:pPr>
            <w:r>
              <w:rPr>
                <w:rFonts w:ascii="Calibri" w:cs="Calibri" w:eastAsia="Calibri" w:hAnsi="Calibri"/>
                <w:b/>
                <w:bCs/>
                <w:sz w:val="18"/>
                <w:szCs w:val="18"/>
              </w:rPr>
              <w:t xml:space="preserve">MTTD — tiempo medio de detección</w:t>
            </w:r>
          </w:p>
        </w:tc>
        <w:tc>
          <w:tcPr>
            <w:tcW w:type="dxa" w:w="370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Entre la publicación del advisory y la correlación con el activo propio.</w:t>
            </w:r>
          </w:p>
        </w:tc>
        <w:tc>
          <w:tcPr>
            <w:tcW w:type="dxa" w:w="336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Fecha de publicación de la fuente y timestamp de correlación.</w:t>
            </w:r>
          </w:p>
        </w:tc>
      </w:tr>
      <w:tr>
        <w:tc>
          <w:tcPr>
            <w:tcW w:type="dxa" w:w="2300"/>
            <w:shd w:fill="F6F8FB" w:val="clear"/>
            <w:tcMar>
              <w:top w:type="dxa" w:w="80"/>
              <w:left w:type="dxa" w:w="110"/>
              <w:bottom w:type="dxa" w:w="80"/>
              <w:right w:type="dxa" w:w="110"/>
            </w:tcMar>
          </w:tcPr>
          <w:p>
            <w:pPr>
              <w:spacing w:after="0" w:line="250"/>
            </w:pPr>
            <w:r>
              <w:rPr>
                <w:rFonts w:ascii="Calibri" w:cs="Calibri" w:eastAsia="Calibri" w:hAnsi="Calibri"/>
                <w:b/>
                <w:bCs/>
                <w:sz w:val="18"/>
                <w:szCs w:val="18"/>
              </w:rPr>
              <w:t xml:space="preserve">Tiempo medio de reconocimiento</w:t>
            </w:r>
          </w:p>
        </w:tc>
        <w:tc>
          <w:tcPr>
            <w:tcW w:type="dxa" w:w="3700"/>
            <w:shd w:fill="F6F8FB" w:val="clear"/>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Entre la detección y el primer triage humano.</w:t>
            </w:r>
          </w:p>
        </w:tc>
        <w:tc>
          <w:tcPr>
            <w:tcW w:type="dxa" w:w="3360"/>
            <w:shd w:fill="F6F8FB" w:val="clear"/>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Estado intermedio con timestamp propio (B).</w:t>
            </w:r>
          </w:p>
        </w:tc>
      </w:tr>
      <w:tr>
        <w:tc>
          <w:tcPr>
            <w:tcW w:type="dxa" w:w="2300"/>
            <w:tcMar>
              <w:top w:type="dxa" w:w="80"/>
              <w:left w:type="dxa" w:w="110"/>
              <w:bottom w:type="dxa" w:w="80"/>
              <w:right w:type="dxa" w:w="110"/>
            </w:tcMar>
          </w:tcPr>
          <w:p>
            <w:pPr>
              <w:spacing w:after="0" w:line="250"/>
            </w:pPr>
            <w:r>
              <w:rPr>
                <w:rFonts w:ascii="Calibri" w:cs="Calibri" w:eastAsia="Calibri" w:hAnsi="Calibri"/>
                <w:b/>
                <w:bCs/>
                <w:sz w:val="18"/>
                <w:szCs w:val="18"/>
              </w:rPr>
              <w:t xml:space="preserve">Tiempo de gestión</w:t>
            </w:r>
          </w:p>
        </w:tc>
        <w:tc>
          <w:tcPr>
            <w:tcW w:type="dxa" w:w="370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Entre la detección y la declaración de resolución.</w:t>
            </w:r>
          </w:p>
        </w:tc>
        <w:tc>
          <w:tcPr>
            <w:tcW w:type="dxa" w:w="336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Máquina de estados (B). Nivel 1 de madurez.</w:t>
            </w:r>
          </w:p>
        </w:tc>
      </w:tr>
      <w:tr>
        <w:tc>
          <w:tcPr>
            <w:tcW w:type="dxa" w:w="2300"/>
            <w:shd w:fill="F6F8FB" w:val="clear"/>
            <w:tcMar>
              <w:top w:type="dxa" w:w="80"/>
              <w:left w:type="dxa" w:w="110"/>
              <w:bottom w:type="dxa" w:w="80"/>
              <w:right w:type="dxa" w:w="110"/>
            </w:tcMar>
          </w:tcPr>
          <w:p>
            <w:pPr>
              <w:spacing w:after="0" w:line="250"/>
            </w:pPr>
            <w:r>
              <w:rPr>
                <w:rFonts w:ascii="Calibri" w:cs="Calibri" w:eastAsia="Calibri" w:hAnsi="Calibri"/>
                <w:b/>
                <w:bCs/>
                <w:sz w:val="18"/>
                <w:szCs w:val="18"/>
              </w:rPr>
              <w:t xml:space="preserve">MTTR — tiempo medio de remediación</w:t>
            </w:r>
          </w:p>
        </w:tc>
        <w:tc>
          <w:tcPr>
            <w:tcW w:type="dxa" w:w="3700"/>
            <w:shd w:fill="F6F8FB" w:val="clear"/>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Entre la detección y la verificación de que la condición cesó.</w:t>
            </w:r>
          </w:p>
        </w:tc>
        <w:tc>
          <w:tcPr>
            <w:tcW w:type="dxa" w:w="3360"/>
            <w:shd w:fill="F6F8FB" w:val="clear"/>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Verificación (D) nivel 3 o superior, más identidad estable (A).</w:t>
            </w:r>
          </w:p>
        </w:tc>
      </w:tr>
      <w:tr>
        <w:tc>
          <w:tcPr>
            <w:tcW w:type="dxa" w:w="2300"/>
            <w:tcMar>
              <w:top w:type="dxa" w:w="80"/>
              <w:left w:type="dxa" w:w="110"/>
              <w:bottom w:type="dxa" w:w="80"/>
              <w:right w:type="dxa" w:w="110"/>
            </w:tcMar>
          </w:tcPr>
          <w:p>
            <w:pPr>
              <w:spacing w:after="0" w:line="250"/>
            </w:pPr>
            <w:r>
              <w:rPr>
                <w:rFonts w:ascii="Calibri" w:cs="Calibri" w:eastAsia="Calibri" w:hAnsi="Calibri"/>
                <w:b/>
                <w:bCs/>
                <w:sz w:val="18"/>
                <w:szCs w:val="18"/>
              </w:rPr>
              <w:t xml:space="preserve">Tiempo medio de verificación</w:t>
            </w:r>
          </w:p>
        </w:tc>
        <w:tc>
          <w:tcPr>
            <w:tcW w:type="dxa" w:w="370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Entre la declaración y la comprobación.</w:t>
            </w:r>
          </w:p>
        </w:tc>
        <w:tc>
          <w:tcPr>
            <w:tcW w:type="dxa" w:w="336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Los dos momentos registrados por separado (B y D).</w:t>
            </w:r>
          </w:p>
        </w:tc>
      </w:tr>
      <w:tr>
        <w:tc>
          <w:tcPr>
            <w:tcW w:type="dxa" w:w="2300"/>
            <w:shd w:fill="F6F8FB" w:val="clear"/>
            <w:tcMar>
              <w:top w:type="dxa" w:w="80"/>
              <w:left w:type="dxa" w:w="110"/>
              <w:bottom w:type="dxa" w:w="80"/>
              <w:right w:type="dxa" w:w="110"/>
            </w:tcMar>
          </w:tcPr>
          <w:p>
            <w:pPr>
              <w:spacing w:after="0" w:line="250"/>
            </w:pPr>
            <w:r>
              <w:rPr>
                <w:rFonts w:ascii="Calibri" w:cs="Calibri" w:eastAsia="Calibri" w:hAnsi="Calibri"/>
                <w:b/>
                <w:bCs/>
                <w:sz w:val="18"/>
                <w:szCs w:val="18"/>
              </w:rPr>
              <w:t xml:space="preserve">Tasa de eficacia de remediación</w:t>
            </w:r>
          </w:p>
        </w:tc>
        <w:tc>
          <w:tcPr>
            <w:tcW w:type="dxa" w:w="3700"/>
            <w:shd w:fill="F6F8FB" w:val="clear"/>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Proporción de remediaciones declaradas que la verificación confirma.</w:t>
            </w:r>
          </w:p>
        </w:tc>
        <w:tc>
          <w:tcPr>
            <w:tcW w:type="dxa" w:w="3360"/>
            <w:shd w:fill="F6F8FB" w:val="clear"/>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Ambos timestamps y el registro de verificaciones fallidas (D y F).</w:t>
            </w:r>
          </w:p>
        </w:tc>
      </w:tr>
      <w:tr>
        <w:tc>
          <w:tcPr>
            <w:tcW w:type="dxa" w:w="2300"/>
            <w:tcMar>
              <w:top w:type="dxa" w:w="80"/>
              <w:left w:type="dxa" w:w="110"/>
              <w:bottom w:type="dxa" w:w="80"/>
              <w:right w:type="dxa" w:w="110"/>
            </w:tcMar>
          </w:tcPr>
          <w:p>
            <w:pPr>
              <w:spacing w:after="0" w:line="250"/>
            </w:pPr>
            <w:r>
              <w:rPr>
                <w:rFonts w:ascii="Calibri" w:cs="Calibri" w:eastAsia="Calibri" w:hAnsi="Calibri"/>
                <w:b/>
                <w:bCs/>
                <w:sz w:val="18"/>
                <w:szCs w:val="18"/>
              </w:rPr>
              <w:t xml:space="preserve">Cumplimiento de plazo</w:t>
            </w:r>
          </w:p>
        </w:tc>
        <w:tc>
          <w:tcPr>
            <w:tcW w:type="dxa" w:w="370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Proporción de casos remediados dentro de su fecha límite.</w:t>
            </w:r>
          </w:p>
        </w:tc>
        <w:tc>
          <w:tcPr>
            <w:tcW w:type="dxa" w:w="336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Plazos con criterio (C) más verificación (D). Exige definir el denominador.</w:t>
            </w:r>
          </w:p>
        </w:tc>
      </w:tr>
      <w:tr>
        <w:tc>
          <w:tcPr>
            <w:tcW w:type="dxa" w:w="2300"/>
            <w:shd w:fill="F6F8FB" w:val="clear"/>
            <w:tcMar>
              <w:top w:type="dxa" w:w="80"/>
              <w:left w:type="dxa" w:w="110"/>
              <w:bottom w:type="dxa" w:w="80"/>
              <w:right w:type="dxa" w:w="110"/>
            </w:tcMar>
          </w:tcPr>
          <w:p>
            <w:pPr>
              <w:spacing w:after="0" w:line="250"/>
            </w:pPr>
            <w:r>
              <w:rPr>
                <w:rFonts w:ascii="Calibri" w:cs="Calibri" w:eastAsia="Calibri" w:hAnsi="Calibri"/>
                <w:b/>
                <w:bCs/>
                <w:sz w:val="18"/>
                <w:szCs w:val="18"/>
              </w:rPr>
              <w:t xml:space="preserve">Tasa de recurrencia</w:t>
            </w:r>
          </w:p>
        </w:tc>
        <w:tc>
          <w:tcPr>
            <w:tcW w:type="dxa" w:w="3700"/>
            <w:shd w:fill="F6F8FB" w:val="clear"/>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Proporción de casos cerrados que reaparecen.</w:t>
            </w:r>
          </w:p>
        </w:tc>
        <w:tc>
          <w:tcPr>
            <w:tcW w:type="dxa" w:w="3360"/>
            <w:shd w:fill="F6F8FB" w:val="clear"/>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Detección de recurrencia (E) y ciclos separados.</w:t>
            </w:r>
          </w:p>
        </w:tc>
      </w:tr>
      <w:tr>
        <w:tc>
          <w:tcPr>
            <w:tcW w:type="dxa" w:w="2300"/>
            <w:tcMar>
              <w:top w:type="dxa" w:w="80"/>
              <w:left w:type="dxa" w:w="110"/>
              <w:bottom w:type="dxa" w:w="80"/>
              <w:right w:type="dxa" w:w="110"/>
            </w:tcMar>
          </w:tcPr>
          <w:p>
            <w:pPr>
              <w:spacing w:after="0" w:line="250"/>
            </w:pPr>
            <w:r>
              <w:rPr>
                <w:rFonts w:ascii="Calibri" w:cs="Calibri" w:eastAsia="Calibri" w:hAnsi="Calibri"/>
                <w:b/>
                <w:bCs/>
                <w:sz w:val="18"/>
                <w:szCs w:val="18"/>
              </w:rPr>
              <w:t xml:space="preserve">Tiempo de permanencia por estado</w:t>
            </w:r>
          </w:p>
        </w:tc>
        <w:tc>
          <w:tcPr>
            <w:tcW w:type="dxa" w:w="370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Cuánto tiempo pasa un caso en cada estado.</w:t>
            </w:r>
          </w:p>
        </w:tc>
        <w:tc>
          <w:tcPr>
            <w:tcW w:type="dxa" w:w="336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Historial de transiciones (F).</w:t>
            </w:r>
          </w:p>
        </w:tc>
      </w:tr>
      <w:tr>
        <w:tc>
          <w:tcPr>
            <w:tcW w:type="dxa" w:w="2300"/>
            <w:shd w:fill="F6F8FB" w:val="clear"/>
            <w:tcMar>
              <w:top w:type="dxa" w:w="80"/>
              <w:left w:type="dxa" w:w="110"/>
              <w:bottom w:type="dxa" w:w="80"/>
              <w:right w:type="dxa" w:w="110"/>
            </w:tcMar>
          </w:tcPr>
          <w:p>
            <w:pPr>
              <w:spacing w:after="0" w:line="250"/>
            </w:pPr>
            <w:r>
              <w:rPr>
                <w:rFonts w:ascii="Calibri" w:cs="Calibri" w:eastAsia="Calibri" w:hAnsi="Calibri"/>
                <w:b/>
                <w:bCs/>
                <w:sz w:val="18"/>
                <w:szCs w:val="18"/>
              </w:rPr>
              <w:t xml:space="preserve">Cobertura del escaneo</w:t>
            </w:r>
          </w:p>
        </w:tc>
        <w:tc>
          <w:tcPr>
            <w:tcW w:type="dxa" w:w="3700"/>
            <w:shd w:fill="F6F8FB" w:val="clear"/>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Proporción de activos en alcance efectivamente analizados.</w:t>
            </w:r>
          </w:p>
        </w:tc>
        <w:tc>
          <w:tcPr>
            <w:tcW w:type="dxa" w:w="3360"/>
            <w:shd w:fill="F6F8FB" w:val="clear"/>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Registro de cobertura (A).</w:t>
            </w:r>
          </w:p>
        </w:tc>
      </w:tr>
      <w:tr>
        <w:tc>
          <w:tcPr>
            <w:tcW w:type="dxa" w:w="2300"/>
            <w:tcMar>
              <w:top w:type="dxa" w:w="80"/>
              <w:left w:type="dxa" w:w="110"/>
              <w:bottom w:type="dxa" w:w="80"/>
              <w:right w:type="dxa" w:w="110"/>
            </w:tcMar>
          </w:tcPr>
          <w:p>
            <w:pPr>
              <w:spacing w:after="0" w:line="250"/>
            </w:pPr>
            <w:r>
              <w:rPr>
                <w:rFonts w:ascii="Calibri" w:cs="Calibri" w:eastAsia="Calibri" w:hAnsi="Calibri"/>
                <w:b/>
                <w:bCs/>
                <w:sz w:val="18"/>
                <w:szCs w:val="18"/>
              </w:rPr>
              <w:t xml:space="preserve">Capacidad de remediación</w:t>
            </w:r>
          </w:p>
        </w:tc>
        <w:tc>
          <w:tcPr>
            <w:tcW w:type="dxa" w:w="370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Proporción de casos abiertos que se cierran por período.</w:t>
            </w:r>
          </w:p>
        </w:tc>
        <w:tc>
          <w:tcPr>
            <w:tcW w:type="dxa" w:w="336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Serie temporal de aperturas y cierres.</w:t>
            </w:r>
          </w:p>
        </w:tc>
      </w:tr>
      <w:tr>
        <w:tc>
          <w:tcPr>
            <w:tcW w:type="dxa" w:w="2300"/>
            <w:shd w:fill="F6F8FB" w:val="clear"/>
            <w:tcMar>
              <w:top w:type="dxa" w:w="80"/>
              <w:left w:type="dxa" w:w="110"/>
              <w:bottom w:type="dxa" w:w="80"/>
              <w:right w:type="dxa" w:w="110"/>
            </w:tcMar>
          </w:tcPr>
          <w:p>
            <w:pPr>
              <w:spacing w:after="0" w:line="250"/>
            </w:pPr>
            <w:r>
              <w:rPr>
                <w:rFonts w:ascii="Calibri" w:cs="Calibri" w:eastAsia="Calibri" w:hAnsi="Calibri"/>
                <w:b/>
                <w:bCs/>
                <w:sz w:val="18"/>
                <w:szCs w:val="18"/>
              </w:rPr>
              <w:t xml:space="preserve">Curva de supervivencia</w:t>
            </w:r>
          </w:p>
        </w:tc>
        <w:tc>
          <w:tcPr>
            <w:tcW w:type="dxa" w:w="3700"/>
            <w:shd w:fill="F6F8FB" w:val="clear"/>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Proporción de casos que permanecen abiertos según el tiempo transcurrido.</w:t>
            </w:r>
          </w:p>
        </w:tc>
        <w:tc>
          <w:tcPr>
            <w:tcW w:type="dxa" w:w="3360"/>
            <w:shd w:fill="F6F8FB" w:val="clear"/>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Historial completo con población definida.</w:t>
            </w:r>
          </w:p>
        </w:tc>
      </w:tr>
    </w:tbl>
    <w:p>
      <w:pPr>
        <w:spacing w:after="140"/>
      </w:pPr>
    </w:p>
    <w:tbl>
      <w:tblPr>
        <w:tblW w:type="dxa" w:w="9360"/>
        <w:tblBorders>
          <w:top w:val="none"/>
          <w:left w:val="single" w:color="2E5C8A" w:sz="18"/>
          <w:bottom w:val="none"/>
          <w:right w:val="none"/>
          <w:insideH w:val="none"/>
          <w:insideV w:val="none"/>
        </w:tblBorders>
      </w:tblPr>
      <w:tblGrid>
        <w:gridCol w:w="9360"/>
      </w:tblGrid>
      <w:tr>
        <w:tc>
          <w:tcPr>
            <w:tcW w:type="dxa" w:w="9360"/>
            <w:shd w:fill="EEF2F7" w:val="clear"/>
            <w:tcMar>
              <w:top w:type="dxa" w:w="140"/>
              <w:left w:type="dxa" w:w="200"/>
              <w:bottom w:type="dxa" w:w="140"/>
              <w:right w:type="dxa" w:w="200"/>
            </w:tcMar>
          </w:tcPr>
          <w:p>
            <w:pPr>
              <w:spacing w:after="100" w:line="276"/>
            </w:pPr>
            <w:r>
              <w:rPr>
                <w:rFonts w:ascii="Calibri" w:cs="Calibri" w:eastAsia="Calibri" w:hAnsi="Calibri"/>
                <w:b/>
                <w:bCs/>
                <w:color w:val="1F3864"/>
                <w:sz w:val="21"/>
                <w:szCs w:val="21"/>
              </w:rPr>
              <w:t xml:space="preserve">La tasa de eficacia de remediación merece atención</w:t>
            </w:r>
          </w:p>
          <w:p>
            <w:pPr>
              <w:spacing w:after="0" w:line="276"/>
            </w:pPr>
            <w:r>
              <w:rPr>
                <w:rFonts w:ascii="Calibri" w:cs="Calibri" w:eastAsia="Calibri" w:hAnsi="Calibri"/>
                <w:sz w:val="21"/>
                <w:szCs w:val="21"/>
              </w:rPr>
              <w:t xml:space="preserve">Es la proporción entre remediaciones comprobadas y remediaciones declaradas. Mide el desfasaje entre lo que el equipo afirma y lo que el sistema verifica, y es una de las pocas métricas que evalúan la calidad del proceso en lugar de su velocidad. Requiere explícitamente los dos timestamps por separado, y por eso es imposible de calcular en un sistema de nivel 1 o 2.</w:t>
            </w:r>
          </w:p>
        </w:tc>
      </w:tr>
    </w:tbl>
    <w:p>
      <w:pPr>
        <w:pStyle w:val="Heading2"/>
        <w:spacing w:after="110" w:before="260"/>
      </w:pPr>
      <w:r>
        <w:rPr>
          <w:rFonts w:ascii="Calibri" w:cs="Calibri" w:eastAsia="Calibri" w:hAnsi="Calibri"/>
          <w:b/>
          <w:bCs/>
          <w:color w:val="2E5C8A"/>
          <w:sz w:val="25"/>
          <w:szCs w:val="25"/>
        </w:rPr>
        <w:t xml:space="preserve">11.3 El ancla del intervalo</w:t>
      </w:r>
    </w:p>
    <w:p>
      <w:pPr>
        <w:spacing w:after="120" w:before="0" w:line="276"/>
      </w:pPr>
      <w:r>
        <w:rPr>
          <w:rFonts w:ascii="Calibri" w:cs="Calibri" w:eastAsia="Calibri" w:hAnsi="Calibri"/>
          <w:sz w:val="21"/>
          <w:szCs w:val="21"/>
        </w:rPr>
        <w:t xml:space="preserve">«MTTR» sin definición del punto inicial es ambiguo. El inicio puede ser la publicación del advisory, la disponibilidad del parche, la primera detección, la creación del ticket o la asignación. Con un caso publicado el 1 de enero, detectado el 5, asignado el 6, parchado el 10 y verificado el 12: el intervalo desde publicación es de once días, desde detección siete, desde asignación seis. Los tres son correctos y miden cosas distintas.</w:t>
      </w:r>
    </w:p>
    <w:p>
      <w:pPr>
        <w:spacing w:after="120" w:before="0" w:line="276"/>
      </w:pPr>
      <w:r>
        <w:rPr>
          <w:rFonts w:ascii="Calibri" w:cs="Calibri" w:eastAsia="Calibri" w:hAnsi="Calibri"/>
          <w:sz w:val="21"/>
          <w:szCs w:val="21"/>
        </w:rPr>
        <w:t xml:space="preserve">Un sistema que solo tiene la fecha de creación y de cierre del ticket puede calcular el tiempo de ciclo del ticket, pero no necesariamente el tiempo de remediación de la vulnerabilidad: el ticket pudo crearse días después de la detección. Toda métrica de tiempo reportada debe declarar entre qué dos eventos se mide.</w:t>
      </w:r>
    </w:p>
    <w:p>
      <w:pPr>
        <w:pStyle w:val="Heading2"/>
        <w:spacing w:after="110" w:before="260"/>
      </w:pPr>
      <w:r>
        <w:rPr>
          <w:rFonts w:ascii="Calibri" w:cs="Calibri" w:eastAsia="Calibri" w:hAnsi="Calibri"/>
          <w:b/>
          <w:bCs/>
          <w:color w:val="2E5C8A"/>
          <w:sz w:val="25"/>
          <w:szCs w:val="25"/>
        </w:rPr>
        <w:t xml:space="preserve">11.4 La trampa del denominador</w:t>
      </w:r>
    </w:p>
    <w:p>
      <w:pPr>
        <w:spacing w:after="120" w:before="0" w:line="276"/>
      </w:pPr>
      <w:r>
        <w:rPr>
          <w:rFonts w:ascii="Calibri" w:cs="Calibri" w:eastAsia="Calibri" w:hAnsi="Calibri"/>
          <w:sz w:val="21"/>
          <w:szCs w:val="21"/>
        </w:rPr>
        <w:t xml:space="preserve">Más de la mitad de los problemas metodológicos en estas métricas no está en el numerador sino en el denominador. Antes de reportar cualquier proporción hay que responder:</w:t>
      </w:r>
    </w:p>
    <w:p>
      <w:pPr>
        <w:pStyle w:val="ListParagraph"/>
        <w:numPr>
          <w:ilvl w:val="0"/>
          <w:numId w:val="2"/>
        </w:numPr>
        <w:spacing w:after="90" w:line="276"/>
      </w:pPr>
      <w:r>
        <w:rPr>
          <w:rFonts w:ascii="Calibri" w:cs="Calibri" w:eastAsia="Calibri" w:hAnsi="Calibri"/>
          <w:sz w:val="21"/>
          <w:szCs w:val="21"/>
        </w:rPr>
        <w:t xml:space="preserve">¿Se cuentan los casos aún abiertos o solo los cerrados? Calcular el cumplimiento de plazo únicamente sobre los cerrados excluye sistemáticamente los vencidos que nunca se resolvieron, y produce un sesgo optimista severo.</w:t>
      </w:r>
    </w:p>
    <w:p>
      <w:pPr>
        <w:pStyle w:val="ListParagraph"/>
        <w:numPr>
          <w:ilvl w:val="0"/>
          <w:numId w:val="2"/>
        </w:numPr>
        <w:spacing w:after="90" w:line="276"/>
      </w:pPr>
      <w:r>
        <w:rPr>
          <w:rFonts w:ascii="Calibri" w:cs="Calibri" w:eastAsia="Calibri" w:hAnsi="Calibri"/>
          <w:sz w:val="21"/>
          <w:szCs w:val="21"/>
        </w:rPr>
        <w:t xml:space="preserve">¿Los casos descartados por no aplicar entran en el denominador? Si entran, mejoran artificialmente el desempeño; si no entran, hay que declararlo.</w:t>
      </w:r>
    </w:p>
    <w:p>
      <w:pPr>
        <w:pStyle w:val="ListParagraph"/>
        <w:numPr>
          <w:ilvl w:val="0"/>
          <w:numId w:val="2"/>
        </w:numPr>
        <w:spacing w:after="90" w:line="276"/>
      </w:pPr>
      <w:r>
        <w:rPr>
          <w:rFonts w:ascii="Calibri" w:cs="Calibri" w:eastAsia="Calibri" w:hAnsi="Calibri"/>
          <w:sz w:val="21"/>
          <w:szCs w:val="21"/>
        </w:rPr>
        <w:t xml:space="preserve">¿Los activos dados de baja se cuentan como remediados? No lo son.</w:t>
      </w:r>
    </w:p>
    <w:p>
      <w:pPr>
        <w:pStyle w:val="ListParagraph"/>
        <w:numPr>
          <w:ilvl w:val="0"/>
          <w:numId w:val="2"/>
        </w:numPr>
        <w:spacing w:after="90" w:line="276"/>
      </w:pPr>
      <w:r>
        <w:rPr>
          <w:rFonts w:ascii="Calibri" w:cs="Calibri" w:eastAsia="Calibri" w:hAnsi="Calibri"/>
          <w:sz w:val="21"/>
          <w:szCs w:val="21"/>
        </w:rPr>
        <w:t xml:space="preserve">¿Cada reapertura genera un caso nuevo o actualiza el existente? Afecta directamente al total.</w:t>
      </w:r>
    </w:p>
    <w:p>
      <w:pPr>
        <w:pStyle w:val="ListParagraph"/>
        <w:numPr>
          <w:ilvl w:val="0"/>
          <w:numId w:val="2"/>
        </w:numPr>
        <w:spacing w:after="90" w:line="276"/>
      </w:pPr>
      <w:r>
        <w:rPr>
          <w:rFonts w:ascii="Calibri" w:cs="Calibri" w:eastAsia="Calibri" w:hAnsi="Calibri"/>
          <w:sz w:val="21"/>
          <w:szCs w:val="21"/>
        </w:rPr>
        <w:t xml:space="preserve">¿Sobre qué ventana temporal? Una media sin ventana declarada no es interpretable.</w:t>
      </w:r>
    </w:p>
    <w:p>
      <w:pPr>
        <w:pStyle w:val="Heading2"/>
        <w:spacing w:after="110" w:before="260"/>
      </w:pPr>
      <w:r>
        <w:rPr>
          <w:rFonts w:ascii="Calibri" w:cs="Calibri" w:eastAsia="Calibri" w:hAnsi="Calibri"/>
          <w:b/>
          <w:bCs/>
          <w:color w:val="2E5C8A"/>
          <w:sz w:val="25"/>
          <w:szCs w:val="25"/>
        </w:rPr>
        <w:t xml:space="preserve">11.5 Órdenes de magnitud de referencia</w:t>
      </w:r>
    </w:p>
    <w:p>
      <w:pPr>
        <w:spacing w:after="120" w:before="0" w:line="276"/>
      </w:pPr>
      <w:r>
        <w:rPr>
          <w:rFonts w:ascii="Calibri" w:cs="Calibri" w:eastAsia="Calibri" w:hAnsi="Calibri"/>
          <w:sz w:val="21"/>
          <w:szCs w:val="21"/>
        </w:rPr>
        <w:t xml:space="preserve">Para dimensionar si un resultado propio es plausible sirve conocer los órdenes de magnitud que reporta la investigación empírica. La serie Prioritization to Prediction, del Cyentia Institute junto con Kenna Security, aplicó análisis de supervivencia sobre datos observacionales de cientos de organizaciones.</w:t>
      </w:r>
    </w:p>
    <w:p>
      <w:pPr>
        <w:pStyle w:val="ListParagraph"/>
        <w:numPr>
          <w:ilvl w:val="0"/>
          <w:numId w:val="2"/>
        </w:numPr>
        <w:spacing w:after="90" w:line="276"/>
      </w:pPr>
      <w:r>
        <w:rPr>
          <w:rFonts w:ascii="Calibri" w:cs="Calibri" w:eastAsia="Calibri" w:hAnsi="Calibri"/>
          <w:b/>
          <w:bCs/>
          <w:sz w:val="21"/>
          <w:szCs w:val="21"/>
        </w:rPr>
        <w:t xml:space="preserve">Capacidad de remediación. </w:t>
      </w:r>
      <w:r>
        <w:rPr>
          <w:rFonts w:ascii="Calibri" w:cs="Calibri" w:eastAsia="Calibri" w:hAnsi="Calibri"/>
          <w:sz w:val="21"/>
          <w:szCs w:val="21"/>
        </w:rPr>
        <w:t xml:space="preserve">Una organización típica, con independencia del tamaño de su entorno, remedia aproximadamente una de cada diez vulnerabilidades abiertas en un mes dado. El modelo de regresión log-log presentó un R² de 0,93, lo que indica que la relación entre abiertas y cerradas es notablemente estable entre organizaciones.</w:t>
      </w:r>
    </w:p>
    <w:p>
      <w:pPr>
        <w:pStyle w:val="ListParagraph"/>
        <w:numPr>
          <w:ilvl w:val="0"/>
          <w:numId w:val="2"/>
        </w:numPr>
        <w:spacing w:after="90" w:line="276"/>
      </w:pPr>
      <w:r>
        <w:rPr>
          <w:rFonts w:ascii="Calibri" w:cs="Calibri" w:eastAsia="Calibri" w:hAnsi="Calibri"/>
          <w:b/>
          <w:bCs/>
          <w:sz w:val="21"/>
          <w:szCs w:val="21"/>
        </w:rPr>
        <w:t xml:space="preserve">Vida media del hallazgo. </w:t>
      </w:r>
      <w:r>
        <w:rPr>
          <w:rFonts w:ascii="Calibri" w:cs="Calibri" w:eastAsia="Calibri" w:hAnsi="Calibri"/>
          <w:sz w:val="21"/>
          <w:szCs w:val="21"/>
        </w:rPr>
        <w:t xml:space="preserve">El cuarto volumen de la serie reporta una vida media agregada de 159 días, con una cola larga de casos que permanecen abiertos más allá del año.</w:t>
      </w:r>
    </w:p>
    <w:p>
      <w:pPr>
        <w:spacing w:after="60"/>
      </w:pPr>
    </w:p>
    <w:tbl>
      <w:tblPr>
        <w:tblW w:type="dxa" w:w="9360"/>
        <w:tblBorders>
          <w:top w:val="none"/>
          <w:left w:val="single" w:color="2E5C8A" w:sz="18"/>
          <w:bottom w:val="none"/>
          <w:right w:val="none"/>
          <w:insideH w:val="none"/>
          <w:insideV w:val="none"/>
        </w:tblBorders>
      </w:tblPr>
      <w:tblGrid>
        <w:gridCol w:w="9360"/>
      </w:tblGrid>
      <w:tr>
        <w:tc>
          <w:tcPr>
            <w:tcW w:type="dxa" w:w="9360"/>
            <w:shd w:fill="EEF2F7" w:val="clear"/>
            <w:tcMar>
              <w:top w:type="dxa" w:w="140"/>
              <w:left w:type="dxa" w:w="200"/>
              <w:bottom w:type="dxa" w:w="140"/>
              <w:right w:type="dxa" w:w="200"/>
            </w:tcMar>
          </w:tcPr>
          <w:p>
            <w:pPr>
              <w:spacing w:after="100" w:line="276"/>
            </w:pPr>
            <w:r>
              <w:rPr>
                <w:rFonts w:ascii="Calibri" w:cs="Calibri" w:eastAsia="Calibri" w:hAnsi="Calibri"/>
                <w:b/>
                <w:bCs/>
                <w:color w:val="1F3864"/>
                <w:sz w:val="21"/>
                <w:szCs w:val="21"/>
              </w:rPr>
              <w:t xml:space="preserve">Uso metodológico</w:t>
            </w:r>
          </w:p>
          <w:p>
            <w:pPr>
              <w:spacing w:after="0" w:line="276"/>
            </w:pPr>
            <w:r>
              <w:rPr>
                <w:rFonts w:ascii="Calibri" w:cs="Calibri" w:eastAsia="Calibri" w:hAnsi="Calibri"/>
                <w:sz w:val="21"/>
                <w:szCs w:val="21"/>
              </w:rPr>
              <w:t xml:space="preserve">Estos valores sirven para contrastar el orden de magnitud de un resultado propio, no como línea base sustituta. Si un sistema reporta tiempos de remediación de horas frente a una vida media de referencia de meses, la diferencia exige explicación: puede reflejar una mejora real, o puede indicar que se está midiendo otra cosa. Declararlos como referencia de contraste, y no como medición propia, es la manera correcta de usarlos.</w:t>
            </w:r>
          </w:p>
        </w:tc>
      </w:tr>
    </w:tbl>
    <w:p>
      <w:pPr>
        <w:pStyle w:val="Heading1"/>
        <w:pBdr>
          <w:bottom w:val="single" w:color="1F3864" w:sz="8" w:space="6"/>
        </w:pBdr>
        <w:spacing w:after="160" w:before="340"/>
      </w:pPr>
      <w:r>
        <w:rPr>
          <w:rFonts w:ascii="Calibri" w:cs="Calibri" w:eastAsia="Calibri" w:hAnsi="Calibri"/>
          <w:b/>
          <w:bCs/>
          <w:color w:val="1F3864"/>
          <w:sz w:val="30"/>
          <w:szCs w:val="30"/>
        </w:rPr>
        <w:t xml:space="preserve">12. Madurez del programa</w:t>
      </w:r>
    </w:p>
    <w:p>
      <w:pPr>
        <w:spacing w:after="120" w:before="0" w:line="276"/>
      </w:pPr>
      <w:r>
        <w:rPr>
          <w:rFonts w:ascii="Calibri" w:cs="Calibri" w:eastAsia="Calibri" w:hAnsi="Calibri"/>
          <w:sz w:val="21"/>
          <w:szCs w:val="21"/>
        </w:rPr>
        <w:t xml:space="preserve">La escala del Capítulo 8 mide una capacidad puntual: la verificación. Para ubicar el programa completo existe un modelo de industria con respaldo institucional, que conviene usar en lugar de inventar una escala propia.</w:t>
      </w:r>
    </w:p>
    <w:p>
      <w:pPr>
        <w:pStyle w:val="Heading2"/>
        <w:spacing w:after="110" w:before="260"/>
      </w:pPr>
      <w:r>
        <w:rPr>
          <w:rFonts w:ascii="Calibri" w:cs="Calibri" w:eastAsia="Calibri" w:hAnsi="Calibri"/>
          <w:b/>
          <w:bCs/>
          <w:color w:val="2E5C8A"/>
          <w:sz w:val="25"/>
          <w:szCs w:val="25"/>
        </w:rPr>
        <w:t xml:space="preserve">12.1 El modelo de SANS</w:t>
      </w:r>
    </w:p>
    <w:p>
      <w:pPr>
        <w:spacing w:after="120" w:before="0" w:line="276"/>
      </w:pPr>
      <w:r>
        <w:rPr>
          <w:rFonts w:ascii="Calibri" w:cs="Calibri" w:eastAsia="Calibri" w:hAnsi="Calibri"/>
          <w:sz w:val="21"/>
          <w:szCs w:val="21"/>
        </w:rPr>
        <w:t xml:space="preserve">El Vulnerability Management Maturity Model, creado por Jonathan Risto y David Hazar en el SANS Institute, evalúa el programa en cinco niveles —inicial, gestionado, definido, gestionado cuantitativamente y optimizado— a lo largo de cinco dominios: preparar, identificar, analizar, comunicar y tratar.</w:t>
      </w:r>
    </w:p>
    <w:p>
      <w:pPr>
        <w:spacing w:after="120" w:before="0" w:line="276"/>
      </w:pPr>
      <w:r>
        <w:rPr>
          <w:rFonts w:ascii="Calibri" w:cs="Calibri" w:eastAsia="Calibri" w:hAnsi="Calibri"/>
          <w:sz w:val="21"/>
          <w:szCs w:val="21"/>
        </w:rPr>
        <w:t xml:space="preserve">Su virtud metodológica es que la evaluación se hace por dominio y no de forma global, lo cual refleja una realidad habitual: las organizaciones rara vez tienen madurez pareja en todos los aspectos, y la fortaleza en un área suele enmascarar carencias estructurales en otra. Una segunda versión del modelo evalúa cuarenta capacidades distintas, y SANS publica además una herramienta de autoevaluación.</w:t>
      </w:r>
    </w:p>
    <w:tbl>
      <w:tblPr>
        <w:tblW w:type="dxa" w:w="9360"/>
        <w:tblBorders>
          <w:top w:val="none"/>
          <w:left w:val="single" w:color="2E5C8A" w:sz="18"/>
          <w:bottom w:val="none"/>
          <w:right w:val="none"/>
          <w:insideH w:val="none"/>
          <w:insideV w:val="none"/>
        </w:tblBorders>
      </w:tblPr>
      <w:tblGrid>
        <w:gridCol w:w="9360"/>
      </w:tblGrid>
      <w:tr>
        <w:tc>
          <w:tcPr>
            <w:tcW w:type="dxa" w:w="9360"/>
            <w:shd w:fill="EEF2F7" w:val="clear"/>
            <w:tcMar>
              <w:top w:type="dxa" w:w="140"/>
              <w:left w:type="dxa" w:w="200"/>
              <w:bottom w:type="dxa" w:w="140"/>
              <w:right w:type="dxa" w:w="200"/>
            </w:tcMar>
          </w:tcPr>
          <w:p>
            <w:pPr>
              <w:spacing w:after="100" w:line="276"/>
            </w:pPr>
            <w:r>
              <w:rPr>
                <w:rFonts w:ascii="Calibri" w:cs="Calibri" w:eastAsia="Calibri" w:hAnsi="Calibri"/>
                <w:b/>
                <w:bCs/>
                <w:color w:val="1F3864"/>
                <w:sz w:val="21"/>
                <w:szCs w:val="21"/>
              </w:rPr>
              <w:t xml:space="preserve">Cómo usarlo</w:t>
            </w:r>
          </w:p>
          <w:p>
            <w:pPr>
              <w:spacing w:after="0" w:line="276"/>
            </w:pPr>
            <w:r>
              <w:rPr>
                <w:rFonts w:ascii="Calibri" w:cs="Calibri" w:eastAsia="Calibri" w:hAnsi="Calibri"/>
                <w:sz w:val="21"/>
                <w:szCs w:val="21"/>
              </w:rPr>
              <w:t xml:space="preserve">Es una referencia de industria, no una norma. Sirve para ubicar el programa y para dar respaldo institucional a la idea de madurez escalonada. La escala de verificación del Capítulo 8, en cambio, es una síntesis propia de este documento y debe presentarse como tal.</w:t>
            </w:r>
          </w:p>
        </w:tc>
      </w:tr>
    </w:tbl>
    <w:p>
      <w:pPr>
        <w:pStyle w:val="Heading2"/>
        <w:spacing w:after="110" w:before="260"/>
      </w:pPr>
      <w:r>
        <w:rPr>
          <w:rFonts w:ascii="Calibri" w:cs="Calibri" w:eastAsia="Calibri" w:hAnsi="Calibri"/>
          <w:b/>
          <w:bCs/>
          <w:color w:val="2E5C8A"/>
          <w:sz w:val="25"/>
          <w:szCs w:val="25"/>
        </w:rPr>
        <w:t xml:space="preserve">12.2 Los saltos que importan</w:t>
      </w:r>
    </w:p>
    <w:p>
      <w:pPr>
        <w:spacing w:after="120" w:before="0" w:line="276"/>
      </w:pPr>
      <w:r>
        <w:rPr>
          <w:rFonts w:ascii="Calibri" w:cs="Calibri" w:eastAsia="Calibri" w:hAnsi="Calibri"/>
          <w:sz w:val="21"/>
          <w:szCs w:val="21"/>
        </w:rPr>
        <w:t xml:space="preserve">Con independencia de los nombres, los cambios cualitativos son cuatro:</w:t>
      </w:r>
    </w:p>
    <w:p>
      <w:pPr>
        <w:spacing w:after="60"/>
      </w:pPr>
    </w:p>
    <w:tbl>
      <w:tblPr>
        <w:tblW w:type="dxa" w:w="9360"/>
        <w:tblBorders>
          <w:top w:val="single" w:color="C9D3E0" w:sz="4"/>
          <w:left w:val="single" w:color="C9D3E0" w:sz="4"/>
          <w:bottom w:val="single" w:color="C9D3E0" w:sz="4"/>
          <w:right w:val="single" w:color="C9D3E0" w:sz="4"/>
          <w:insideH w:val="single" w:color="DDE4ED" w:sz="2"/>
          <w:insideV w:val="single" w:color="DDE4ED" w:sz="2"/>
        </w:tblBorders>
      </w:tblPr>
      <w:tblGrid>
        <w:gridCol w:w="1900"/>
        <w:gridCol w:w="3400"/>
        <w:gridCol w:w="4060"/>
      </w:tblGrid>
      <w:tr>
        <w:trPr>
          <w:tblHeader/>
        </w:trPr>
        <w:tc>
          <w:tcPr>
            <w:tcW w:type="dxa" w:w="1900"/>
            <w:shd w:fill="1F3864" w:val="clear"/>
            <w:tcMar>
              <w:top w:type="dxa" w:w="90"/>
              <w:left w:type="dxa" w:w="110"/>
              <w:bottom w:type="dxa" w:w="90"/>
              <w:right w:type="dxa" w:w="110"/>
            </w:tcMar>
          </w:tcPr>
          <w:p>
            <w:pPr>
              <w:spacing w:after="0"/>
            </w:pPr>
            <w:r>
              <w:rPr>
                <w:rFonts w:ascii="Calibri" w:cs="Calibri" w:eastAsia="Calibri" w:hAnsi="Calibri"/>
                <w:b/>
                <w:bCs/>
                <w:color w:val="FFFFFF"/>
                <w:sz w:val="19"/>
                <w:szCs w:val="19"/>
              </w:rPr>
              <w:t xml:space="preserve">Salto</w:t>
            </w:r>
          </w:p>
        </w:tc>
        <w:tc>
          <w:tcPr>
            <w:tcW w:type="dxa" w:w="3400"/>
            <w:shd w:fill="1F3864" w:val="clear"/>
            <w:tcMar>
              <w:top w:type="dxa" w:w="90"/>
              <w:left w:type="dxa" w:w="110"/>
              <w:bottom w:type="dxa" w:w="90"/>
              <w:right w:type="dxa" w:w="110"/>
            </w:tcMar>
          </w:tcPr>
          <w:p>
            <w:pPr>
              <w:spacing w:after="0"/>
            </w:pPr>
            <w:r>
              <w:rPr>
                <w:rFonts w:ascii="Calibri" w:cs="Calibri" w:eastAsia="Calibri" w:hAnsi="Calibri"/>
                <w:b/>
                <w:bCs/>
                <w:color w:val="FFFFFF"/>
                <w:sz w:val="19"/>
                <w:szCs w:val="19"/>
              </w:rPr>
              <w:t xml:space="preserve">De</w:t>
            </w:r>
          </w:p>
        </w:tc>
        <w:tc>
          <w:tcPr>
            <w:tcW w:type="dxa" w:w="4060"/>
            <w:shd w:fill="1F3864" w:val="clear"/>
            <w:tcMar>
              <w:top w:type="dxa" w:w="90"/>
              <w:left w:type="dxa" w:w="110"/>
              <w:bottom w:type="dxa" w:w="90"/>
              <w:right w:type="dxa" w:w="110"/>
            </w:tcMar>
          </w:tcPr>
          <w:p>
            <w:pPr>
              <w:spacing w:after="0"/>
            </w:pPr>
            <w:r>
              <w:rPr>
                <w:rFonts w:ascii="Calibri" w:cs="Calibri" w:eastAsia="Calibri" w:hAnsi="Calibri"/>
                <w:b/>
                <w:bCs/>
                <w:color w:val="FFFFFF"/>
                <w:sz w:val="19"/>
                <w:szCs w:val="19"/>
              </w:rPr>
              <w:t xml:space="preserve">A</w:t>
            </w:r>
          </w:p>
        </w:tc>
      </w:tr>
      <w:tr>
        <w:tc>
          <w:tcPr>
            <w:tcW w:type="dxa" w:w="1900"/>
            <w:tcMar>
              <w:top w:type="dxa" w:w="80"/>
              <w:left w:type="dxa" w:w="110"/>
              <w:bottom w:type="dxa" w:w="80"/>
              <w:right w:type="dxa" w:w="110"/>
            </w:tcMar>
          </w:tcPr>
          <w:p>
            <w:pPr>
              <w:spacing w:after="0" w:line="250"/>
            </w:pPr>
            <w:r>
              <w:rPr>
                <w:rFonts w:ascii="Calibri" w:cs="Calibri" w:eastAsia="Calibri" w:hAnsi="Calibri"/>
                <w:b/>
                <w:bCs/>
                <w:sz w:val="18"/>
                <w:szCs w:val="18"/>
              </w:rPr>
              <w:t xml:space="preserve">Registro a flujo</w:t>
            </w:r>
          </w:p>
        </w:tc>
        <w:tc>
          <w:tcPr>
            <w:tcW w:type="dxa" w:w="340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«Sé qué vulnerabilidades tengo.»</w:t>
            </w:r>
          </w:p>
        </w:tc>
        <w:tc>
          <w:tcPr>
            <w:tcW w:type="dxa" w:w="406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«Sé quién está tratando cada una y para cuándo.»</w:t>
            </w:r>
          </w:p>
        </w:tc>
      </w:tr>
      <w:tr>
        <w:tc>
          <w:tcPr>
            <w:tcW w:type="dxa" w:w="1900"/>
            <w:shd w:fill="F6F8FB" w:val="clear"/>
            <w:tcMar>
              <w:top w:type="dxa" w:w="80"/>
              <w:left w:type="dxa" w:w="110"/>
              <w:bottom w:type="dxa" w:w="80"/>
              <w:right w:type="dxa" w:w="110"/>
            </w:tcMar>
          </w:tcPr>
          <w:p>
            <w:pPr>
              <w:spacing w:after="0" w:line="250"/>
            </w:pPr>
            <w:r>
              <w:rPr>
                <w:rFonts w:ascii="Calibri" w:cs="Calibri" w:eastAsia="Calibri" w:hAnsi="Calibri"/>
                <w:b/>
                <w:bCs/>
                <w:sz w:val="18"/>
                <w:szCs w:val="18"/>
              </w:rPr>
              <w:t xml:space="preserve">Flujo a historia</w:t>
            </w:r>
          </w:p>
        </w:tc>
        <w:tc>
          <w:tcPr>
            <w:tcW w:type="dxa" w:w="3400"/>
            <w:shd w:fill="F6F8FB" w:val="clear"/>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«Sé el estado actual.»</w:t>
            </w:r>
          </w:p>
        </w:tc>
        <w:tc>
          <w:tcPr>
            <w:tcW w:type="dxa" w:w="4060"/>
            <w:shd w:fill="F6F8FB" w:val="clear"/>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«Puedo reconstruir cómo llegó a ese estado.»</w:t>
            </w:r>
          </w:p>
        </w:tc>
      </w:tr>
      <w:tr>
        <w:tc>
          <w:tcPr>
            <w:tcW w:type="dxa" w:w="1900"/>
            <w:tcMar>
              <w:top w:type="dxa" w:w="80"/>
              <w:left w:type="dxa" w:w="110"/>
              <w:bottom w:type="dxa" w:w="80"/>
              <w:right w:type="dxa" w:w="110"/>
            </w:tcMar>
          </w:tcPr>
          <w:p>
            <w:pPr>
              <w:spacing w:after="0" w:line="250"/>
            </w:pPr>
            <w:r>
              <w:rPr>
                <w:rFonts w:ascii="Calibri" w:cs="Calibri" w:eastAsia="Calibri" w:hAnsi="Calibri"/>
                <w:b/>
                <w:bCs/>
                <w:sz w:val="18"/>
                <w:szCs w:val="18"/>
              </w:rPr>
              <w:t xml:space="preserve">Historia a evidencia</w:t>
            </w:r>
          </w:p>
        </w:tc>
        <w:tc>
          <w:tcPr>
            <w:tcW w:type="dxa" w:w="340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«Alguien afirma que fue corregida.»</w:t>
            </w:r>
          </w:p>
        </w:tc>
        <w:tc>
          <w:tcPr>
            <w:tcW w:type="dxa" w:w="406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«Tengo evidencia propia de que dejó de observarse.»</w:t>
            </w:r>
          </w:p>
        </w:tc>
      </w:tr>
      <w:tr>
        <w:tc>
          <w:tcPr>
            <w:tcW w:type="dxa" w:w="1900"/>
            <w:shd w:fill="F6F8FB" w:val="clear"/>
            <w:tcMar>
              <w:top w:type="dxa" w:w="80"/>
              <w:left w:type="dxa" w:w="110"/>
              <w:bottom w:type="dxa" w:w="80"/>
              <w:right w:type="dxa" w:w="110"/>
            </w:tcMar>
          </w:tcPr>
          <w:p>
            <w:pPr>
              <w:spacing w:after="0" w:line="250"/>
            </w:pPr>
            <w:r>
              <w:rPr>
                <w:rFonts w:ascii="Calibri" w:cs="Calibri" w:eastAsia="Calibri" w:hAnsi="Calibri"/>
                <w:b/>
                <w:bCs/>
                <w:sz w:val="18"/>
                <w:szCs w:val="18"/>
              </w:rPr>
              <w:t xml:space="preserve">Evidencia a medición</w:t>
            </w:r>
          </w:p>
        </w:tc>
        <w:tc>
          <w:tcPr>
            <w:tcW w:type="dxa" w:w="3400"/>
            <w:shd w:fill="F6F8FB" w:val="clear"/>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«Puedo seguir casos individuales.»</w:t>
            </w:r>
          </w:p>
        </w:tc>
        <w:tc>
          <w:tcPr>
            <w:tcW w:type="dxa" w:w="4060"/>
            <w:shd w:fill="F6F8FB" w:val="clear"/>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«Puedo medir sistemáticamente el comportamiento del proceso.»</w:t>
            </w:r>
          </w:p>
        </w:tc>
      </w:tr>
    </w:tbl>
    <w:p>
      <w:pPr>
        <w:spacing w:after="140"/>
      </w:pPr>
    </w:p>
    <w:p>
      <w:pPr>
        <w:spacing w:after="120" w:before="0" w:line="276"/>
      </w:pPr>
      <w:r>
        <w:rPr>
          <w:rFonts w:ascii="Calibri" w:cs="Calibri" w:eastAsia="Calibri" w:hAnsi="Calibri"/>
          <w:sz w:val="21"/>
          <w:szCs w:val="21"/>
        </w:rPr>
        <w:t xml:space="preserve">El tercero es el que separa un sistema declarativo de uno comprobable, y coincide con la frontera entre los niveles 2 y 3 de la escala de verificación.</w:t>
      </w:r>
    </w:p>
    <w:p>
      <w:pPr>
        <w:pStyle w:val="Heading1"/>
        <w:pBdr>
          <w:bottom w:val="single" w:color="1F3864" w:sz="8" w:space="6"/>
        </w:pBdr>
        <w:spacing w:after="160" w:before="340"/>
      </w:pPr>
      <w:r>
        <w:rPr>
          <w:rFonts w:ascii="Calibri" w:cs="Calibri" w:eastAsia="Calibri" w:hAnsi="Calibri"/>
          <w:b/>
          <w:bCs/>
          <w:color w:val="1F3864"/>
          <w:sz w:val="30"/>
          <w:szCs w:val="30"/>
        </w:rPr>
        <w:t xml:space="preserve">13. Evidencia de implementaciones reales</w:t>
      </w:r>
    </w:p>
    <w:p>
      <w:pPr>
        <w:spacing w:after="120" w:before="0" w:line="276"/>
      </w:pPr>
      <w:r>
        <w:rPr>
          <w:rFonts w:ascii="Calibri" w:cs="Calibri" w:eastAsia="Calibri" w:hAnsi="Calibri"/>
          <w:sz w:val="21"/>
          <w:szCs w:val="21"/>
        </w:rPr>
        <w:t xml:space="preserve">Los capítulos anteriores describen el modelo. Este contrasta ese modelo contra cómo lo resolvieron herramientas de código abierto en producción, que es la fuente que ningún estándar aporta: qué campos hicieron falta de verdad.</w:t>
      </w:r>
    </w:p>
    <w:p>
      <w:pPr>
        <w:pStyle w:val="Heading2"/>
        <w:spacing w:after="110" w:before="260"/>
      </w:pPr>
      <w:r>
        <w:rPr>
          <w:rFonts w:ascii="Calibri" w:cs="Calibri" w:eastAsia="Calibri" w:hAnsi="Calibri"/>
          <w:b/>
          <w:bCs/>
          <w:color w:val="2E5C8A"/>
          <w:sz w:val="25"/>
          <w:szCs w:val="25"/>
        </w:rPr>
        <w:t xml:space="preserve">13.1 Por qué mirar código</w:t>
      </w:r>
    </w:p>
    <w:p>
      <w:pPr>
        <w:spacing w:after="120" w:before="0" w:line="276"/>
      </w:pPr>
      <w:r>
        <w:rPr>
          <w:rFonts w:ascii="Calibri" w:cs="Calibri" w:eastAsia="Calibri" w:hAnsi="Calibri"/>
          <w:sz w:val="21"/>
          <w:szCs w:val="21"/>
        </w:rPr>
        <w:t xml:space="preserve">Un estándar dice qué debe lograrse. Una implementación en producción muestra qué estructura hizo falta para lograrlo, y qué problemas aparecieron que el estándar no anticipó. Para un trabajo que construye software, esa evidencia es más informativa que cualquier guía.</w:t>
      </w:r>
    </w:p>
    <w:p>
      <w:pPr>
        <w:spacing w:after="120" w:before="0" w:line="276"/>
      </w:pPr>
      <w:r>
        <w:rPr>
          <w:rFonts w:ascii="Calibri" w:cs="Calibri" w:eastAsia="Calibri" w:hAnsi="Calibri"/>
          <w:sz w:val="21"/>
          <w:szCs w:val="21"/>
        </w:rPr>
        <w:t xml:space="preserve">Dos proyectos de OWASP son especialmente pertinentes porque resuelven exactamente el problema descrito acá.</w:t>
      </w:r>
    </w:p>
    <w:p>
      <w:pPr>
        <w:pStyle w:val="Heading2"/>
        <w:spacing w:after="110" w:before="260"/>
      </w:pPr>
      <w:r>
        <w:rPr>
          <w:rFonts w:ascii="Calibri" w:cs="Calibri" w:eastAsia="Calibri" w:hAnsi="Calibri"/>
          <w:b/>
          <w:bCs/>
          <w:color w:val="2E5C8A"/>
          <w:sz w:val="25"/>
          <w:szCs w:val="25"/>
        </w:rPr>
        <w:t xml:space="preserve">13.2 Dependency-Track</w:t>
      </w:r>
    </w:p>
    <w:p>
      <w:pPr>
        <w:spacing w:after="120" w:before="0" w:line="276"/>
      </w:pPr>
      <w:r>
        <w:rPr>
          <w:rFonts w:ascii="Calibri" w:cs="Calibri" w:eastAsia="Calibri" w:hAnsi="Calibri"/>
          <w:sz w:val="21"/>
          <w:szCs w:val="21"/>
        </w:rPr>
        <w:t xml:space="preserve">Es el caso más cercano a un sistema que trabaja sobre dependencias declaradas: consume inventarios de componentes, los correlaciona contra vulnerabilidades conocidas y mantiene el seguimiento de cada hallazgo. Varias de sus decisiones de diseño confirman empíricamente los principios de este documento.</w:t>
      </w:r>
    </w:p>
    <w:p>
      <w:pPr>
        <w:spacing w:after="60"/>
      </w:pPr>
    </w:p>
    <w:tbl>
      <w:tblPr>
        <w:tblW w:type="dxa" w:w="9360"/>
        <w:tblBorders>
          <w:top w:val="single" w:color="C9D3E0" w:sz="4"/>
          <w:left w:val="single" w:color="C9D3E0" w:sz="4"/>
          <w:bottom w:val="single" w:color="C9D3E0" w:sz="4"/>
          <w:right w:val="single" w:color="C9D3E0" w:sz="4"/>
          <w:insideH w:val="single" w:color="DDE4ED" w:sz="2"/>
          <w:insideV w:val="single" w:color="DDE4ED" w:sz="2"/>
        </w:tblBorders>
      </w:tblPr>
      <w:tblGrid>
        <w:gridCol w:w="3600"/>
        <w:gridCol w:w="5760"/>
      </w:tblGrid>
      <w:tr>
        <w:trPr>
          <w:tblHeader/>
        </w:trPr>
        <w:tc>
          <w:tcPr>
            <w:tcW w:type="dxa" w:w="3600"/>
            <w:shd w:fill="1F3864" w:val="clear"/>
            <w:tcMar>
              <w:top w:type="dxa" w:w="90"/>
              <w:left w:type="dxa" w:w="110"/>
              <w:bottom w:type="dxa" w:w="90"/>
              <w:right w:type="dxa" w:w="110"/>
            </w:tcMar>
          </w:tcPr>
          <w:p>
            <w:pPr>
              <w:spacing w:after="0"/>
            </w:pPr>
            <w:r>
              <w:rPr>
                <w:rFonts w:ascii="Calibri" w:cs="Calibri" w:eastAsia="Calibri" w:hAnsi="Calibri"/>
                <w:b/>
                <w:bCs/>
                <w:color w:val="FFFFFF"/>
                <w:sz w:val="19"/>
                <w:szCs w:val="19"/>
              </w:rPr>
              <w:t xml:space="preserve">Decisión de diseño</w:t>
            </w:r>
          </w:p>
        </w:tc>
        <w:tc>
          <w:tcPr>
            <w:tcW w:type="dxa" w:w="5760"/>
            <w:shd w:fill="1F3864" w:val="clear"/>
            <w:tcMar>
              <w:top w:type="dxa" w:w="90"/>
              <w:left w:type="dxa" w:w="110"/>
              <w:bottom w:type="dxa" w:w="90"/>
              <w:right w:type="dxa" w:w="110"/>
            </w:tcMar>
          </w:tcPr>
          <w:p>
            <w:pPr>
              <w:spacing w:after="0"/>
            </w:pPr>
            <w:r>
              <w:rPr>
                <w:rFonts w:ascii="Calibri" w:cs="Calibri" w:eastAsia="Calibri" w:hAnsi="Calibri"/>
                <w:b/>
                <w:bCs/>
                <w:color w:val="FFFFFF"/>
                <w:sz w:val="19"/>
                <w:szCs w:val="19"/>
              </w:rPr>
              <w:t xml:space="preserve">Qué confirma</w:t>
            </w:r>
          </w:p>
        </w:tc>
      </w:tr>
      <w:tr>
        <w:tc>
          <w:tcPr>
            <w:tcW w:type="dxa" w:w="3600"/>
            <w:tcMar>
              <w:top w:type="dxa" w:w="80"/>
              <w:left w:type="dxa" w:w="110"/>
              <w:bottom w:type="dxa" w:w="80"/>
              <w:right w:type="dxa" w:w="110"/>
            </w:tcMar>
          </w:tcPr>
          <w:p>
            <w:pPr>
              <w:spacing w:after="0" w:line="250"/>
            </w:pPr>
            <w:r>
              <w:rPr>
                <w:rFonts w:ascii="Calibri" w:cs="Calibri" w:eastAsia="Calibri" w:hAnsi="Calibri"/>
                <w:b/>
                <w:bCs/>
                <w:sz w:val="18"/>
                <w:szCs w:val="18"/>
              </w:rPr>
              <w:t xml:space="preserve">El estado del análisis sigue el vocabulario de VEX, con justificación asociada.</w:t>
            </w:r>
          </w:p>
        </w:tc>
        <w:tc>
          <w:tcPr>
            <w:tcW w:type="dxa" w:w="576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Componente B: el vocabulario normalizado no es una formalidad académica, es lo que usa una herramienta real.</w:t>
            </w:r>
          </w:p>
        </w:tc>
      </w:tr>
      <w:tr>
        <w:tc>
          <w:tcPr>
            <w:tcW w:type="dxa" w:w="3600"/>
            <w:shd w:fill="F6F8FB" w:val="clear"/>
            <w:tcMar>
              <w:top w:type="dxa" w:w="80"/>
              <w:left w:type="dxa" w:w="110"/>
              <w:bottom w:type="dxa" w:w="80"/>
              <w:right w:type="dxa" w:w="110"/>
            </w:tcMar>
          </w:tcPr>
          <w:p>
            <w:pPr>
              <w:spacing w:after="0" w:line="250"/>
            </w:pPr>
            <w:r>
              <w:rPr>
                <w:rFonts w:ascii="Calibri" w:cs="Calibri" w:eastAsia="Calibri" w:hAnsi="Calibri"/>
                <w:b/>
                <w:bCs/>
                <w:sz w:val="18"/>
                <w:szCs w:val="18"/>
              </w:rPr>
              <w:t xml:space="preserve">Cada cambio de cualquier campo del análisis agrega una entrada al historial, con autor, momento y contenido del cambio.</w:t>
            </w:r>
          </w:p>
        </w:tc>
        <w:tc>
          <w:tcPr>
            <w:tcW w:type="dxa" w:w="5760"/>
            <w:shd w:fill="F6F8FB" w:val="clear"/>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Componente F: el historial como entidad de primer orden.</w:t>
            </w:r>
          </w:p>
        </w:tc>
      </w:tr>
      <w:tr>
        <w:tc>
          <w:tcPr>
            <w:tcW w:type="dxa" w:w="3600"/>
            <w:tcMar>
              <w:top w:type="dxa" w:w="80"/>
              <w:left w:type="dxa" w:w="110"/>
              <w:bottom w:type="dxa" w:w="80"/>
              <w:right w:type="dxa" w:w="110"/>
            </w:tcMar>
          </w:tcPr>
          <w:p>
            <w:pPr>
              <w:spacing w:after="0" w:line="250"/>
            </w:pPr>
            <w:r>
              <w:rPr>
                <w:rFonts w:ascii="Calibri" w:cs="Calibri" w:eastAsia="Calibri" w:hAnsi="Calibri"/>
                <w:b/>
                <w:bCs/>
                <w:sz w:val="18"/>
                <w:szCs w:val="18"/>
              </w:rPr>
              <w:t xml:space="preserve">El historial es permanente. Un informe posterior del analizador nunca lo sobrescribe, y sobrevive cuando el hallazgo deja de estar activo.</w:t>
            </w:r>
          </w:p>
        </w:tc>
        <w:tc>
          <w:tcPr>
            <w:tcW w:type="dxa" w:w="576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Componente F y componente E: no borrar al cerrar es condición de la trazabilidad y de la recurrencia.</w:t>
            </w:r>
          </w:p>
        </w:tc>
      </w:tr>
      <w:tr>
        <w:tc>
          <w:tcPr>
            <w:tcW w:type="dxa" w:w="3600"/>
            <w:shd w:fill="F6F8FB" w:val="clear"/>
            <w:tcMar>
              <w:top w:type="dxa" w:w="80"/>
              <w:left w:type="dxa" w:w="110"/>
              <w:bottom w:type="dxa" w:w="80"/>
              <w:right w:type="dxa" w:w="110"/>
            </w:tcMar>
          </w:tcPr>
          <w:p>
            <w:pPr>
              <w:spacing w:after="0" w:line="250"/>
            </w:pPr>
            <w:r>
              <w:rPr>
                <w:rFonts w:ascii="Calibri" w:cs="Calibri" w:eastAsia="Calibri" w:hAnsi="Calibri"/>
                <w:b/>
                <w:bCs/>
                <w:sz w:val="18"/>
                <w:szCs w:val="18"/>
              </w:rPr>
              <w:t xml:space="preserve">Las decisiones de triage se reaplican cuando un hallazgo vuelve a levantarse contra el mismo componente.</w:t>
            </w:r>
          </w:p>
        </w:tc>
        <w:tc>
          <w:tcPr>
            <w:tcW w:type="dxa" w:w="5760"/>
            <w:shd w:fill="F6F8FB" w:val="clear"/>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Componente E: la reaparición no obliga a repetir el análisis desde cero.</w:t>
            </w:r>
          </w:p>
        </w:tc>
      </w:tr>
      <w:tr>
        <w:tc>
          <w:tcPr>
            <w:tcW w:type="dxa" w:w="3600"/>
            <w:tcMar>
              <w:top w:type="dxa" w:w="80"/>
              <w:left w:type="dxa" w:w="110"/>
              <w:bottom w:type="dxa" w:w="80"/>
              <w:right w:type="dxa" w:w="110"/>
            </w:tcMar>
          </w:tcPr>
          <w:p>
            <w:pPr>
              <w:spacing w:after="0" w:line="250"/>
            </w:pPr>
            <w:r>
              <w:rPr>
                <w:rFonts w:ascii="Calibri" w:cs="Calibri" w:eastAsia="Calibri" w:hAnsi="Calibri"/>
                <w:b/>
                <w:bCs/>
                <w:sz w:val="18"/>
                <w:szCs w:val="18"/>
              </w:rPr>
              <w:t xml:space="preserve">Registra por separado la justificación del descarte y la respuesta prevista —actualizar, revertir, aplicar una solución alternativa—.</w:t>
            </w:r>
          </w:p>
        </w:tc>
        <w:tc>
          <w:tcPr>
            <w:tcW w:type="dxa" w:w="576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Capítulo 6: remediar y mitigar son tratamientos distintos y necesitan campos distintos.</w:t>
            </w:r>
          </w:p>
        </w:tc>
      </w:tr>
      <w:tr>
        <w:tc>
          <w:tcPr>
            <w:tcW w:type="dxa" w:w="3600"/>
            <w:shd w:fill="F6F8FB" w:val="clear"/>
            <w:tcMar>
              <w:top w:type="dxa" w:w="80"/>
              <w:left w:type="dxa" w:w="110"/>
              <w:bottom w:type="dxa" w:w="80"/>
              <w:right w:type="dxa" w:w="110"/>
            </w:tcMar>
          </w:tcPr>
          <w:p>
            <w:pPr>
              <w:spacing w:after="0" w:line="250"/>
            </w:pPr>
            <w:r>
              <w:rPr>
                <w:rFonts w:ascii="Calibri" w:cs="Calibri" w:eastAsia="Calibri" w:hAnsi="Calibri"/>
                <w:b/>
                <w:bCs/>
                <w:sz w:val="18"/>
                <w:szCs w:val="18"/>
              </w:rPr>
              <w:t xml:space="preserve">Incorpora EPSS como señal de priorización junto a la severidad.</w:t>
            </w:r>
          </w:p>
        </w:tc>
        <w:tc>
          <w:tcPr>
            <w:tcW w:type="dxa" w:w="5760"/>
            <w:shd w:fill="F6F8FB" w:val="clear"/>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Componente C: la priorización combina señales, no depende de un único puntaje.</w:t>
            </w:r>
          </w:p>
        </w:tc>
      </w:tr>
    </w:tbl>
    <w:p>
      <w:pPr>
        <w:spacing w:after="140"/>
      </w:pPr>
    </w:p>
    <w:tbl>
      <w:tblPr>
        <w:tblW w:type="dxa" w:w="9360"/>
        <w:tblBorders>
          <w:top w:val="none"/>
          <w:left w:val="single" w:color="1E6B4F" w:sz="18"/>
          <w:bottom w:val="none"/>
          <w:right w:val="none"/>
          <w:insideH w:val="none"/>
          <w:insideV w:val="none"/>
        </w:tblBorders>
      </w:tblPr>
      <w:tblGrid>
        <w:gridCol w:w="9360"/>
      </w:tblGrid>
      <w:tr>
        <w:tc>
          <w:tcPr>
            <w:tcW w:type="dxa" w:w="9360"/>
            <w:shd w:fill="EEF2F7" w:val="clear"/>
            <w:tcMar>
              <w:top w:type="dxa" w:w="140"/>
              <w:left w:type="dxa" w:w="200"/>
              <w:bottom w:type="dxa" w:w="140"/>
              <w:right w:type="dxa" w:w="200"/>
            </w:tcMar>
          </w:tcPr>
          <w:p>
            <w:pPr>
              <w:spacing w:after="100" w:line="276"/>
            </w:pPr>
            <w:r>
              <w:rPr>
                <w:rFonts w:ascii="Calibri" w:cs="Calibri" w:eastAsia="Calibri" w:hAnsi="Calibri"/>
                <w:b/>
                <w:bCs/>
                <w:color w:val="1E6B4F"/>
                <w:sz w:val="21"/>
                <w:szCs w:val="21"/>
              </w:rPr>
              <w:t xml:space="preserve">El hallazgo más útil</w:t>
            </w:r>
          </w:p>
          <w:p>
            <w:pPr>
              <w:spacing w:after="0" w:line="276"/>
            </w:pPr>
            <w:r>
              <w:rPr>
                <w:rFonts w:ascii="Calibri" w:cs="Calibri" w:eastAsia="Calibri" w:hAnsi="Calibri"/>
                <w:sz w:val="21"/>
                <w:szCs w:val="21"/>
              </w:rPr>
              <w:t xml:space="preserve">Un hallazgo que desaparece no se borra: pasa a inactivo, y su historial de auditoría se conserva. Es exactamente la contramedida al cierre por ausencia descrita en el Capítulo 5, implementada en una herramienta en producción. Confirma que la distinción entre «cerrado» y «conservado bajo observación» no es una sutileza teórica sino una necesidad práctica.</w:t>
            </w:r>
          </w:p>
        </w:tc>
      </w:tr>
    </w:tbl>
    <w:p>
      <w:pPr>
        <w:pStyle w:val="Heading2"/>
        <w:spacing w:after="110" w:before="260"/>
      </w:pPr>
      <w:r>
        <w:rPr>
          <w:rFonts w:ascii="Calibri" w:cs="Calibri" w:eastAsia="Calibri" w:hAnsi="Calibri"/>
          <w:b/>
          <w:bCs/>
          <w:color w:val="2E5C8A"/>
          <w:sz w:val="25"/>
          <w:szCs w:val="25"/>
        </w:rPr>
        <w:t xml:space="preserve">13.3 DefectDojo</w:t>
      </w:r>
    </w:p>
    <w:p>
      <w:pPr>
        <w:spacing w:after="120" w:before="0" w:line="276"/>
      </w:pPr>
      <w:r>
        <w:rPr>
          <w:rFonts w:ascii="Calibri" w:cs="Calibri" w:eastAsia="Calibri" w:hAnsi="Calibri"/>
          <w:sz w:val="21"/>
          <w:szCs w:val="21"/>
        </w:rPr>
        <w:t xml:space="preserve">Es el otro proyecto de OWASP relevante. Su modelo de hallazgos incorpora resolución de duplicados entre herramientas distintas, aceptación de riesgo con vencimiento, mitigación como estado propio, falso positivo y reapertura. Es decir: el conjunto de estados del Capítulo 6, implementado y en uso.</w:t>
      </w:r>
    </w:p>
    <w:p>
      <w:pPr>
        <w:spacing w:after="120" w:before="0" w:line="276"/>
      </w:pPr>
      <w:r>
        <w:rPr>
          <w:rFonts w:ascii="Calibri" w:cs="Calibri" w:eastAsia="Calibri" w:hAnsi="Calibri"/>
          <w:sz w:val="21"/>
          <w:szCs w:val="21"/>
        </w:rPr>
        <w:t xml:space="preserve">Su aporte particular es la resolución de duplicados. Cuando varias herramientas de detección reportan la misma condición sobre el mismo activo, sin un mecanismo de deduplicación el sistema genera casos repetidos y las métricas se inflan. Es un problema que aparece en cuanto hay más de una fuente, y que ninguno de los estándares consultados trata explícitamente.</w:t>
      </w:r>
    </w:p>
    <w:p>
      <w:pPr>
        <w:pStyle w:val="Heading2"/>
        <w:spacing w:after="110" w:before="260"/>
      </w:pPr>
      <w:r>
        <w:rPr>
          <w:rFonts w:ascii="Calibri" w:cs="Calibri" w:eastAsia="Calibri" w:hAnsi="Calibri"/>
          <w:b/>
          <w:bCs/>
          <w:color w:val="2E5C8A"/>
          <w:sz w:val="25"/>
          <w:szCs w:val="25"/>
        </w:rPr>
        <w:t xml:space="preserve">13.4 Qué mirar concretamente</w:t>
      </w:r>
    </w:p>
    <w:p>
      <w:pPr>
        <w:spacing w:after="120" w:before="0" w:line="276"/>
      </w:pPr>
      <w:r>
        <w:rPr>
          <w:rFonts w:ascii="Calibri" w:cs="Calibri" w:eastAsia="Calibri" w:hAnsi="Calibri"/>
          <w:sz w:val="21"/>
          <w:szCs w:val="21"/>
        </w:rPr>
        <w:t xml:space="preserve">Para el ejercicio de comparación, tres preguntas dirigidas al código y a la documentación de estos proyectos:</w:t>
      </w:r>
    </w:p>
    <w:p>
      <w:pPr>
        <w:pStyle w:val="ListParagraph"/>
        <w:numPr>
          <w:ilvl w:val="0"/>
          <w:numId w:val="3"/>
        </w:numPr>
        <w:spacing w:after="90" w:line="276"/>
      </w:pPr>
      <w:r>
        <w:rPr>
          <w:rFonts w:ascii="Calibri" w:cs="Calibri" w:eastAsia="Calibri" w:hAnsi="Calibri"/>
          <w:sz w:val="21"/>
          <w:szCs w:val="21"/>
        </w:rPr>
        <w:t xml:space="preserve">¿Qué campos tiene su entidad de hallazgo que el modelo propuesto en el Capítulo 14 no contempla?</w:t>
      </w:r>
    </w:p>
    <w:p>
      <w:pPr>
        <w:pStyle w:val="ListParagraph"/>
        <w:numPr>
          <w:ilvl w:val="0"/>
          <w:numId w:val="3"/>
        </w:numPr>
        <w:spacing w:after="90" w:line="276"/>
      </w:pPr>
      <w:r>
        <w:rPr>
          <w:rFonts w:ascii="Calibri" w:cs="Calibri" w:eastAsia="Calibri" w:hAnsi="Calibri"/>
          <w:sz w:val="21"/>
          <w:szCs w:val="21"/>
        </w:rPr>
        <w:t xml:space="preserve">¿Cómo resuelven la identidad del hallazgo entre ejecuciones, y qué atributos usan para componerla?</w:t>
      </w:r>
    </w:p>
    <w:p>
      <w:pPr>
        <w:pStyle w:val="ListParagraph"/>
        <w:numPr>
          <w:ilvl w:val="0"/>
          <w:numId w:val="3"/>
        </w:numPr>
        <w:spacing w:after="90" w:line="276"/>
      </w:pPr>
      <w:r>
        <w:rPr>
          <w:rFonts w:ascii="Calibri" w:cs="Calibri" w:eastAsia="Calibri" w:hAnsi="Calibri"/>
          <w:sz w:val="21"/>
          <w:szCs w:val="21"/>
        </w:rPr>
        <w:t xml:space="preserve">¿Qué hacen exactamente cuando un hallazgo desaparece de un informe posterior?</w:t>
      </w:r>
    </w:p>
    <w:p>
      <w:pPr>
        <w:pStyle w:val="Heading1"/>
        <w:pBdr>
          <w:bottom w:val="single" w:color="1F3864" w:sz="8" w:space="6"/>
        </w:pBdr>
        <w:spacing w:after="160" w:before="340"/>
      </w:pPr>
      <w:r>
        <w:rPr>
          <w:rFonts w:ascii="Calibri" w:cs="Calibri" w:eastAsia="Calibri" w:hAnsi="Calibri"/>
          <w:b/>
          <w:bCs/>
          <w:color w:val="1F3864"/>
          <w:sz w:val="30"/>
          <w:szCs w:val="30"/>
        </w:rPr>
        <w:t xml:space="preserve">14. Modelo de datos de referencia</w:t>
      </w:r>
    </w:p>
    <w:p>
      <w:pPr>
        <w:spacing w:after="120" w:before="0" w:line="276"/>
      </w:pPr>
      <w:r>
        <w:rPr>
          <w:rFonts w:ascii="Calibri" w:cs="Calibri" w:eastAsia="Calibri" w:hAnsi="Calibri"/>
          <w:sz w:val="21"/>
          <w:szCs w:val="21"/>
        </w:rPr>
        <w:t xml:space="preserve">Estructura mínima que soporta los seis componentes. No prescribe una implementación: enumera las entidades y campos que el modelo debe poder representar.</w:t>
      </w:r>
    </w:p>
    <w:p>
      <w:pPr>
        <w:pStyle w:val="Heading3"/>
        <w:spacing w:after="90" w:before="200"/>
      </w:pPr>
      <w:r>
        <w:rPr>
          <w:rFonts w:ascii="Calibri" w:cs="Calibri" w:eastAsia="Calibri" w:hAnsi="Calibri"/>
          <w:b/>
          <w:bCs/>
          <w:color w:val="333333"/>
          <w:sz w:val="22"/>
          <w:szCs w:val="22"/>
        </w:rPr>
        <w:t xml:space="preserve">Activo</w:t>
      </w:r>
    </w:p>
    <w:p>
      <w:pPr>
        <w:shd w:fill="F4F6F8" w:val="clear"/>
        <w:spacing w:after="40" w:line="240"/>
        <w:ind w:left="288"/>
      </w:pPr>
      <w:r>
        <w:rPr>
          <w:rFonts w:ascii="Consolas" w:cs="Consolas" w:eastAsia="Consolas" w:hAnsi="Consolas"/>
          <w:color w:val="24292E"/>
          <w:sz w:val="17"/>
          <w:szCs w:val="17"/>
        </w:rPr>
        <w:t xml:space="preserve">asset_id                clave interna estable</w:t>
      </w:r>
    </w:p>
    <w:p>
      <w:pPr>
        <w:shd w:fill="F4F6F8" w:val="clear"/>
        <w:spacing w:after="40" w:line="240"/>
        <w:ind w:left="288"/>
      </w:pPr>
      <w:r>
        <w:rPr>
          <w:rFonts w:ascii="Consolas" w:cs="Consolas" w:eastAsia="Consolas" w:hAnsi="Consolas"/>
          <w:color w:val="24292E"/>
          <w:sz w:val="17"/>
          <w:szCs w:val="17"/>
        </w:rPr>
        <w:t xml:space="preserve">external_key            identificador normalizado de la fuente</w:t>
      </w:r>
    </w:p>
    <w:p>
      <w:pPr>
        <w:shd w:fill="F4F6F8" w:val="clear"/>
        <w:spacing w:after="40" w:line="240"/>
        <w:ind w:left="288"/>
      </w:pPr>
      <w:r>
        <w:rPr>
          <w:rFonts w:ascii="Consolas" w:cs="Consolas" w:eastAsia="Consolas" w:hAnsi="Consolas"/>
          <w:color w:val="24292E"/>
          <w:sz w:val="17"/>
          <w:szCs w:val="17"/>
        </w:rPr>
        <w:t xml:space="preserve">display_name            nombre de presentacion (puede cambiar)</w:t>
      </w:r>
    </w:p>
    <w:p>
      <w:pPr>
        <w:shd w:fill="F4F6F8" w:val="clear"/>
        <w:spacing w:after="40" w:line="240"/>
        <w:ind w:left="288"/>
      </w:pPr>
      <w:r>
        <w:rPr>
          <w:rFonts w:ascii="Consolas" w:cs="Consolas" w:eastAsia="Consolas" w:hAnsi="Consolas"/>
          <w:color w:val="24292E"/>
          <w:sz w:val="17"/>
          <w:szCs w:val="17"/>
        </w:rPr>
        <w:t xml:space="preserve">current_version         version vigente</w:t>
      </w:r>
    </w:p>
    <w:p>
      <w:pPr>
        <w:shd w:fill="F4F6F8" w:val="clear"/>
        <w:spacing w:after="40" w:line="240"/>
        <w:ind w:left="288"/>
      </w:pPr>
      <w:r>
        <w:rPr>
          <w:rFonts w:ascii="Consolas" w:cs="Consolas" w:eastAsia="Consolas" w:hAnsi="Consolas"/>
          <w:color w:val="24292E"/>
          <w:sz w:val="17"/>
          <w:szCs w:val="17"/>
        </w:rPr>
        <w:t xml:space="preserve">environment             entorno</w:t>
      </w:r>
    </w:p>
    <w:p>
      <w:pPr>
        <w:shd w:fill="F4F6F8" w:val="clear"/>
        <w:spacing w:after="40" w:line="240"/>
        <w:ind w:left="288"/>
      </w:pPr>
      <w:r>
        <w:rPr>
          <w:rFonts w:ascii="Consolas" w:cs="Consolas" w:eastAsia="Consolas" w:hAnsi="Consolas"/>
          <w:color w:val="24292E"/>
          <w:sz w:val="17"/>
          <w:szCs w:val="17"/>
        </w:rPr>
        <w:t xml:space="preserve">criticality             criticidad de negocio</w:t>
      </w:r>
    </w:p>
    <w:p>
      <w:pPr>
        <w:shd w:fill="F4F6F8" w:val="clear"/>
        <w:spacing w:after="40" w:line="240"/>
        <w:ind w:left="288"/>
      </w:pPr>
      <w:r>
        <w:rPr>
          <w:rFonts w:ascii="Consolas" w:cs="Consolas" w:eastAsia="Consolas" w:hAnsi="Consolas"/>
          <w:color w:val="24292E"/>
          <w:sz w:val="17"/>
          <w:szCs w:val="17"/>
        </w:rPr>
        <w:t xml:space="preserve">exposed                 alcanzable desde el exterior</w:t>
      </w:r>
    </w:p>
    <w:p>
      <w:pPr>
        <w:shd w:fill="F4F6F8" w:val="clear"/>
        <w:spacing w:after="40" w:line="240"/>
        <w:ind w:left="288"/>
      </w:pPr>
      <w:r>
        <w:rPr>
          <w:rFonts w:ascii="Consolas" w:cs="Consolas" w:eastAsia="Consolas" w:hAnsi="Consolas"/>
          <w:color w:val="24292E"/>
          <w:sz w:val="17"/>
          <w:szCs w:val="17"/>
        </w:rPr>
        <w:t xml:space="preserve">status                  ACTIVO | DADO_DE_BAJA</w:t>
      </w:r>
    </w:p>
    <w:p>
      <w:pPr>
        <w:shd w:fill="F4F6F8" w:val="clear"/>
        <w:spacing w:after="40" w:line="240"/>
        <w:ind w:left="288"/>
      </w:pPr>
      <w:r>
        <w:rPr>
          <w:rFonts w:ascii="Consolas" w:cs="Consolas" w:eastAsia="Consolas" w:hAnsi="Consolas"/>
          <w:color w:val="24292E"/>
          <w:sz w:val="17"/>
          <w:szCs w:val="17"/>
        </w:rPr>
        <w:t xml:space="preserve">first_seen / last_seen  primera y ultima observacion</w:t>
      </w:r>
    </w:p>
    <w:p>
      <w:pPr>
        <w:pStyle w:val="Heading3"/>
        <w:spacing w:after="90" w:before="200"/>
      </w:pPr>
      <w:r>
        <w:rPr>
          <w:rFonts w:ascii="Calibri" w:cs="Calibri" w:eastAsia="Calibri" w:hAnsi="Calibri"/>
          <w:b/>
          <w:bCs/>
          <w:color w:val="333333"/>
          <w:sz w:val="22"/>
          <w:szCs w:val="22"/>
        </w:rPr>
        <w:t xml:space="preserve">Historial de versiones del activo</w:t>
      </w:r>
    </w:p>
    <w:p>
      <w:pPr>
        <w:shd w:fill="F4F6F8" w:val="clear"/>
        <w:spacing w:after="40" w:line="240"/>
        <w:ind w:left="288"/>
      </w:pPr>
      <w:r>
        <w:rPr>
          <w:rFonts w:ascii="Consolas" w:cs="Consolas" w:eastAsia="Consolas" w:hAnsi="Consolas"/>
          <w:color w:val="24292E"/>
          <w:sz w:val="17"/>
          <w:szCs w:val="17"/>
        </w:rPr>
        <w:t xml:space="preserve">asset_id, version, observed_at, scan_id</w:t>
      </w:r>
    </w:p>
    <w:p>
      <w:pPr>
        <w:pStyle w:val="Heading3"/>
        <w:spacing w:after="90" w:before="200"/>
      </w:pPr>
      <w:r>
        <w:rPr>
          <w:rFonts w:ascii="Calibri" w:cs="Calibri" w:eastAsia="Calibri" w:hAnsi="Calibri"/>
          <w:b/>
          <w:bCs/>
          <w:color w:val="333333"/>
          <w:sz w:val="22"/>
          <w:szCs w:val="22"/>
        </w:rPr>
        <w:t xml:space="preserve">Ejecución de escaneo</w:t>
      </w:r>
    </w:p>
    <w:p>
      <w:pPr>
        <w:shd w:fill="F4F6F8" w:val="clear"/>
        <w:spacing w:after="40" w:line="240"/>
        <w:ind w:left="288"/>
      </w:pPr>
      <w:r>
        <w:rPr>
          <w:rFonts w:ascii="Consolas" w:cs="Consolas" w:eastAsia="Consolas" w:hAnsi="Consolas"/>
          <w:color w:val="24292E"/>
          <w:sz w:val="17"/>
          <w:szCs w:val="17"/>
        </w:rPr>
        <w:t xml:space="preserve">scan_id, started_at, finished_at</w:t>
      </w:r>
    </w:p>
    <w:p>
      <w:pPr>
        <w:shd w:fill="F4F6F8" w:val="clear"/>
        <w:spacing w:after="40" w:line="240"/>
        <w:ind w:left="288"/>
      </w:pPr>
      <w:r>
        <w:rPr>
          <w:rFonts w:ascii="Consolas" w:cs="Consolas" w:eastAsia="Consolas" w:hAnsi="Consolas"/>
          <w:color w:val="24292E"/>
          <w:sz w:val="17"/>
          <w:szCs w:val="17"/>
        </w:rPr>
        <w:t xml:space="preserve">status                  SUCCESS | PARTIAL | FAILED</w:t>
      </w:r>
    </w:p>
    <w:p>
      <w:pPr>
        <w:shd w:fill="F4F6F8" w:val="clear"/>
        <w:spacing w:after="40" w:line="240"/>
        <w:ind w:left="288"/>
      </w:pPr>
      <w:r>
        <w:rPr>
          <w:rFonts w:ascii="Consolas" w:cs="Consolas" w:eastAsia="Consolas" w:hAnsi="Consolas"/>
          <w:color w:val="24292E"/>
          <w:sz w:val="17"/>
          <w:szCs w:val="17"/>
        </w:rPr>
        <w:t xml:space="preserve">assets_in_scope         activos que debian analizarse</w:t>
      </w:r>
    </w:p>
    <w:p>
      <w:pPr>
        <w:shd w:fill="F4F6F8" w:val="clear"/>
        <w:spacing w:after="40" w:line="240"/>
        <w:ind w:left="288"/>
      </w:pPr>
      <w:r>
        <w:rPr>
          <w:rFonts w:ascii="Consolas" w:cs="Consolas" w:eastAsia="Consolas" w:hAnsi="Consolas"/>
          <w:color w:val="24292E"/>
          <w:sz w:val="17"/>
          <w:szCs w:val="17"/>
        </w:rPr>
        <w:t xml:space="preserve">assets_analyzed         activos efectivamente analizados</w:t>
      </w:r>
    </w:p>
    <w:p>
      <w:pPr>
        <w:shd w:fill="F4F6F8" w:val="clear"/>
        <w:spacing w:after="40" w:line="240"/>
        <w:ind w:left="288"/>
      </w:pPr>
      <w:r>
        <w:rPr>
          <w:rFonts w:ascii="Consolas" w:cs="Consolas" w:eastAsia="Consolas" w:hAnsi="Consolas"/>
          <w:color w:val="24292E"/>
          <w:sz w:val="17"/>
          <w:szCs w:val="17"/>
        </w:rPr>
        <w:t xml:space="preserve">sources_ok / sources_failed</w:t>
      </w:r>
    </w:p>
    <w:p>
      <w:pPr>
        <w:pStyle w:val="Heading3"/>
        <w:spacing w:after="90" w:before="200"/>
      </w:pPr>
      <w:r>
        <w:rPr>
          <w:rFonts w:ascii="Calibri" w:cs="Calibri" w:eastAsia="Calibri" w:hAnsi="Calibri"/>
          <w:b/>
          <w:bCs/>
          <w:color w:val="333333"/>
          <w:sz w:val="22"/>
          <w:szCs w:val="22"/>
        </w:rPr>
        <w:t xml:space="preserve">Hallazgo — par activo-advisory, persistente</w:t>
      </w:r>
    </w:p>
    <w:p>
      <w:pPr>
        <w:shd w:fill="F4F6F8" w:val="clear"/>
        <w:spacing w:after="40" w:line="240"/>
        <w:ind w:left="288"/>
      </w:pPr>
      <w:r>
        <w:rPr>
          <w:rFonts w:ascii="Consolas" w:cs="Consolas" w:eastAsia="Consolas" w:hAnsi="Consolas"/>
          <w:color w:val="24292E"/>
          <w:sz w:val="17"/>
          <w:szCs w:val="17"/>
        </w:rPr>
        <w:t xml:space="preserve">finding_id</w:t>
      </w:r>
    </w:p>
    <w:p>
      <w:pPr>
        <w:shd w:fill="F4F6F8" w:val="clear"/>
        <w:spacing w:after="40" w:line="240"/>
        <w:ind w:left="288"/>
      </w:pPr>
      <w:r>
        <w:rPr>
          <w:rFonts w:ascii="Consolas" w:cs="Consolas" w:eastAsia="Consolas" w:hAnsi="Consolas"/>
          <w:color w:val="24292E"/>
          <w:sz w:val="17"/>
          <w:szCs w:val="17"/>
        </w:rPr>
        <w:t xml:space="preserve">asset_id, advisory_id, location_key</w:t>
      </w:r>
    </w:p>
    <w:p>
      <w:pPr>
        <w:shd w:fill="F4F6F8" w:val="clear"/>
        <w:spacing w:after="40" w:line="240"/>
        <w:ind w:left="288"/>
      </w:pPr>
      <w:r>
        <w:rPr>
          <w:rFonts w:ascii="Consolas" w:cs="Consolas" w:eastAsia="Consolas" w:hAnsi="Consolas"/>
          <w:color w:val="24292E"/>
          <w:sz w:val="17"/>
          <w:szCs w:val="17"/>
        </w:rPr>
        <w:t xml:space="preserve">first_detected_at       primera deteccion de este par</w:t>
      </w:r>
    </w:p>
    <w:p>
      <w:pPr>
        <w:shd w:fill="F4F6F8" w:val="clear"/>
        <w:spacing w:after="40" w:line="240"/>
        <w:ind w:left="288"/>
      </w:pPr>
      <w:r>
        <w:rPr>
          <w:rFonts w:ascii="Consolas" w:cs="Consolas" w:eastAsia="Consolas" w:hAnsi="Consolas"/>
          <w:color w:val="24292E"/>
          <w:sz w:val="17"/>
          <w:szCs w:val="17"/>
        </w:rPr>
        <w:t xml:space="preserve">current_state           estado vigente</w:t>
      </w:r>
    </w:p>
    <w:p>
      <w:pPr>
        <w:shd w:fill="F4F6F8" w:val="clear"/>
        <w:spacing w:after="40" w:line="240"/>
        <w:ind w:left="288"/>
      </w:pPr>
      <w:r>
        <w:rPr>
          <w:rFonts w:ascii="Consolas" w:cs="Consolas" w:eastAsia="Consolas" w:hAnsi="Consolas"/>
          <w:color w:val="24292E"/>
          <w:sz w:val="17"/>
          <w:szCs w:val="17"/>
        </w:rPr>
        <w:t xml:space="preserve">active                  true | false (no se borra al cerrar)</w:t>
      </w:r>
    </w:p>
    <w:p>
      <w:pPr>
        <w:shd w:fill="F4F6F8" w:val="clear"/>
        <w:spacing w:after="40" w:line="240"/>
        <w:ind w:left="288"/>
      </w:pPr>
      <w:r>
        <w:rPr>
          <w:rFonts w:ascii="Consolas" w:cs="Consolas" w:eastAsia="Consolas" w:hAnsi="Consolas"/>
          <w:color w:val="24292E"/>
          <w:sz w:val="17"/>
          <w:szCs w:val="17"/>
        </w:rPr>
        <w:t xml:space="preserve">cycle_count             cuantas veces se abrio</w:t>
      </w:r>
    </w:p>
    <w:p>
      <w:pPr>
        <w:pStyle w:val="Heading3"/>
        <w:spacing w:after="90" w:before="200"/>
      </w:pPr>
      <w:r>
        <w:rPr>
          <w:rFonts w:ascii="Calibri" w:cs="Calibri" w:eastAsia="Calibri" w:hAnsi="Calibri"/>
          <w:b/>
          <w:bCs/>
          <w:color w:val="333333"/>
          <w:sz w:val="22"/>
          <w:szCs w:val="22"/>
        </w:rPr>
        <w:t xml:space="preserve">Ciclo de remediación — varios por hallazgo</w:t>
      </w:r>
    </w:p>
    <w:p>
      <w:pPr>
        <w:shd w:fill="F4F6F8" w:val="clear"/>
        <w:spacing w:after="40" w:line="240"/>
        <w:ind w:left="288"/>
      </w:pPr>
      <w:r>
        <w:rPr>
          <w:rFonts w:ascii="Consolas" w:cs="Consolas" w:eastAsia="Consolas" w:hAnsi="Consolas"/>
          <w:color w:val="24292E"/>
          <w:sz w:val="17"/>
          <w:szCs w:val="17"/>
        </w:rPr>
        <w:t xml:space="preserve">cycle_id, finding_id, cycle_number</w:t>
      </w:r>
    </w:p>
    <w:p>
      <w:pPr>
        <w:shd w:fill="F4F6F8" w:val="clear"/>
        <w:spacing w:after="40" w:line="240"/>
        <w:ind w:left="288"/>
      </w:pPr>
      <w:r>
        <w:rPr>
          <w:rFonts w:ascii="Consolas" w:cs="Consolas" w:eastAsia="Consolas" w:hAnsi="Consolas"/>
          <w:color w:val="24292E"/>
          <w:sz w:val="17"/>
          <w:szCs w:val="17"/>
        </w:rPr>
        <w:t xml:space="preserve">detected_at             apertura de este ciclo</w:t>
      </w:r>
    </w:p>
    <w:p>
      <w:pPr>
        <w:shd w:fill="F4F6F8" w:val="clear"/>
        <w:spacing w:after="40" w:line="240"/>
        <w:ind w:left="288"/>
      </w:pPr>
      <w:r>
        <w:rPr>
          <w:rFonts w:ascii="Consolas" w:cs="Consolas" w:eastAsia="Consolas" w:hAnsi="Consolas"/>
          <w:color w:val="24292E"/>
          <w:sz w:val="17"/>
          <w:szCs w:val="17"/>
        </w:rPr>
        <w:t xml:space="preserve">acknowledged_at         primer triage humano</w:t>
      </w:r>
    </w:p>
    <w:p>
      <w:pPr>
        <w:shd w:fill="F4F6F8" w:val="clear"/>
        <w:spacing w:after="40" w:line="240"/>
        <w:ind w:left="288"/>
      </w:pPr>
      <w:r>
        <w:rPr>
          <w:rFonts w:ascii="Consolas" w:cs="Consolas" w:eastAsia="Consolas" w:hAnsi="Consolas"/>
          <w:color w:val="24292E"/>
          <w:sz w:val="17"/>
          <w:szCs w:val="17"/>
        </w:rPr>
        <w:t xml:space="preserve">remediation_started_at  inicio del trabajo</w:t>
      </w:r>
    </w:p>
    <w:p>
      <w:pPr>
        <w:shd w:fill="F4F6F8" w:val="clear"/>
        <w:spacing w:after="40" w:line="240"/>
        <w:ind w:left="288"/>
      </w:pPr>
      <w:r>
        <w:rPr>
          <w:rFonts w:ascii="Consolas" w:cs="Consolas" w:eastAsia="Consolas" w:hAnsi="Consolas"/>
          <w:color w:val="24292E"/>
          <w:sz w:val="17"/>
          <w:szCs w:val="17"/>
        </w:rPr>
        <w:t xml:space="preserve">declared_at             resolucion declarada</w:t>
      </w:r>
    </w:p>
    <w:p>
      <w:pPr>
        <w:shd w:fill="F4F6F8" w:val="clear"/>
        <w:spacing w:after="40" w:line="240"/>
        <w:ind w:left="288"/>
      </w:pPr>
      <w:r>
        <w:rPr>
          <w:rFonts w:ascii="Consolas" w:cs="Consolas" w:eastAsia="Consolas" w:hAnsi="Consolas"/>
          <w:color w:val="24292E"/>
          <w:sz w:val="17"/>
          <w:szCs w:val="17"/>
        </w:rPr>
        <w:t xml:space="preserve">verified_at             resolucion verificada por el sistema</w:t>
      </w:r>
    </w:p>
    <w:p>
      <w:pPr>
        <w:shd w:fill="F4F6F8" w:val="clear"/>
        <w:spacing w:after="40" w:line="240"/>
        <w:ind w:left="288"/>
      </w:pPr>
      <w:r>
        <w:rPr>
          <w:rFonts w:ascii="Consolas" w:cs="Consolas" w:eastAsia="Consolas" w:hAnsi="Consolas"/>
          <w:color w:val="24292E"/>
          <w:sz w:val="17"/>
          <w:szCs w:val="17"/>
        </w:rPr>
        <w:t xml:space="preserve">closed_at               cierre formal</w:t>
      </w:r>
    </w:p>
    <w:p>
      <w:pPr>
        <w:shd w:fill="F4F6F8" w:val="clear"/>
        <w:spacing w:after="40" w:line="240"/>
        <w:ind w:left="288"/>
      </w:pPr>
      <w:r>
        <w:rPr>
          <w:rFonts w:ascii="Consolas" w:cs="Consolas" w:eastAsia="Consolas" w:hAnsi="Consolas"/>
          <w:color w:val="24292E"/>
          <w:sz w:val="17"/>
          <w:szCs w:val="17"/>
        </w:rPr>
        <w:t xml:space="preserve">due_date                fecha limite calculada</w:t>
      </w:r>
    </w:p>
    <w:p>
      <w:pPr>
        <w:shd w:fill="F4F6F8" w:val="clear"/>
        <w:spacing w:after="40" w:line="240"/>
        <w:ind w:left="288"/>
      </w:pPr>
      <w:r>
        <w:rPr>
          <w:rFonts w:ascii="Consolas" w:cs="Consolas" w:eastAsia="Consolas" w:hAnsi="Consolas"/>
          <w:color w:val="24292E"/>
          <w:sz w:val="17"/>
          <w:szCs w:val="17"/>
        </w:rPr>
        <w:t xml:space="preserve">priority_tier           nivel asignado</w:t>
      </w:r>
    </w:p>
    <w:p>
      <w:pPr>
        <w:shd w:fill="F4F6F8" w:val="clear"/>
        <w:spacing w:after="40" w:line="240"/>
        <w:ind w:left="288"/>
      </w:pPr>
      <w:r>
        <w:rPr>
          <w:rFonts w:ascii="Consolas" w:cs="Consolas" w:eastAsia="Consolas" w:hAnsi="Consolas"/>
          <w:color w:val="24292E"/>
          <w:sz w:val="17"/>
          <w:szCs w:val="17"/>
        </w:rPr>
        <w:t xml:space="preserve">priority_variables      variables que determinaron el nivel</w:t>
      </w:r>
    </w:p>
    <w:p>
      <w:pPr>
        <w:shd w:fill="F4F6F8" w:val="clear"/>
        <w:spacing w:after="40" w:line="240"/>
        <w:ind w:left="288"/>
      </w:pPr>
      <w:r>
        <w:rPr>
          <w:rFonts w:ascii="Consolas" w:cs="Consolas" w:eastAsia="Consolas" w:hAnsi="Consolas"/>
          <w:color w:val="24292E"/>
          <w:sz w:val="17"/>
          <w:szCs w:val="17"/>
        </w:rPr>
        <w:t xml:space="preserve">version_before / version_after</w:t>
      </w:r>
    </w:p>
    <w:p>
      <w:pPr>
        <w:shd w:fill="F4F6F8" w:val="clear"/>
        <w:spacing w:after="40" w:line="240"/>
        <w:ind w:left="288"/>
      </w:pPr>
      <w:r>
        <w:rPr>
          <w:rFonts w:ascii="Consolas" w:cs="Consolas" w:eastAsia="Consolas" w:hAnsi="Consolas"/>
          <w:color w:val="24292E"/>
          <w:sz w:val="17"/>
          <w:szCs w:val="17"/>
        </w:rPr>
        <w:t xml:space="preserve">verification_method     como se verifico</w:t>
      </w:r>
    </w:p>
    <w:p>
      <w:pPr>
        <w:shd w:fill="F4F6F8" w:val="clear"/>
        <w:spacing w:after="40" w:line="240"/>
        <w:ind w:left="288"/>
      </w:pPr>
      <w:r>
        <w:rPr>
          <w:rFonts w:ascii="Consolas" w:cs="Consolas" w:eastAsia="Consolas" w:hAnsi="Consolas"/>
          <w:color w:val="24292E"/>
          <w:sz w:val="17"/>
          <w:szCs w:val="17"/>
        </w:rPr>
        <w:t xml:space="preserve">evidence_level          E0..E6</w:t>
      </w:r>
    </w:p>
    <w:p>
      <w:pPr>
        <w:shd w:fill="F4F6F8" w:val="clear"/>
        <w:spacing w:after="40" w:line="240"/>
        <w:ind w:left="288"/>
      </w:pPr>
      <w:r>
        <w:rPr>
          <w:rFonts w:ascii="Consolas" w:cs="Consolas" w:eastAsia="Consolas" w:hAnsi="Consolas"/>
          <w:color w:val="24292E"/>
          <w:sz w:val="17"/>
          <w:szCs w:val="17"/>
        </w:rPr>
        <w:t xml:space="preserve">outcome                 VERIFICADA | DECLARADA | MITIGADA |</w:t>
      </w:r>
    </w:p>
    <w:p>
      <w:pPr>
        <w:shd w:fill="F4F6F8" w:val="clear"/>
        <w:spacing w:after="40" w:line="240"/>
        <w:ind w:left="288"/>
      </w:pPr>
      <w:r>
        <w:rPr>
          <w:rFonts w:ascii="Consolas" w:cs="Consolas" w:eastAsia="Consolas" w:hAnsi="Consolas"/>
          <w:color w:val="24292E"/>
          <w:sz w:val="17"/>
          <w:szCs w:val="17"/>
        </w:rPr>
        <w:t xml:space="preserve">                        DESCARTADA | RIESGO_ACEPTADO |</w:t>
      </w:r>
    </w:p>
    <w:p>
      <w:pPr>
        <w:shd w:fill="F4F6F8" w:val="clear"/>
        <w:spacing w:after="40" w:line="240"/>
        <w:ind w:left="288"/>
      </w:pPr>
      <w:r>
        <w:rPr>
          <w:rFonts w:ascii="Consolas" w:cs="Consolas" w:eastAsia="Consolas" w:hAnsi="Consolas"/>
          <w:color w:val="24292E"/>
          <w:sz w:val="17"/>
          <w:szCs w:val="17"/>
        </w:rPr>
        <w:t xml:space="preserve">                        ACTIVO_DE_BAJA</w:t>
      </w:r>
    </w:p>
    <w:p>
      <w:pPr>
        <w:shd w:fill="F4F6F8" w:val="clear"/>
        <w:spacing w:after="40" w:line="240"/>
        <w:ind w:left="288"/>
      </w:pPr>
      <w:r>
        <w:rPr>
          <w:rFonts w:ascii="Consolas" w:cs="Consolas" w:eastAsia="Consolas" w:hAnsi="Consolas"/>
          <w:color w:val="24292E"/>
          <w:sz w:val="17"/>
          <w:szCs w:val="17"/>
        </w:rPr>
        <w:t xml:space="preserve">justification           obligatoria si DESCARTADA</w:t>
      </w:r>
    </w:p>
    <w:p>
      <w:pPr>
        <w:pStyle w:val="Heading3"/>
        <w:spacing w:after="90" w:before="200"/>
      </w:pPr>
      <w:r>
        <w:rPr>
          <w:rFonts w:ascii="Calibri" w:cs="Calibri" w:eastAsia="Calibri" w:hAnsi="Calibri"/>
          <w:b/>
          <w:bCs/>
          <w:color w:val="333333"/>
          <w:sz w:val="22"/>
          <w:szCs w:val="22"/>
        </w:rPr>
        <w:t xml:space="preserve">Transición de estado — auditoría</w:t>
      </w:r>
    </w:p>
    <w:p>
      <w:pPr>
        <w:shd w:fill="F4F6F8" w:val="clear"/>
        <w:spacing w:after="40" w:line="240"/>
        <w:ind w:left="288"/>
      </w:pPr>
      <w:r>
        <w:rPr>
          <w:rFonts w:ascii="Consolas" w:cs="Consolas" w:eastAsia="Consolas" w:hAnsi="Consolas"/>
          <w:color w:val="24292E"/>
          <w:sz w:val="17"/>
          <w:szCs w:val="17"/>
        </w:rPr>
        <w:t xml:space="preserve">transition_id, cycle_id</w:t>
      </w:r>
    </w:p>
    <w:p>
      <w:pPr>
        <w:shd w:fill="F4F6F8" w:val="clear"/>
        <w:spacing w:after="40" w:line="240"/>
        <w:ind w:left="288"/>
      </w:pPr>
      <w:r>
        <w:rPr>
          <w:rFonts w:ascii="Consolas" w:cs="Consolas" w:eastAsia="Consolas" w:hAnsi="Consolas"/>
          <w:color w:val="24292E"/>
          <w:sz w:val="17"/>
          <w:szCs w:val="17"/>
        </w:rPr>
        <w:t xml:space="preserve">from_state, to_state</w:t>
      </w:r>
    </w:p>
    <w:p>
      <w:pPr>
        <w:shd w:fill="F4F6F8" w:val="clear"/>
        <w:spacing w:after="40" w:line="240"/>
        <w:ind w:left="288"/>
      </w:pPr>
      <w:r>
        <w:rPr>
          <w:rFonts w:ascii="Consolas" w:cs="Consolas" w:eastAsia="Consolas" w:hAnsi="Consolas"/>
          <w:color w:val="24292E"/>
          <w:sz w:val="17"/>
          <w:szCs w:val="17"/>
        </w:rPr>
        <w:t xml:space="preserve">occurred_at</w:t>
      </w:r>
    </w:p>
    <w:p>
      <w:pPr>
        <w:shd w:fill="F4F6F8" w:val="clear"/>
        <w:spacing w:after="40" w:line="240"/>
        <w:ind w:left="288"/>
      </w:pPr>
      <w:r>
        <w:rPr>
          <w:rFonts w:ascii="Consolas" w:cs="Consolas" w:eastAsia="Consolas" w:hAnsi="Consolas"/>
          <w:color w:val="24292E"/>
          <w:sz w:val="17"/>
          <w:szCs w:val="17"/>
        </w:rPr>
        <w:t xml:space="preserve">actor_id                usuario o proceso</w:t>
      </w:r>
    </w:p>
    <w:p>
      <w:pPr>
        <w:shd w:fill="F4F6F8" w:val="clear"/>
        <w:spacing w:after="40" w:line="240"/>
        <w:ind w:left="288"/>
      </w:pPr>
      <w:r>
        <w:rPr>
          <w:rFonts w:ascii="Consolas" w:cs="Consolas" w:eastAsia="Consolas" w:hAnsi="Consolas"/>
          <w:color w:val="24292E"/>
          <w:sz w:val="17"/>
          <w:szCs w:val="17"/>
        </w:rPr>
        <w:t xml:space="preserve">actor_type              HUMANO | ESCANER | POLITICA</w:t>
      </w:r>
    </w:p>
    <w:p>
      <w:pPr>
        <w:shd w:fill="F4F6F8" w:val="clear"/>
        <w:spacing w:after="40" w:line="240"/>
        <w:ind w:left="288"/>
      </w:pPr>
      <w:r>
        <w:rPr>
          <w:rFonts w:ascii="Consolas" w:cs="Consolas" w:eastAsia="Consolas" w:hAnsi="Consolas"/>
          <w:color w:val="24292E"/>
          <w:sz w:val="17"/>
          <w:szCs w:val="17"/>
        </w:rPr>
        <w:t xml:space="preserve">trigger                 que la disparo</w:t>
      </w:r>
    </w:p>
    <w:p>
      <w:pPr>
        <w:shd w:fill="F4F6F8" w:val="clear"/>
        <w:spacing w:after="40" w:line="240"/>
        <w:ind w:left="288"/>
      </w:pPr>
      <w:r>
        <w:rPr>
          <w:rFonts w:ascii="Consolas" w:cs="Consolas" w:eastAsia="Consolas" w:hAnsi="Consolas"/>
          <w:color w:val="24292E"/>
          <w:sz w:val="17"/>
          <w:szCs w:val="17"/>
        </w:rPr>
        <w:t xml:space="preserve">evidence_ref            referencia a la evidencia</w:t>
      </w:r>
    </w:p>
    <w:p>
      <w:pPr>
        <w:shd w:fill="F4F6F8" w:val="clear"/>
        <w:spacing w:after="40" w:line="240"/>
        <w:ind w:left="288"/>
      </w:pPr>
      <w:r>
        <w:rPr>
          <w:rFonts w:ascii="Consolas" w:cs="Consolas" w:eastAsia="Consolas" w:hAnsi="Consolas"/>
          <w:color w:val="24292E"/>
          <w:sz w:val="17"/>
          <w:szCs w:val="17"/>
        </w:rPr>
        <w:t xml:space="preserve">comment                 texto libre</w:t>
      </w:r>
    </w:p>
    <w:p>
      <w:pPr>
        <w:pStyle w:val="Heading3"/>
        <w:spacing w:after="90" w:before="200"/>
      </w:pPr>
      <w:r>
        <w:rPr>
          <w:rFonts w:ascii="Calibri" w:cs="Calibri" w:eastAsia="Calibri" w:hAnsi="Calibri"/>
          <w:b/>
          <w:bCs/>
          <w:color w:val="333333"/>
          <w:sz w:val="22"/>
          <w:szCs w:val="22"/>
        </w:rPr>
        <w:t xml:space="preserve">Excepción o aceptación de riesgo</w:t>
      </w:r>
    </w:p>
    <w:p>
      <w:pPr>
        <w:shd w:fill="F4F6F8" w:val="clear"/>
        <w:spacing w:after="40" w:line="240"/>
        <w:ind w:left="288"/>
      </w:pPr>
      <w:r>
        <w:rPr>
          <w:rFonts w:ascii="Consolas" w:cs="Consolas" w:eastAsia="Consolas" w:hAnsi="Consolas"/>
          <w:color w:val="24292E"/>
          <w:sz w:val="17"/>
          <w:szCs w:val="17"/>
        </w:rPr>
        <w:t xml:space="preserve">exception_id, cycle_id</w:t>
      </w:r>
    </w:p>
    <w:p>
      <w:pPr>
        <w:shd w:fill="F4F6F8" w:val="clear"/>
        <w:spacing w:after="40" w:line="240"/>
        <w:ind w:left="288"/>
      </w:pPr>
      <w:r>
        <w:rPr>
          <w:rFonts w:ascii="Consolas" w:cs="Consolas" w:eastAsia="Consolas" w:hAnsi="Consolas"/>
          <w:color w:val="24292E"/>
          <w:sz w:val="17"/>
          <w:szCs w:val="17"/>
        </w:rPr>
        <w:t xml:space="preserve">type, reason</w:t>
      </w:r>
    </w:p>
    <w:p>
      <w:pPr>
        <w:shd w:fill="F4F6F8" w:val="clear"/>
        <w:spacing w:after="40" w:line="240"/>
        <w:ind w:left="288"/>
      </w:pPr>
      <w:r>
        <w:rPr>
          <w:rFonts w:ascii="Consolas" w:cs="Consolas" w:eastAsia="Consolas" w:hAnsi="Consolas"/>
          <w:color w:val="24292E"/>
          <w:sz w:val="17"/>
          <w:szCs w:val="17"/>
        </w:rPr>
        <w:t xml:space="preserve">approved_by, approved_at</w:t>
      </w:r>
    </w:p>
    <w:p>
      <w:pPr>
        <w:shd w:fill="F4F6F8" w:val="clear"/>
        <w:spacing w:after="40" w:line="240"/>
        <w:ind w:left="288"/>
      </w:pPr>
      <w:r>
        <w:rPr>
          <w:rFonts w:ascii="Consolas" w:cs="Consolas" w:eastAsia="Consolas" w:hAnsi="Consolas"/>
          <w:color w:val="24292E"/>
          <w:sz w:val="17"/>
          <w:szCs w:val="17"/>
        </w:rPr>
        <w:t xml:space="preserve">expires_at              obligatorio</w:t>
      </w:r>
    </w:p>
    <w:p>
      <w:pPr>
        <w:shd w:fill="F4F6F8" w:val="clear"/>
        <w:spacing w:after="40" w:line="240"/>
        <w:ind w:left="288"/>
      </w:pPr>
      <w:r>
        <w:rPr>
          <w:rFonts w:ascii="Consolas" w:cs="Consolas" w:eastAsia="Consolas" w:hAnsi="Consolas"/>
          <w:color w:val="24292E"/>
          <w:sz w:val="17"/>
          <w:szCs w:val="17"/>
        </w:rPr>
        <w:t xml:space="preserve">compensating_controls</w:t>
      </w:r>
    </w:p>
    <w:p>
      <w:pPr>
        <w:shd w:fill="F4F6F8" w:val="clear"/>
        <w:spacing w:after="40" w:line="240"/>
        <w:ind w:left="288"/>
      </w:pPr>
      <w:r>
        <w:rPr>
          <w:rFonts w:ascii="Consolas" w:cs="Consolas" w:eastAsia="Consolas" w:hAnsi="Consolas"/>
          <w:color w:val="24292E"/>
          <w:sz w:val="17"/>
          <w:szCs w:val="17"/>
        </w:rPr>
        <w:t xml:space="preserve">review_at</w:t>
      </w:r>
    </w:p>
    <w:p>
      <w:pPr>
        <w:spacing w:after="140"/>
      </w:pPr>
    </w:p>
    <w:tbl>
      <w:tblPr>
        <w:tblW w:type="dxa" w:w="9360"/>
        <w:tblBorders>
          <w:top w:val="none"/>
          <w:left w:val="single" w:color="2E5C8A" w:sz="18"/>
          <w:bottom w:val="none"/>
          <w:right w:val="none"/>
          <w:insideH w:val="none"/>
          <w:insideV w:val="none"/>
        </w:tblBorders>
      </w:tblPr>
      <w:tblGrid>
        <w:gridCol w:w="9360"/>
      </w:tblGrid>
      <w:tr>
        <w:tc>
          <w:tcPr>
            <w:tcW w:type="dxa" w:w="9360"/>
            <w:shd w:fill="EEF2F7" w:val="clear"/>
            <w:tcMar>
              <w:top w:type="dxa" w:w="140"/>
              <w:left w:type="dxa" w:w="200"/>
              <w:bottom w:type="dxa" w:w="140"/>
              <w:right w:type="dxa" w:w="200"/>
            </w:tcMar>
          </w:tcPr>
          <w:p>
            <w:pPr>
              <w:spacing w:after="100" w:line="276"/>
            </w:pPr>
            <w:r>
              <w:rPr>
                <w:rFonts w:ascii="Calibri" w:cs="Calibri" w:eastAsia="Calibri" w:hAnsi="Calibri"/>
                <w:b/>
                <w:bCs/>
                <w:color w:val="1F3864"/>
                <w:sz w:val="21"/>
                <w:szCs w:val="21"/>
              </w:rPr>
              <w:t xml:space="preserve">Las dos decisiones estructurales</w:t>
            </w:r>
          </w:p>
          <w:p>
            <w:pPr>
              <w:spacing w:after="100" w:line="276"/>
            </w:pPr>
            <w:r>
              <w:rPr>
                <w:rFonts w:ascii="Calibri" w:cs="Calibri" w:eastAsia="Calibri" w:hAnsi="Calibri"/>
                <w:sz w:val="21"/>
                <w:szCs w:val="21"/>
              </w:rPr>
              <w:t xml:space="preserve">Primera: separar el hallazgo persistente del ciclo de remediación. Si los timestamps viven en el hallazgo, cada reapertura sobrescribe la historia y se pierde la recurrencia.</w:t>
            </w:r>
          </w:p>
          <w:p>
            <w:pPr>
              <w:spacing w:after="0" w:line="276"/>
            </w:pPr>
            <w:r>
              <w:rPr>
                <w:rFonts w:ascii="Calibri" w:cs="Calibri" w:eastAsia="Calibri" w:hAnsi="Calibri"/>
                <w:sz w:val="21"/>
                <w:szCs w:val="21"/>
              </w:rPr>
              <w:t xml:space="preserve">Segunda: la transición de estado como entidad propia. Si el estado es un campo mutable, no hay tiempo de permanencia, no hay auditoría y no hay forma de recalcular una métrica cuando cambia su definición.</w:t>
            </w:r>
          </w:p>
        </w:tc>
      </w:tr>
    </w:tbl>
    <w:p>
      <w:pPr>
        <w:pStyle w:val="Heading1"/>
        <w:pBdr>
          <w:bottom w:val="single" w:color="1F3864" w:sz="8" w:space="6"/>
        </w:pBdr>
        <w:spacing w:after="160" w:before="340"/>
      </w:pPr>
      <w:r>
        <w:rPr>
          <w:rFonts w:ascii="Calibri" w:cs="Calibri" w:eastAsia="Calibri" w:hAnsi="Calibri"/>
          <w:b/>
          <w:bCs/>
          <w:color w:val="1F3864"/>
          <w:sz w:val="30"/>
          <w:szCs w:val="30"/>
        </w:rPr>
        <w:t xml:space="preserve">15. Antipatrones</w:t>
      </w:r>
    </w:p>
    <w:p>
      <w:pPr>
        <w:spacing w:after="120" w:before="0" w:line="276"/>
      </w:pPr>
      <w:r>
        <w:rPr>
          <w:rFonts w:ascii="Calibri" w:cs="Calibri" w:eastAsia="Calibri" w:hAnsi="Calibri"/>
          <w:sz w:val="21"/>
          <w:szCs w:val="21"/>
        </w:rPr>
        <w:t xml:space="preserve">Fallas recurrentes en implementaciones y en su documentación. Todas son verificables por un lector externo, lo que las vuelve especialmente costosas en un trabajo académico.</w:t>
      </w:r>
    </w:p>
    <w:p>
      <w:pPr>
        <w:spacing w:after="60"/>
      </w:pPr>
    </w:p>
    <w:tbl>
      <w:tblPr>
        <w:tblW w:type="dxa" w:w="9360"/>
        <w:tblBorders>
          <w:top w:val="single" w:color="C9D3E0" w:sz="4"/>
          <w:left w:val="single" w:color="C9D3E0" w:sz="4"/>
          <w:bottom w:val="single" w:color="C9D3E0" w:sz="4"/>
          <w:right w:val="single" w:color="C9D3E0" w:sz="4"/>
          <w:insideH w:val="single" w:color="DDE4ED" w:sz="2"/>
          <w:insideV w:val="single" w:color="DDE4ED" w:sz="2"/>
        </w:tblBorders>
      </w:tblPr>
      <w:tblGrid>
        <w:gridCol w:w="1900"/>
        <w:gridCol w:w="3900"/>
        <w:gridCol w:w="3560"/>
      </w:tblGrid>
      <w:tr>
        <w:trPr>
          <w:tblHeader/>
        </w:trPr>
        <w:tc>
          <w:tcPr>
            <w:tcW w:type="dxa" w:w="1900"/>
            <w:shd w:fill="1F3864" w:val="clear"/>
            <w:tcMar>
              <w:top w:type="dxa" w:w="90"/>
              <w:left w:type="dxa" w:w="110"/>
              <w:bottom w:type="dxa" w:w="90"/>
              <w:right w:type="dxa" w:w="110"/>
            </w:tcMar>
          </w:tcPr>
          <w:p>
            <w:pPr>
              <w:spacing w:after="0"/>
            </w:pPr>
            <w:r>
              <w:rPr>
                <w:rFonts w:ascii="Calibri" w:cs="Calibri" w:eastAsia="Calibri" w:hAnsi="Calibri"/>
                <w:b/>
                <w:bCs/>
                <w:color w:val="FFFFFF"/>
                <w:sz w:val="19"/>
                <w:szCs w:val="19"/>
              </w:rPr>
              <w:t xml:space="preserve">Antipatrón</w:t>
            </w:r>
          </w:p>
        </w:tc>
        <w:tc>
          <w:tcPr>
            <w:tcW w:type="dxa" w:w="3900"/>
            <w:shd w:fill="1F3864" w:val="clear"/>
            <w:tcMar>
              <w:top w:type="dxa" w:w="90"/>
              <w:left w:type="dxa" w:w="110"/>
              <w:bottom w:type="dxa" w:w="90"/>
              <w:right w:type="dxa" w:w="110"/>
            </w:tcMar>
          </w:tcPr>
          <w:p>
            <w:pPr>
              <w:spacing w:after="0"/>
            </w:pPr>
            <w:r>
              <w:rPr>
                <w:rFonts w:ascii="Calibri" w:cs="Calibri" w:eastAsia="Calibri" w:hAnsi="Calibri"/>
                <w:b/>
                <w:bCs/>
                <w:color w:val="FFFFFF"/>
                <w:sz w:val="19"/>
                <w:szCs w:val="19"/>
              </w:rPr>
              <w:t xml:space="preserve">En qué consiste</w:t>
            </w:r>
          </w:p>
        </w:tc>
        <w:tc>
          <w:tcPr>
            <w:tcW w:type="dxa" w:w="3560"/>
            <w:shd w:fill="1F3864" w:val="clear"/>
            <w:tcMar>
              <w:top w:type="dxa" w:w="90"/>
              <w:left w:type="dxa" w:w="110"/>
              <w:bottom w:type="dxa" w:w="90"/>
              <w:right w:type="dxa" w:w="110"/>
            </w:tcMar>
          </w:tcPr>
          <w:p>
            <w:pPr>
              <w:spacing w:after="0"/>
            </w:pPr>
            <w:r>
              <w:rPr>
                <w:rFonts w:ascii="Calibri" w:cs="Calibri" w:eastAsia="Calibri" w:hAnsi="Calibri"/>
                <w:b/>
                <w:bCs/>
                <w:color w:val="FFFFFF"/>
                <w:sz w:val="19"/>
                <w:szCs w:val="19"/>
              </w:rPr>
              <w:t xml:space="preserve">Consecuencia</w:t>
            </w:r>
          </w:p>
        </w:tc>
      </w:tr>
      <w:tr>
        <w:tc>
          <w:tcPr>
            <w:tcW w:type="dxa" w:w="1900"/>
            <w:tcMar>
              <w:top w:type="dxa" w:w="80"/>
              <w:left w:type="dxa" w:w="110"/>
              <w:bottom w:type="dxa" w:w="80"/>
              <w:right w:type="dxa" w:w="110"/>
            </w:tcMar>
          </w:tcPr>
          <w:p>
            <w:pPr>
              <w:spacing w:after="0" w:line="250"/>
            </w:pPr>
            <w:r>
              <w:rPr>
                <w:rFonts w:ascii="Calibri" w:cs="Calibri" w:eastAsia="Calibri" w:hAnsi="Calibri"/>
                <w:b/>
                <w:bCs/>
                <w:sz w:val="18"/>
                <w:szCs w:val="18"/>
              </w:rPr>
              <w:t xml:space="preserve">MTTR nominal</w:t>
            </w:r>
          </w:p>
        </w:tc>
        <w:tc>
          <w:tcPr>
            <w:tcW w:type="dxa" w:w="390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Llamar MTTR a un intervalo que mide gestión declarada, no remediación verificada.</w:t>
            </w:r>
          </w:p>
        </w:tc>
        <w:tc>
          <w:tcPr>
            <w:tcW w:type="dxa" w:w="356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El nombre promete evidencia que el dato no tiene. Se detecta cruzando el anexo de métricas contra el modelo de datos.</w:t>
            </w:r>
          </w:p>
        </w:tc>
      </w:tr>
      <w:tr>
        <w:tc>
          <w:tcPr>
            <w:tcW w:type="dxa" w:w="1900"/>
            <w:shd w:fill="F6F8FB" w:val="clear"/>
            <w:tcMar>
              <w:top w:type="dxa" w:w="80"/>
              <w:left w:type="dxa" w:w="110"/>
              <w:bottom w:type="dxa" w:w="80"/>
              <w:right w:type="dxa" w:w="110"/>
            </w:tcMar>
          </w:tcPr>
          <w:p>
            <w:pPr>
              <w:spacing w:after="0" w:line="250"/>
            </w:pPr>
            <w:r>
              <w:rPr>
                <w:rFonts w:ascii="Calibri" w:cs="Calibri" w:eastAsia="Calibri" w:hAnsi="Calibri"/>
                <w:b/>
                <w:bCs/>
                <w:sz w:val="18"/>
                <w:szCs w:val="18"/>
              </w:rPr>
              <w:t xml:space="preserve">Cierre por ausencia</w:t>
            </w:r>
          </w:p>
        </w:tc>
        <w:tc>
          <w:tcPr>
            <w:tcW w:type="dxa" w:w="3900"/>
            <w:shd w:fill="F6F8FB" w:val="clear"/>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Interpretar la desaparición de un hallazgo como remediación sin verificar cobertura.</w:t>
            </w:r>
          </w:p>
        </w:tc>
        <w:tc>
          <w:tcPr>
            <w:tcW w:type="dxa" w:w="3560"/>
            <w:shd w:fill="F6F8FB" w:val="clear"/>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Las métricas mejoran a medida que la cobertura empeora.</w:t>
            </w:r>
          </w:p>
        </w:tc>
      </w:tr>
      <w:tr>
        <w:tc>
          <w:tcPr>
            <w:tcW w:type="dxa" w:w="1900"/>
            <w:tcMar>
              <w:top w:type="dxa" w:w="80"/>
              <w:left w:type="dxa" w:w="110"/>
              <w:bottom w:type="dxa" w:w="80"/>
              <w:right w:type="dxa" w:w="110"/>
            </w:tcMar>
          </w:tcPr>
          <w:p>
            <w:pPr>
              <w:spacing w:after="0" w:line="250"/>
            </w:pPr>
            <w:r>
              <w:rPr>
                <w:rFonts w:ascii="Calibri" w:cs="Calibri" w:eastAsia="Calibri" w:hAnsi="Calibri"/>
                <w:b/>
                <w:bCs/>
                <w:sz w:val="18"/>
                <w:szCs w:val="18"/>
              </w:rPr>
              <w:t xml:space="preserve">El CVE como unidad de cierre</w:t>
            </w:r>
          </w:p>
        </w:tc>
        <w:tc>
          <w:tcPr>
            <w:tcW w:type="dxa" w:w="390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Marcar un CVE como resuelto en lugar del par CVE-activo.</w:t>
            </w:r>
          </w:p>
        </w:tc>
        <w:tc>
          <w:tcPr>
            <w:tcW w:type="dxa" w:w="356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Imposible representar que un activo está cerrado y otro abierto bajo el mismo CVE.</w:t>
            </w:r>
          </w:p>
        </w:tc>
      </w:tr>
      <w:tr>
        <w:tc>
          <w:tcPr>
            <w:tcW w:type="dxa" w:w="1900"/>
            <w:shd w:fill="F6F8FB" w:val="clear"/>
            <w:tcMar>
              <w:top w:type="dxa" w:w="80"/>
              <w:left w:type="dxa" w:w="110"/>
              <w:bottom w:type="dxa" w:w="80"/>
              <w:right w:type="dxa" w:w="110"/>
            </w:tcMar>
          </w:tcPr>
          <w:p>
            <w:pPr>
              <w:spacing w:after="0" w:line="250"/>
            </w:pPr>
            <w:r>
              <w:rPr>
                <w:rFonts w:ascii="Calibri" w:cs="Calibri" w:eastAsia="Calibri" w:hAnsi="Calibri"/>
                <w:b/>
                <w:bCs/>
                <w:sz w:val="18"/>
                <w:szCs w:val="18"/>
              </w:rPr>
              <w:t xml:space="preserve">Estado sin historia</w:t>
            </w:r>
          </w:p>
        </w:tc>
        <w:tc>
          <w:tcPr>
            <w:tcW w:type="dxa" w:w="3900"/>
            <w:shd w:fill="F6F8FB" w:val="clear"/>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Un único campo de fecha que se sobrescribe en cada transición.</w:t>
            </w:r>
          </w:p>
        </w:tc>
        <w:tc>
          <w:tcPr>
            <w:tcW w:type="dxa" w:w="3560"/>
            <w:shd w:fill="F6F8FB" w:val="clear"/>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Solo se puede calcular un intervalo. La secuencia se pierde.</w:t>
            </w:r>
          </w:p>
        </w:tc>
      </w:tr>
      <w:tr>
        <w:tc>
          <w:tcPr>
            <w:tcW w:type="dxa" w:w="1900"/>
            <w:tcMar>
              <w:top w:type="dxa" w:w="80"/>
              <w:left w:type="dxa" w:w="110"/>
              <w:bottom w:type="dxa" w:w="80"/>
              <w:right w:type="dxa" w:w="110"/>
            </w:tcMar>
          </w:tcPr>
          <w:p>
            <w:pPr>
              <w:spacing w:after="0" w:line="250"/>
            </w:pPr>
            <w:r>
              <w:rPr>
                <w:rFonts w:ascii="Calibri" w:cs="Calibri" w:eastAsia="Calibri" w:hAnsi="Calibri"/>
                <w:b/>
                <w:bCs/>
                <w:sz w:val="18"/>
                <w:szCs w:val="18"/>
              </w:rPr>
              <w:t xml:space="preserve">Ticket cerrado igual a vulnerabilidad remediada</w:t>
            </w:r>
          </w:p>
        </w:tc>
        <w:tc>
          <w:tcPr>
            <w:tcW w:type="dxa" w:w="390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Tomar el cierre del flujo de trabajo como prueba del cierre técnico.</w:t>
            </w:r>
          </w:p>
        </w:tc>
        <w:tc>
          <w:tcPr>
            <w:tcW w:type="dxa" w:w="356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Demuestra que el ticket se cerró, no que la exposición terminó.</w:t>
            </w:r>
          </w:p>
        </w:tc>
      </w:tr>
      <w:tr>
        <w:tc>
          <w:tcPr>
            <w:tcW w:type="dxa" w:w="1900"/>
            <w:shd w:fill="F6F8FB" w:val="clear"/>
            <w:tcMar>
              <w:top w:type="dxa" w:w="80"/>
              <w:left w:type="dxa" w:w="110"/>
              <w:bottom w:type="dxa" w:w="80"/>
              <w:right w:type="dxa" w:w="110"/>
            </w:tcMar>
          </w:tcPr>
          <w:p>
            <w:pPr>
              <w:spacing w:after="0" w:line="250"/>
            </w:pPr>
            <w:r>
              <w:rPr>
                <w:rFonts w:ascii="Calibri" w:cs="Calibri" w:eastAsia="Calibri" w:hAnsi="Calibri"/>
                <w:b/>
                <w:bCs/>
                <w:sz w:val="18"/>
                <w:szCs w:val="18"/>
              </w:rPr>
              <w:t xml:space="preserve">Ancla no declarada</w:t>
            </w:r>
          </w:p>
        </w:tc>
        <w:tc>
          <w:tcPr>
            <w:tcW w:type="dxa" w:w="3900"/>
            <w:shd w:fill="F6F8FB" w:val="clear"/>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Medir desde la notificación o desde la creación del ticket sin decirlo.</w:t>
            </w:r>
          </w:p>
        </w:tc>
        <w:tc>
          <w:tcPr>
            <w:tcW w:type="dxa" w:w="3560"/>
            <w:shd w:fill="F6F8FB" w:val="clear"/>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El intervalo resulta menor y no es comparable con la literatura.</w:t>
            </w:r>
          </w:p>
        </w:tc>
      </w:tr>
      <w:tr>
        <w:tc>
          <w:tcPr>
            <w:tcW w:type="dxa" w:w="1900"/>
            <w:tcMar>
              <w:top w:type="dxa" w:w="80"/>
              <w:left w:type="dxa" w:w="110"/>
              <w:bottom w:type="dxa" w:w="80"/>
              <w:right w:type="dxa" w:w="110"/>
            </w:tcMar>
          </w:tcPr>
          <w:p>
            <w:pPr>
              <w:spacing w:after="0" w:line="250"/>
            </w:pPr>
            <w:r>
              <w:rPr>
                <w:rFonts w:ascii="Calibri" w:cs="Calibri" w:eastAsia="Calibri" w:hAnsi="Calibri"/>
                <w:b/>
                <w:bCs/>
                <w:sz w:val="18"/>
                <w:szCs w:val="18"/>
              </w:rPr>
              <w:t xml:space="preserve">Plazo sin criterio</w:t>
            </w:r>
          </w:p>
        </w:tc>
        <w:tc>
          <w:tcPr>
            <w:tcW w:type="dxa" w:w="390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Fechas límite sin justificación documentada.</w:t>
            </w:r>
          </w:p>
        </w:tc>
        <w:tc>
          <w:tcPr>
            <w:tcW w:type="dxa" w:w="356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El cumplimiento mide el apego a un número arbitrario.</w:t>
            </w:r>
          </w:p>
        </w:tc>
      </w:tr>
      <w:tr>
        <w:tc>
          <w:tcPr>
            <w:tcW w:type="dxa" w:w="1900"/>
            <w:shd w:fill="F6F8FB" w:val="clear"/>
            <w:tcMar>
              <w:top w:type="dxa" w:w="80"/>
              <w:left w:type="dxa" w:w="110"/>
              <w:bottom w:type="dxa" w:w="80"/>
              <w:right w:type="dxa" w:w="110"/>
            </w:tcMar>
          </w:tcPr>
          <w:p>
            <w:pPr>
              <w:spacing w:after="0" w:line="250"/>
            </w:pPr>
            <w:r>
              <w:rPr>
                <w:rFonts w:ascii="Calibri" w:cs="Calibri" w:eastAsia="Calibri" w:hAnsi="Calibri"/>
                <w:b/>
                <w:bCs/>
                <w:sz w:val="18"/>
                <w:szCs w:val="18"/>
              </w:rPr>
              <w:t xml:space="preserve">Plazo congelado</w:t>
            </w:r>
          </w:p>
        </w:tc>
        <w:tc>
          <w:tcPr>
            <w:tcW w:type="dxa" w:w="3900"/>
            <w:shd w:fill="F6F8FB" w:val="clear"/>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Calcular la fecha límite una sola vez y no recalcularla.</w:t>
            </w:r>
          </w:p>
        </w:tc>
        <w:tc>
          <w:tcPr>
            <w:tcW w:type="dxa" w:w="3560"/>
            <w:shd w:fill="F6F8FB" w:val="clear"/>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Deja de reflejar el riesgo cuando cambia el estado KEV o la exposición.</w:t>
            </w:r>
          </w:p>
        </w:tc>
      </w:tr>
      <w:tr>
        <w:tc>
          <w:tcPr>
            <w:tcW w:type="dxa" w:w="1900"/>
            <w:tcMar>
              <w:top w:type="dxa" w:w="80"/>
              <w:left w:type="dxa" w:w="110"/>
              <w:bottom w:type="dxa" w:w="80"/>
              <w:right w:type="dxa" w:w="110"/>
            </w:tcMar>
          </w:tcPr>
          <w:p>
            <w:pPr>
              <w:spacing w:after="0" w:line="250"/>
            </w:pPr>
            <w:r>
              <w:rPr>
                <w:rFonts w:ascii="Calibri" w:cs="Calibri" w:eastAsia="Calibri" w:hAnsi="Calibri"/>
                <w:b/>
                <w:bCs/>
                <w:sz w:val="18"/>
                <w:szCs w:val="18"/>
              </w:rPr>
              <w:t xml:space="preserve">Aceptación de riesgo perpetua</w:t>
            </w:r>
          </w:p>
        </w:tc>
        <w:tc>
          <w:tcPr>
            <w:tcW w:type="dxa" w:w="390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Excepciones sin fecha de vencimiento ni revisión.</w:t>
            </w:r>
          </w:p>
        </w:tc>
        <w:tc>
          <w:tcPr>
            <w:tcW w:type="dxa" w:w="356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Sobreviven a la rotación de personal y degradan la postura en silencio.</w:t>
            </w:r>
          </w:p>
        </w:tc>
      </w:tr>
      <w:tr>
        <w:tc>
          <w:tcPr>
            <w:tcW w:type="dxa" w:w="1900"/>
            <w:shd w:fill="F6F8FB" w:val="clear"/>
            <w:tcMar>
              <w:top w:type="dxa" w:w="80"/>
              <w:left w:type="dxa" w:w="110"/>
              <w:bottom w:type="dxa" w:w="80"/>
              <w:right w:type="dxa" w:w="110"/>
            </w:tcMar>
          </w:tcPr>
          <w:p>
            <w:pPr>
              <w:spacing w:after="0" w:line="250"/>
            </w:pPr>
            <w:r>
              <w:rPr>
                <w:rFonts w:ascii="Calibri" w:cs="Calibri" w:eastAsia="Calibri" w:hAnsi="Calibri"/>
                <w:b/>
                <w:bCs/>
                <w:sz w:val="18"/>
                <w:szCs w:val="18"/>
              </w:rPr>
              <w:t xml:space="preserve">Métrica sin población</w:t>
            </w:r>
          </w:p>
        </w:tc>
        <w:tc>
          <w:tcPr>
            <w:tcW w:type="dxa" w:w="3900"/>
            <w:shd w:fill="F6F8FB" w:val="clear"/>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Reportar proporciones sin declarar el denominador.</w:t>
            </w:r>
          </w:p>
        </w:tc>
        <w:tc>
          <w:tcPr>
            <w:tcW w:type="dxa" w:w="3560"/>
            <w:shd w:fill="F6F8FB" w:val="clear"/>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El resultado no es interpretable ni reproducible.</w:t>
            </w:r>
          </w:p>
        </w:tc>
      </w:tr>
      <w:tr>
        <w:tc>
          <w:tcPr>
            <w:tcW w:type="dxa" w:w="1900"/>
            <w:tcMar>
              <w:top w:type="dxa" w:w="80"/>
              <w:left w:type="dxa" w:w="110"/>
              <w:bottom w:type="dxa" w:w="80"/>
              <w:right w:type="dxa" w:w="110"/>
            </w:tcMar>
          </w:tcPr>
          <w:p>
            <w:pPr>
              <w:spacing w:after="0" w:line="250"/>
            </w:pPr>
            <w:r>
              <w:rPr>
                <w:rFonts w:ascii="Calibri" w:cs="Calibri" w:eastAsia="Calibri" w:hAnsi="Calibri"/>
                <w:b/>
                <w:bCs/>
                <w:sz w:val="18"/>
                <w:szCs w:val="18"/>
              </w:rPr>
              <w:t xml:space="preserve">Fórmula sin medición</w:t>
            </w:r>
          </w:p>
        </w:tc>
        <w:tc>
          <w:tcPr>
            <w:tcW w:type="dxa" w:w="390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Documentar la consulta de cálculo y presentarla como resultado.</w:t>
            </w:r>
          </w:p>
        </w:tc>
        <w:tc>
          <w:tcPr>
            <w:tcW w:type="dxa" w:w="356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Confunde capacidad de cálculo con dato obtenido.</w:t>
            </w:r>
          </w:p>
        </w:tc>
      </w:tr>
      <w:tr>
        <w:tc>
          <w:tcPr>
            <w:tcW w:type="dxa" w:w="1900"/>
            <w:shd w:fill="F6F8FB" w:val="clear"/>
            <w:tcMar>
              <w:top w:type="dxa" w:w="80"/>
              <w:left w:type="dxa" w:w="110"/>
              <w:bottom w:type="dxa" w:w="80"/>
              <w:right w:type="dxa" w:w="110"/>
            </w:tcMar>
          </w:tcPr>
          <w:p>
            <w:pPr>
              <w:spacing w:after="0" w:line="250"/>
            </w:pPr>
            <w:r>
              <w:rPr>
                <w:rFonts w:ascii="Calibri" w:cs="Calibri" w:eastAsia="Calibri" w:hAnsi="Calibri"/>
                <w:b/>
                <w:bCs/>
                <w:sz w:val="18"/>
                <w:szCs w:val="18"/>
              </w:rPr>
              <w:t xml:space="preserve">Cierre definitivo</w:t>
            </w:r>
          </w:p>
        </w:tc>
        <w:tc>
          <w:tcPr>
            <w:tcW w:type="dxa" w:w="3900"/>
            <w:shd w:fill="F6F8FB" w:val="clear"/>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Eliminar o archivar el par activo-advisory al cerrar.</w:t>
            </w:r>
          </w:p>
        </w:tc>
        <w:tc>
          <w:tcPr>
            <w:tcW w:type="dxa" w:w="3560"/>
            <w:shd w:fill="F6F8FB" w:val="clear"/>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La recurrencia se vuelve indetectable.</w:t>
            </w:r>
          </w:p>
        </w:tc>
      </w:tr>
      <w:tr>
        <w:tc>
          <w:tcPr>
            <w:tcW w:type="dxa" w:w="1900"/>
            <w:tcMar>
              <w:top w:type="dxa" w:w="80"/>
              <w:left w:type="dxa" w:w="110"/>
              <w:bottom w:type="dxa" w:w="80"/>
              <w:right w:type="dxa" w:w="110"/>
            </w:tcMar>
          </w:tcPr>
          <w:p>
            <w:pPr>
              <w:spacing w:after="0" w:line="250"/>
            </w:pPr>
            <w:r>
              <w:rPr>
                <w:rFonts w:ascii="Calibri" w:cs="Calibri" w:eastAsia="Calibri" w:hAnsi="Calibri"/>
                <w:b/>
                <w:bCs/>
                <w:sz w:val="18"/>
                <w:szCs w:val="18"/>
              </w:rPr>
              <w:t xml:space="preserve">Identidad volátil</w:t>
            </w:r>
          </w:p>
        </w:tc>
        <w:tc>
          <w:tcPr>
            <w:tcW w:type="dxa" w:w="390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Basar la identidad del activo en dirección IP, nombre de host o identificador de instancia.</w:t>
            </w:r>
          </w:p>
        </w:tc>
        <w:tc>
          <w:tcPr>
            <w:tcW w:type="dxa" w:w="356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La reconciliación entre escaneos se rompe al primer cambio de infraestructura.</w:t>
            </w:r>
          </w:p>
        </w:tc>
      </w:tr>
      <w:tr>
        <w:tc>
          <w:tcPr>
            <w:tcW w:type="dxa" w:w="1900"/>
            <w:shd w:fill="F6F8FB" w:val="clear"/>
            <w:tcMar>
              <w:top w:type="dxa" w:w="80"/>
              <w:left w:type="dxa" w:w="110"/>
              <w:bottom w:type="dxa" w:w="80"/>
              <w:right w:type="dxa" w:w="110"/>
            </w:tcMar>
          </w:tcPr>
          <w:p>
            <w:pPr>
              <w:spacing w:after="0" w:line="250"/>
            </w:pPr>
            <w:r>
              <w:rPr>
                <w:rFonts w:ascii="Calibri" w:cs="Calibri" w:eastAsia="Calibri" w:hAnsi="Calibri"/>
                <w:b/>
                <w:bCs/>
                <w:sz w:val="18"/>
                <w:szCs w:val="18"/>
              </w:rPr>
              <w:t xml:space="preserve">Normativa derogada</w:t>
            </w:r>
          </w:p>
        </w:tc>
        <w:tc>
          <w:tcPr>
            <w:tcW w:type="dxa" w:w="3900"/>
            <w:shd w:fill="F6F8FB" w:val="clear"/>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Citar plazos de directivas revocadas como marco vigente.</w:t>
            </w:r>
          </w:p>
        </w:tc>
        <w:tc>
          <w:tcPr>
            <w:tcW w:type="dxa" w:w="3560"/>
            <w:shd w:fill="F6F8FB" w:val="clear"/>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Error verificable en un minuto por cualquier lector.</w:t>
            </w:r>
          </w:p>
        </w:tc>
      </w:tr>
    </w:tbl>
    <w:p>
      <w:pPr>
        <w:pStyle w:val="Heading1"/>
        <w:pBdr>
          <w:bottom w:val="single" w:color="1F3864" w:sz="8" w:space="6"/>
        </w:pBdr>
        <w:spacing w:after="160" w:before="340"/>
      </w:pPr>
      <w:r>
        <w:rPr>
          <w:rFonts w:ascii="Calibri" w:cs="Calibri" w:eastAsia="Calibri" w:hAnsi="Calibri"/>
          <w:b/>
          <w:bCs/>
          <w:color w:val="1F3864"/>
          <w:sz w:val="30"/>
          <w:szCs w:val="30"/>
        </w:rPr>
        <w:t xml:space="preserve">16. Lista de verificación</w:t>
      </w:r>
    </w:p>
    <w:p>
      <w:pPr>
        <w:spacing w:after="120" w:before="0" w:line="276"/>
      </w:pPr>
      <w:r>
        <w:rPr>
          <w:rFonts w:ascii="Calibri" w:cs="Calibri" w:eastAsia="Calibri" w:hAnsi="Calibri"/>
          <w:sz w:val="21"/>
          <w:szCs w:val="21"/>
        </w:rPr>
        <w:t xml:space="preserve">Se responde por sí o por no, sin matices: la respuesta intermedia suele ser un no encubierto. Conviene anotar, junto a cada sí, dónde está implementado.</w:t>
      </w:r>
    </w:p>
    <w:p>
      <w:pPr>
        <w:pStyle w:val="Heading3"/>
        <w:spacing w:after="90" w:before="200"/>
      </w:pPr>
      <w:r>
        <w:rPr>
          <w:rFonts w:ascii="Calibri" w:cs="Calibri" w:eastAsia="Calibri" w:hAnsi="Calibri"/>
          <w:b/>
          <w:bCs/>
          <w:color w:val="333333"/>
          <w:sz w:val="22"/>
          <w:szCs w:val="22"/>
        </w:rPr>
        <w:t xml:space="preserve">A — Identidad y cobertura</w:t>
      </w:r>
    </w:p>
    <w:p>
      <w:pPr>
        <w:pStyle w:val="ListParagraph"/>
        <w:numPr>
          <w:ilvl w:val="0"/>
          <w:numId w:val="2"/>
        </w:numPr>
        <w:spacing w:after="90" w:line="276"/>
      </w:pPr>
      <w:r>
        <w:rPr>
          <w:rFonts w:ascii="Calibri" w:cs="Calibri" w:eastAsia="Calibri" w:hAnsi="Calibri"/>
          <w:sz w:val="21"/>
          <w:szCs w:val="21"/>
        </w:rPr>
        <w:t xml:space="preserve">¿Existe una clave de identidad del activo estable entre ejecuciones, distinta del nombre de presentación?</w:t>
      </w:r>
    </w:p>
    <w:p>
      <w:pPr>
        <w:pStyle w:val="ListParagraph"/>
        <w:numPr>
          <w:ilvl w:val="0"/>
          <w:numId w:val="2"/>
        </w:numPr>
        <w:spacing w:after="90" w:line="276"/>
      </w:pPr>
      <w:r>
        <w:rPr>
          <w:rFonts w:ascii="Calibri" w:cs="Calibri" w:eastAsia="Calibri" w:hAnsi="Calibri"/>
          <w:sz w:val="21"/>
          <w:szCs w:val="21"/>
        </w:rPr>
        <w:t xml:space="preserve">¿La identidad evita depender de atributos volátiles como IP, hostname o identificador de instancia?</w:t>
      </w:r>
    </w:p>
    <w:p>
      <w:pPr>
        <w:pStyle w:val="ListParagraph"/>
        <w:numPr>
          <w:ilvl w:val="0"/>
          <w:numId w:val="2"/>
        </w:numPr>
        <w:spacing w:after="90" w:line="276"/>
      </w:pPr>
      <w:r>
        <w:rPr>
          <w:rFonts w:ascii="Calibri" w:cs="Calibri" w:eastAsia="Calibri" w:hAnsi="Calibri"/>
          <w:sz w:val="21"/>
          <w:szCs w:val="21"/>
        </w:rPr>
        <w:t xml:space="preserve">¿La identidad del hallazgo incorpora la ubicación dentro del activo, además del activo y la vulnerabilidad?</w:t>
      </w:r>
    </w:p>
    <w:p>
      <w:pPr>
        <w:pStyle w:val="ListParagraph"/>
        <w:numPr>
          <w:ilvl w:val="0"/>
          <w:numId w:val="2"/>
        </w:numPr>
        <w:spacing w:after="90" w:line="276"/>
      </w:pPr>
      <w:r>
        <w:rPr>
          <w:rFonts w:ascii="Calibri" w:cs="Calibri" w:eastAsia="Calibri" w:hAnsi="Calibri"/>
          <w:sz w:val="21"/>
          <w:szCs w:val="21"/>
        </w:rPr>
        <w:t xml:space="preserve">¿La regla de normalización entre identificador externo e interno está documentada y es determinística?</w:t>
      </w:r>
    </w:p>
    <w:p>
      <w:pPr>
        <w:pStyle w:val="ListParagraph"/>
        <w:numPr>
          <w:ilvl w:val="0"/>
          <w:numId w:val="2"/>
        </w:numPr>
        <w:spacing w:after="90" w:line="276"/>
      </w:pPr>
      <w:r>
        <w:rPr>
          <w:rFonts w:ascii="Calibri" w:cs="Calibri" w:eastAsia="Calibri" w:hAnsi="Calibri"/>
          <w:sz w:val="21"/>
          <w:szCs w:val="21"/>
        </w:rPr>
        <w:t xml:space="preserve">¿La operación sobre el inventario actualiza el activo existente en lugar de insertar uno nuevo?</w:t>
      </w:r>
    </w:p>
    <w:p>
      <w:pPr>
        <w:pStyle w:val="ListParagraph"/>
        <w:numPr>
          <w:ilvl w:val="0"/>
          <w:numId w:val="2"/>
        </w:numPr>
        <w:spacing w:after="90" w:line="276"/>
      </w:pPr>
      <w:r>
        <w:rPr>
          <w:rFonts w:ascii="Calibri" w:cs="Calibri" w:eastAsia="Calibri" w:hAnsi="Calibri"/>
          <w:sz w:val="21"/>
          <w:szCs w:val="21"/>
        </w:rPr>
        <w:t xml:space="preserve">¿Se registra qué activos fueron efectivamente analizados en cada ejecución?</w:t>
      </w:r>
    </w:p>
    <w:p>
      <w:pPr>
        <w:pStyle w:val="ListParagraph"/>
        <w:numPr>
          <w:ilvl w:val="0"/>
          <w:numId w:val="2"/>
        </w:numPr>
        <w:spacing w:after="90" w:line="276"/>
      </w:pPr>
      <w:r>
        <w:rPr>
          <w:rFonts w:ascii="Calibri" w:cs="Calibri" w:eastAsia="Calibri" w:hAnsi="Calibri"/>
          <w:sz w:val="21"/>
          <w:szCs w:val="21"/>
        </w:rPr>
        <w:t xml:space="preserve">¿Se distingue una ejecución completa de una parcial, y se impide cerrar hallazgos con una parcial?</w:t>
      </w:r>
    </w:p>
    <w:p>
      <w:pPr>
        <w:pStyle w:val="ListParagraph"/>
        <w:numPr>
          <w:ilvl w:val="0"/>
          <w:numId w:val="2"/>
        </w:numPr>
        <w:spacing w:after="90" w:line="276"/>
      </w:pPr>
      <w:r>
        <w:rPr>
          <w:rFonts w:ascii="Calibri" w:cs="Calibri" w:eastAsia="Calibri" w:hAnsi="Calibri"/>
          <w:sz w:val="21"/>
          <w:szCs w:val="21"/>
        </w:rPr>
        <w:t xml:space="preserve">¿Se conserva el historial de versiones del activo?</w:t>
      </w:r>
    </w:p>
    <w:p>
      <w:pPr>
        <w:pStyle w:val="Heading3"/>
        <w:spacing w:after="90" w:before="200"/>
      </w:pPr>
      <w:r>
        <w:rPr>
          <w:rFonts w:ascii="Calibri" w:cs="Calibri" w:eastAsia="Calibri" w:hAnsi="Calibri"/>
          <w:b/>
          <w:bCs/>
          <w:color w:val="333333"/>
          <w:sz w:val="22"/>
          <w:szCs w:val="22"/>
        </w:rPr>
        <w:t xml:space="preserve">B — Estados y evidencia</w:t>
      </w:r>
    </w:p>
    <w:p>
      <w:pPr>
        <w:pStyle w:val="ListParagraph"/>
        <w:numPr>
          <w:ilvl w:val="0"/>
          <w:numId w:val="2"/>
        </w:numPr>
        <w:spacing w:after="90" w:line="276"/>
      </w:pPr>
      <w:r>
        <w:rPr>
          <w:rFonts w:ascii="Calibri" w:cs="Calibri" w:eastAsia="Calibri" w:hAnsi="Calibri"/>
          <w:sz w:val="21"/>
          <w:szCs w:val="21"/>
        </w:rPr>
        <w:t xml:space="preserve">¿Hay un estado intermedio entre detección y resolución, con timestamp propio?</w:t>
      </w:r>
    </w:p>
    <w:p>
      <w:pPr>
        <w:pStyle w:val="ListParagraph"/>
        <w:numPr>
          <w:ilvl w:val="0"/>
          <w:numId w:val="2"/>
        </w:numPr>
        <w:spacing w:after="90" w:line="276"/>
      </w:pPr>
      <w:r>
        <w:rPr>
          <w:rFonts w:ascii="Calibri" w:cs="Calibri" w:eastAsia="Calibri" w:hAnsi="Calibri"/>
          <w:sz w:val="21"/>
          <w:szCs w:val="21"/>
        </w:rPr>
        <w:t xml:space="preserve">¿Se distingue la remediación declarada de la verificada?</w:t>
      </w:r>
    </w:p>
    <w:p>
      <w:pPr>
        <w:pStyle w:val="ListParagraph"/>
        <w:numPr>
          <w:ilvl w:val="0"/>
          <w:numId w:val="2"/>
        </w:numPr>
        <w:spacing w:after="90" w:line="276"/>
      </w:pPr>
      <w:r>
        <w:rPr>
          <w:rFonts w:ascii="Calibri" w:cs="Calibri" w:eastAsia="Calibri" w:hAnsi="Calibri"/>
          <w:sz w:val="21"/>
          <w:szCs w:val="21"/>
        </w:rPr>
        <w:t xml:space="preserve">¿Se distingue remediación de mitigación?</w:t>
      </w:r>
    </w:p>
    <w:p>
      <w:pPr>
        <w:pStyle w:val="ListParagraph"/>
        <w:numPr>
          <w:ilvl w:val="0"/>
          <w:numId w:val="2"/>
        </w:numPr>
        <w:spacing w:after="90" w:line="276"/>
      </w:pPr>
      <w:r>
        <w:rPr>
          <w:rFonts w:ascii="Calibri" w:cs="Calibri" w:eastAsia="Calibri" w:hAnsi="Calibri"/>
          <w:sz w:val="21"/>
          <w:szCs w:val="21"/>
        </w:rPr>
        <w:t xml:space="preserve">¿Existe descarte por no aplicar, con justificación obligatoria y auditable?</w:t>
      </w:r>
    </w:p>
    <w:p>
      <w:pPr>
        <w:pStyle w:val="ListParagraph"/>
        <w:numPr>
          <w:ilvl w:val="0"/>
          <w:numId w:val="2"/>
        </w:numPr>
        <w:spacing w:after="90" w:line="276"/>
      </w:pPr>
      <w:r>
        <w:rPr>
          <w:rFonts w:ascii="Calibri" w:cs="Calibri" w:eastAsia="Calibri" w:hAnsi="Calibri"/>
          <w:sz w:val="21"/>
          <w:szCs w:val="21"/>
        </w:rPr>
        <w:t xml:space="preserve">¿Existe aceptación de riesgo con responsable y fecha de caducidad obligatoria?</w:t>
      </w:r>
    </w:p>
    <w:p>
      <w:pPr>
        <w:pStyle w:val="ListParagraph"/>
        <w:numPr>
          <w:ilvl w:val="0"/>
          <w:numId w:val="2"/>
        </w:numPr>
        <w:spacing w:after="90" w:line="276"/>
      </w:pPr>
      <w:r>
        <w:rPr>
          <w:rFonts w:ascii="Calibri" w:cs="Calibri" w:eastAsia="Calibri" w:hAnsi="Calibri"/>
          <w:sz w:val="21"/>
          <w:szCs w:val="21"/>
        </w:rPr>
        <w:t xml:space="preserve">¿Cada transición estampa su propio timestamp, o se sobrescribe un único campo?</w:t>
      </w:r>
    </w:p>
    <w:p>
      <w:pPr>
        <w:pStyle w:val="ListParagraph"/>
        <w:numPr>
          <w:ilvl w:val="0"/>
          <w:numId w:val="2"/>
        </w:numPr>
        <w:spacing w:after="90" w:line="276"/>
      </w:pPr>
      <w:r>
        <w:rPr>
          <w:rFonts w:ascii="Calibri" w:cs="Calibri" w:eastAsia="Calibri" w:hAnsi="Calibri"/>
          <w:sz w:val="21"/>
          <w:szCs w:val="21"/>
        </w:rPr>
        <w:t xml:space="preserve">¿Se registra el nivel de evidencia que respalda cada cierre?</w:t>
      </w:r>
    </w:p>
    <w:p>
      <w:pPr>
        <w:pStyle w:val="Heading3"/>
        <w:spacing w:after="90" w:before="200"/>
      </w:pPr>
      <w:r>
        <w:rPr>
          <w:rFonts w:ascii="Calibri" w:cs="Calibri" w:eastAsia="Calibri" w:hAnsi="Calibri"/>
          <w:b/>
          <w:bCs/>
          <w:color w:val="333333"/>
          <w:sz w:val="22"/>
          <w:szCs w:val="22"/>
        </w:rPr>
        <w:t xml:space="preserve">C — Plazos</w:t>
      </w:r>
    </w:p>
    <w:p>
      <w:pPr>
        <w:pStyle w:val="ListParagraph"/>
        <w:numPr>
          <w:ilvl w:val="0"/>
          <w:numId w:val="2"/>
        </w:numPr>
        <w:spacing w:after="90" w:line="276"/>
      </w:pPr>
      <w:r>
        <w:rPr>
          <w:rFonts w:ascii="Calibri" w:cs="Calibri" w:eastAsia="Calibri" w:hAnsi="Calibri"/>
          <w:sz w:val="21"/>
          <w:szCs w:val="21"/>
        </w:rPr>
        <w:t xml:space="preserve">¿Cada caso tiene fecha límite calculada automáticamente?</w:t>
      </w:r>
    </w:p>
    <w:p>
      <w:pPr>
        <w:pStyle w:val="ListParagraph"/>
        <w:numPr>
          <w:ilvl w:val="0"/>
          <w:numId w:val="2"/>
        </w:numPr>
        <w:spacing w:after="90" w:line="276"/>
      </w:pPr>
      <w:r>
        <w:rPr>
          <w:rFonts w:ascii="Calibri" w:cs="Calibri" w:eastAsia="Calibri" w:hAnsi="Calibri"/>
          <w:sz w:val="21"/>
          <w:szCs w:val="21"/>
        </w:rPr>
        <w:t xml:space="preserve">¿El criterio está documentado y anclado a un marco reconocido y vigente?</w:t>
      </w:r>
    </w:p>
    <w:p>
      <w:pPr>
        <w:pStyle w:val="ListParagraph"/>
        <w:numPr>
          <w:ilvl w:val="0"/>
          <w:numId w:val="2"/>
        </w:numPr>
        <w:spacing w:after="90" w:line="276"/>
      </w:pPr>
      <w:r>
        <w:rPr>
          <w:rFonts w:ascii="Calibri" w:cs="Calibri" w:eastAsia="Calibri" w:hAnsi="Calibri"/>
          <w:sz w:val="21"/>
          <w:szCs w:val="21"/>
        </w:rPr>
        <w:t xml:space="preserve">¿El criterio incorpora contexto del activo, o depende solo de la severidad del advisory?</w:t>
      </w:r>
    </w:p>
    <w:p>
      <w:pPr>
        <w:pStyle w:val="ListParagraph"/>
        <w:numPr>
          <w:ilvl w:val="0"/>
          <w:numId w:val="2"/>
        </w:numPr>
        <w:spacing w:after="90" w:line="276"/>
      </w:pPr>
      <w:r>
        <w:rPr>
          <w:rFonts w:ascii="Calibri" w:cs="Calibri" w:eastAsia="Calibri" w:hAnsi="Calibri"/>
          <w:sz w:val="21"/>
          <w:szCs w:val="21"/>
        </w:rPr>
        <w:t xml:space="preserve">¿Se registran las variables que produjeron el plazo, y no solo la fecha resultante?</w:t>
      </w:r>
    </w:p>
    <w:p>
      <w:pPr>
        <w:pStyle w:val="ListParagraph"/>
        <w:numPr>
          <w:ilvl w:val="0"/>
          <w:numId w:val="2"/>
        </w:numPr>
        <w:spacing w:after="90" w:line="276"/>
      </w:pPr>
      <w:r>
        <w:rPr>
          <w:rFonts w:ascii="Calibri" w:cs="Calibri" w:eastAsia="Calibri" w:hAnsi="Calibri"/>
          <w:sz w:val="21"/>
          <w:szCs w:val="21"/>
        </w:rPr>
        <w:t xml:space="preserve">¿El plazo se recalcula si cambian esas variables?</w:t>
      </w:r>
    </w:p>
    <w:p>
      <w:pPr>
        <w:pStyle w:val="ListParagraph"/>
        <w:numPr>
          <w:ilvl w:val="0"/>
          <w:numId w:val="2"/>
        </w:numPr>
        <w:spacing w:after="90" w:line="276"/>
      </w:pPr>
      <w:r>
        <w:rPr>
          <w:rFonts w:ascii="Calibri" w:cs="Calibri" w:eastAsia="Calibri" w:hAnsi="Calibri"/>
          <w:sz w:val="21"/>
          <w:szCs w:val="21"/>
        </w:rPr>
        <w:t xml:space="preserve">¿El sistema detecta activamente los plazos vencidos?</w:t>
      </w:r>
    </w:p>
    <w:p>
      <w:pPr>
        <w:pStyle w:val="Heading3"/>
        <w:spacing w:after="90" w:before="200"/>
      </w:pPr>
      <w:r>
        <w:rPr>
          <w:rFonts w:ascii="Calibri" w:cs="Calibri" w:eastAsia="Calibri" w:hAnsi="Calibri"/>
          <w:b/>
          <w:bCs/>
          <w:color w:val="333333"/>
          <w:sz w:val="22"/>
          <w:szCs w:val="22"/>
        </w:rPr>
        <w:t xml:space="preserve">D — Verificación</w:t>
      </w:r>
    </w:p>
    <w:p>
      <w:pPr>
        <w:pStyle w:val="ListParagraph"/>
        <w:numPr>
          <w:ilvl w:val="0"/>
          <w:numId w:val="2"/>
        </w:numPr>
        <w:spacing w:after="90" w:line="276"/>
      </w:pPr>
      <w:r>
        <w:rPr>
          <w:rFonts w:ascii="Calibri" w:cs="Calibri" w:eastAsia="Calibri" w:hAnsi="Calibri"/>
          <w:sz w:val="21"/>
          <w:szCs w:val="21"/>
        </w:rPr>
        <w:t xml:space="preserve">¿El cierre requiere alguna comprobación del sistema, o basta la declaración de una persona?</w:t>
      </w:r>
    </w:p>
    <w:p>
      <w:pPr>
        <w:pStyle w:val="ListParagraph"/>
        <w:numPr>
          <w:ilvl w:val="0"/>
          <w:numId w:val="2"/>
        </w:numPr>
        <w:spacing w:after="90" w:line="276"/>
      </w:pPr>
      <w:r>
        <w:rPr>
          <w:rFonts w:ascii="Calibri" w:cs="Calibri" w:eastAsia="Calibri" w:hAnsi="Calibri"/>
          <w:sz w:val="21"/>
          <w:szCs w:val="21"/>
        </w:rPr>
        <w:t xml:space="preserve">¿El sistema compara el estado del activo entre escaneos consecutivos?</w:t>
      </w:r>
    </w:p>
    <w:p>
      <w:pPr>
        <w:pStyle w:val="ListParagraph"/>
        <w:numPr>
          <w:ilvl w:val="0"/>
          <w:numId w:val="2"/>
        </w:numPr>
        <w:spacing w:after="90" w:line="276"/>
      </w:pPr>
      <w:r>
        <w:rPr>
          <w:rFonts w:ascii="Calibri" w:cs="Calibri" w:eastAsia="Calibri" w:hAnsi="Calibri"/>
          <w:sz w:val="21"/>
          <w:szCs w:val="21"/>
        </w:rPr>
        <w:t xml:space="preserve">¿Se registra la evidencia: versión previa, versión posterior, método?</w:t>
      </w:r>
    </w:p>
    <w:p>
      <w:pPr>
        <w:pStyle w:val="ListParagraph"/>
        <w:numPr>
          <w:ilvl w:val="0"/>
          <w:numId w:val="2"/>
        </w:numPr>
        <w:spacing w:after="90" w:line="276"/>
      </w:pPr>
      <w:r>
        <w:rPr>
          <w:rFonts w:ascii="Calibri" w:cs="Calibri" w:eastAsia="Calibri" w:hAnsi="Calibri"/>
          <w:sz w:val="21"/>
          <w:szCs w:val="21"/>
        </w:rPr>
        <w:t xml:space="preserve">¿Se registra el caso en que la verificación falla, es decir cuando la vulnerabilidad persiste pese a haberse declarado resuelta?</w:t>
      </w:r>
    </w:p>
    <w:p>
      <w:pPr>
        <w:pStyle w:val="ListParagraph"/>
        <w:numPr>
          <w:ilvl w:val="0"/>
          <w:numId w:val="2"/>
        </w:numPr>
        <w:spacing w:after="90" w:line="276"/>
      </w:pPr>
      <w:r>
        <w:rPr>
          <w:rFonts w:ascii="Calibri" w:cs="Calibri" w:eastAsia="Calibri" w:hAnsi="Calibri"/>
          <w:sz w:val="21"/>
          <w:szCs w:val="21"/>
        </w:rPr>
        <w:t xml:space="preserve">¿Existe reverificación periódica de los casos cerrados?</w:t>
      </w:r>
    </w:p>
    <w:p>
      <w:pPr>
        <w:pStyle w:val="Heading3"/>
        <w:spacing w:after="90" w:before="200"/>
      </w:pPr>
      <w:r>
        <w:rPr>
          <w:rFonts w:ascii="Calibri" w:cs="Calibri" w:eastAsia="Calibri" w:hAnsi="Calibri"/>
          <w:b/>
          <w:bCs/>
          <w:color w:val="333333"/>
          <w:sz w:val="22"/>
          <w:szCs w:val="22"/>
        </w:rPr>
        <w:t xml:space="preserve">E — Recurrencia</w:t>
      </w:r>
    </w:p>
    <w:p>
      <w:pPr>
        <w:pStyle w:val="ListParagraph"/>
        <w:numPr>
          <w:ilvl w:val="0"/>
          <w:numId w:val="2"/>
        </w:numPr>
        <w:spacing w:after="90" w:line="276"/>
      </w:pPr>
      <w:r>
        <w:rPr>
          <w:rFonts w:ascii="Calibri" w:cs="Calibri" w:eastAsia="Calibri" w:hAnsi="Calibri"/>
          <w:sz w:val="21"/>
          <w:szCs w:val="21"/>
        </w:rPr>
        <w:t xml:space="preserve">¿El par activo-advisory se conserva después del cierre?</w:t>
      </w:r>
    </w:p>
    <w:p>
      <w:pPr>
        <w:pStyle w:val="ListParagraph"/>
        <w:numPr>
          <w:ilvl w:val="0"/>
          <w:numId w:val="2"/>
        </w:numPr>
        <w:spacing w:after="90" w:line="276"/>
      </w:pPr>
      <w:r>
        <w:rPr>
          <w:rFonts w:ascii="Calibri" w:cs="Calibri" w:eastAsia="Calibri" w:hAnsi="Calibri"/>
          <w:sz w:val="21"/>
          <w:szCs w:val="21"/>
        </w:rPr>
        <w:t xml:space="preserve">¿Existe estado de reapertura distinto del de detección inicial?</w:t>
      </w:r>
    </w:p>
    <w:p>
      <w:pPr>
        <w:pStyle w:val="ListParagraph"/>
        <w:numPr>
          <w:ilvl w:val="0"/>
          <w:numId w:val="2"/>
        </w:numPr>
        <w:spacing w:after="90" w:line="276"/>
      </w:pPr>
      <w:r>
        <w:rPr>
          <w:rFonts w:ascii="Calibri" w:cs="Calibri" w:eastAsia="Calibri" w:hAnsi="Calibri"/>
          <w:sz w:val="21"/>
          <w:szCs w:val="21"/>
        </w:rPr>
        <w:t xml:space="preserve">¿Un mismo par puede acumular varios ciclos con timestamps independientes?</w:t>
      </w:r>
    </w:p>
    <w:p>
      <w:pPr>
        <w:pStyle w:val="ListParagraph"/>
        <w:numPr>
          <w:ilvl w:val="0"/>
          <w:numId w:val="2"/>
        </w:numPr>
        <w:spacing w:after="90" w:line="276"/>
      </w:pPr>
      <w:r>
        <w:rPr>
          <w:rFonts w:ascii="Calibri" w:cs="Calibri" w:eastAsia="Calibri" w:hAnsi="Calibri"/>
          <w:sz w:val="21"/>
          <w:szCs w:val="21"/>
        </w:rPr>
        <w:t xml:space="preserve">¿Las decisiones de triage previas se reaplican al reaparecer?</w:t>
      </w:r>
    </w:p>
    <w:p>
      <w:pPr>
        <w:pStyle w:val="ListParagraph"/>
        <w:numPr>
          <w:ilvl w:val="0"/>
          <w:numId w:val="2"/>
        </w:numPr>
        <w:spacing w:after="90" w:line="276"/>
      </w:pPr>
      <w:r>
        <w:rPr>
          <w:rFonts w:ascii="Calibri" w:cs="Calibri" w:eastAsia="Calibri" w:hAnsi="Calibri"/>
          <w:sz w:val="21"/>
          <w:szCs w:val="21"/>
        </w:rPr>
        <w:t xml:space="preserve">¿La tasa de recurrencia se calcula y se reporta?</w:t>
      </w:r>
    </w:p>
    <w:p>
      <w:pPr>
        <w:pStyle w:val="Heading3"/>
        <w:spacing w:after="90" w:before="200"/>
      </w:pPr>
      <w:r>
        <w:rPr>
          <w:rFonts w:ascii="Calibri" w:cs="Calibri" w:eastAsia="Calibri" w:hAnsi="Calibri"/>
          <w:b/>
          <w:bCs/>
          <w:color w:val="333333"/>
          <w:sz w:val="22"/>
          <w:szCs w:val="22"/>
        </w:rPr>
        <w:t xml:space="preserve">F — Auditoría</w:t>
      </w:r>
    </w:p>
    <w:p>
      <w:pPr>
        <w:pStyle w:val="ListParagraph"/>
        <w:numPr>
          <w:ilvl w:val="0"/>
          <w:numId w:val="2"/>
        </w:numPr>
        <w:spacing w:after="90" w:line="276"/>
      </w:pPr>
      <w:r>
        <w:rPr>
          <w:rFonts w:ascii="Calibri" w:cs="Calibri" w:eastAsia="Calibri" w:hAnsi="Calibri"/>
          <w:sz w:val="21"/>
          <w:szCs w:val="21"/>
        </w:rPr>
        <w:t xml:space="preserve">¿Cada transición genera un registro propio que no sobrescribe al anterior?</w:t>
      </w:r>
    </w:p>
    <w:p>
      <w:pPr>
        <w:pStyle w:val="ListParagraph"/>
        <w:numPr>
          <w:ilvl w:val="0"/>
          <w:numId w:val="2"/>
        </w:numPr>
        <w:spacing w:after="90" w:line="276"/>
      </w:pPr>
      <w:r>
        <w:rPr>
          <w:rFonts w:ascii="Calibri" w:cs="Calibri" w:eastAsia="Calibri" w:hAnsi="Calibri"/>
          <w:sz w:val="21"/>
          <w:szCs w:val="21"/>
        </w:rPr>
        <w:t xml:space="preserve">¿Se registra el actor y se distingue si fue humano, escáner o política automática?</w:t>
      </w:r>
    </w:p>
    <w:p>
      <w:pPr>
        <w:pStyle w:val="ListParagraph"/>
        <w:numPr>
          <w:ilvl w:val="0"/>
          <w:numId w:val="2"/>
        </w:numPr>
        <w:spacing w:after="90" w:line="276"/>
      </w:pPr>
      <w:r>
        <w:rPr>
          <w:rFonts w:ascii="Calibri" w:cs="Calibri" w:eastAsia="Calibri" w:hAnsi="Calibri"/>
          <w:sz w:val="21"/>
          <w:szCs w:val="21"/>
        </w:rPr>
        <w:t xml:space="preserve">¿El historial sobrevive cuando el caso deja de estar activo?</w:t>
      </w:r>
    </w:p>
    <w:p>
      <w:pPr>
        <w:pStyle w:val="ListParagraph"/>
        <w:numPr>
          <w:ilvl w:val="0"/>
          <w:numId w:val="2"/>
        </w:numPr>
        <w:spacing w:after="90" w:line="276"/>
      </w:pPr>
      <w:r>
        <w:rPr>
          <w:rFonts w:ascii="Calibri" w:cs="Calibri" w:eastAsia="Calibri" w:hAnsi="Calibri"/>
          <w:sz w:val="21"/>
          <w:szCs w:val="21"/>
        </w:rPr>
        <w:t xml:space="preserve">¿Se puede reconstruir el tiempo de permanencia en cada estado?</w:t>
      </w:r>
    </w:p>
    <w:p>
      <w:pPr>
        <w:pStyle w:val="Heading3"/>
        <w:spacing w:after="90" w:before="200"/>
      </w:pPr>
      <w:r>
        <w:rPr>
          <w:rFonts w:ascii="Calibri" w:cs="Calibri" w:eastAsia="Calibri" w:hAnsi="Calibri"/>
          <w:b/>
          <w:bCs/>
          <w:color w:val="333333"/>
          <w:sz w:val="22"/>
          <w:szCs w:val="22"/>
        </w:rPr>
        <w:t xml:space="preserve">Métricas</w:t>
      </w:r>
    </w:p>
    <w:p>
      <w:pPr>
        <w:pStyle w:val="ListParagraph"/>
        <w:numPr>
          <w:ilvl w:val="0"/>
          <w:numId w:val="2"/>
        </w:numPr>
        <w:spacing w:after="90" w:line="276"/>
      </w:pPr>
      <w:r>
        <w:rPr>
          <w:rFonts w:ascii="Calibri" w:cs="Calibri" w:eastAsia="Calibri" w:hAnsi="Calibri"/>
          <w:sz w:val="21"/>
          <w:szCs w:val="21"/>
        </w:rPr>
        <w:t xml:space="preserve">Para cada métrica reportada: ¿existe el timestamp que la fórmula requiere, y hay algo o alguien que lo estampe?</w:t>
      </w:r>
    </w:p>
    <w:p>
      <w:pPr>
        <w:pStyle w:val="ListParagraph"/>
        <w:numPr>
          <w:ilvl w:val="0"/>
          <w:numId w:val="2"/>
        </w:numPr>
        <w:spacing w:after="90" w:line="276"/>
      </w:pPr>
      <w:r>
        <w:rPr>
          <w:rFonts w:ascii="Calibri" w:cs="Calibri" w:eastAsia="Calibri" w:hAnsi="Calibri"/>
          <w:sz w:val="21"/>
          <w:szCs w:val="21"/>
        </w:rPr>
        <w:t xml:space="preserve">¿Está declarado entre qué dos eventos se mide cada intervalo?</w:t>
      </w:r>
    </w:p>
    <w:p>
      <w:pPr>
        <w:pStyle w:val="ListParagraph"/>
        <w:numPr>
          <w:ilvl w:val="0"/>
          <w:numId w:val="2"/>
        </w:numPr>
        <w:spacing w:after="90" w:line="276"/>
      </w:pPr>
      <w:r>
        <w:rPr>
          <w:rFonts w:ascii="Calibri" w:cs="Calibri" w:eastAsia="Calibri" w:hAnsi="Calibri"/>
          <w:sz w:val="21"/>
          <w:szCs w:val="21"/>
        </w:rPr>
        <w:t xml:space="preserve">¿Está declarado el denominador de cada proporción?</w:t>
      </w:r>
    </w:p>
    <w:p>
      <w:pPr>
        <w:pStyle w:val="ListParagraph"/>
        <w:numPr>
          <w:ilvl w:val="0"/>
          <w:numId w:val="2"/>
        </w:numPr>
        <w:spacing w:after="90" w:line="276"/>
      </w:pPr>
      <w:r>
        <w:rPr>
          <w:rFonts w:ascii="Calibri" w:cs="Calibri" w:eastAsia="Calibri" w:hAnsi="Calibri"/>
          <w:sz w:val="21"/>
          <w:szCs w:val="21"/>
        </w:rPr>
        <w:t xml:space="preserve">¿Está declarada la familia de cada métrica: actividad, resultado observado o riesgo?</w:t>
      </w:r>
    </w:p>
    <w:p>
      <w:pPr>
        <w:pStyle w:val="ListParagraph"/>
        <w:numPr>
          <w:ilvl w:val="0"/>
          <w:numId w:val="2"/>
        </w:numPr>
        <w:spacing w:after="90" w:line="276"/>
      </w:pPr>
      <w:r>
        <w:rPr>
          <w:rFonts w:ascii="Calibri" w:cs="Calibri" w:eastAsia="Calibri" w:hAnsi="Calibri"/>
          <w:sz w:val="21"/>
          <w:szCs w:val="21"/>
        </w:rPr>
        <w:t xml:space="preserve">¿El nombre de cada métrica corresponde a lo que efectivamente mide?</w:t>
      </w:r>
    </w:p>
    <w:p>
      <w:pPr>
        <w:pStyle w:val="ListParagraph"/>
        <w:numPr>
          <w:ilvl w:val="0"/>
          <w:numId w:val="2"/>
        </w:numPr>
        <w:spacing w:after="90" w:line="276"/>
      </w:pPr>
      <w:r>
        <w:rPr>
          <w:rFonts w:ascii="Calibri" w:cs="Calibri" w:eastAsia="Calibri" w:hAnsi="Calibri"/>
          <w:sz w:val="21"/>
          <w:szCs w:val="21"/>
        </w:rPr>
        <w:t xml:space="preserve">¿Se distingue lo medido de lo proyectado?</w:t>
      </w:r>
    </w:p>
    <w:p>
      <w:pPr>
        <w:pStyle w:val="Heading1"/>
        <w:pBdr>
          <w:bottom w:val="single" w:color="1F3864" w:sz="8" w:space="6"/>
        </w:pBdr>
        <w:spacing w:after="160" w:before="340"/>
      </w:pPr>
      <w:r>
        <w:rPr>
          <w:rFonts w:ascii="Calibri" w:cs="Calibri" w:eastAsia="Calibri" w:hAnsi="Calibri"/>
          <w:b/>
          <w:bCs/>
          <w:color w:val="1F3864"/>
          <w:sz w:val="30"/>
          <w:szCs w:val="30"/>
        </w:rPr>
        <w:t xml:space="preserve">17. Cómo usar este documento</w:t>
      </w:r>
    </w:p>
    <w:p>
      <w:pPr>
        <w:pStyle w:val="ListParagraph"/>
        <w:numPr>
          <w:ilvl w:val="0"/>
          <w:numId w:val="3"/>
        </w:numPr>
        <w:spacing w:after="90" w:line="276"/>
      </w:pPr>
      <w:r>
        <w:rPr>
          <w:rFonts w:ascii="Calibri" w:cs="Calibri" w:eastAsia="Calibri" w:hAnsi="Calibri"/>
          <w:b/>
          <w:bCs/>
          <w:sz w:val="21"/>
          <w:szCs w:val="21"/>
        </w:rPr>
        <w:t xml:space="preserve">Ubicar el nivel de madurez de verificación. </w:t>
      </w:r>
      <w:r>
        <w:rPr>
          <w:rFonts w:ascii="Calibri" w:cs="Calibri" w:eastAsia="Calibri" w:hAnsi="Calibri"/>
          <w:sz w:val="21"/>
          <w:szCs w:val="21"/>
        </w:rPr>
        <w:t xml:space="preserve">Con la escala del Capítulo 8. Es la decisión más informativa y condiciona todas las demás.</w:t>
      </w:r>
    </w:p>
    <w:p>
      <w:pPr>
        <w:pStyle w:val="ListParagraph"/>
        <w:numPr>
          <w:ilvl w:val="0"/>
          <w:numId w:val="3"/>
        </w:numPr>
        <w:spacing w:after="90" w:line="276"/>
      </w:pPr>
      <w:r>
        <w:rPr>
          <w:rFonts w:ascii="Calibri" w:cs="Calibri" w:eastAsia="Calibri" w:hAnsi="Calibri"/>
          <w:b/>
          <w:bCs/>
          <w:sz w:val="21"/>
          <w:szCs w:val="21"/>
        </w:rPr>
        <w:t xml:space="preserve">Recorrer la lista de verificación del Capítulo 16. </w:t>
      </w:r>
      <w:r>
        <w:rPr>
          <w:rFonts w:ascii="Calibri" w:cs="Calibri" w:eastAsia="Calibri" w:hAnsi="Calibri"/>
          <w:sz w:val="21"/>
          <w:szCs w:val="21"/>
        </w:rPr>
        <w:t xml:space="preserve">Por sí o por no, anotando dónde está implementado cada sí.</w:t>
      </w:r>
    </w:p>
    <w:p>
      <w:pPr>
        <w:pStyle w:val="ListParagraph"/>
        <w:numPr>
          <w:ilvl w:val="0"/>
          <w:numId w:val="3"/>
        </w:numPr>
        <w:spacing w:after="90" w:line="276"/>
      </w:pPr>
      <w:r>
        <w:rPr>
          <w:rFonts w:ascii="Calibri" w:cs="Calibri" w:eastAsia="Calibri" w:hAnsi="Calibri"/>
          <w:b/>
          <w:bCs/>
          <w:sz w:val="21"/>
          <w:szCs w:val="21"/>
        </w:rPr>
        <w:t xml:space="preserve">Contrastar cada métrica reportada contra la tabla del Capítulo 11. </w:t>
      </w:r>
      <w:r>
        <w:rPr>
          <w:rFonts w:ascii="Calibri" w:cs="Calibri" w:eastAsia="Calibri" w:hAnsi="Calibri"/>
          <w:sz w:val="21"/>
          <w:szCs w:val="21"/>
        </w:rPr>
        <w:t xml:space="preserve">¿Existe el timestamp que la fórmula necesita, y hay algo que lo estampe? Si no, la métrica no es calculable aunque la consulta esté escrita.</w:t>
      </w:r>
    </w:p>
    <w:p>
      <w:pPr>
        <w:pStyle w:val="ListParagraph"/>
        <w:numPr>
          <w:ilvl w:val="0"/>
          <w:numId w:val="3"/>
        </w:numPr>
        <w:spacing w:after="90" w:line="276"/>
      </w:pPr>
      <w:r>
        <w:rPr>
          <w:rFonts w:ascii="Calibri" w:cs="Calibri" w:eastAsia="Calibri" w:hAnsi="Calibri"/>
          <w:b/>
          <w:bCs/>
          <w:sz w:val="21"/>
          <w:szCs w:val="21"/>
        </w:rPr>
        <w:t xml:space="preserve">Revisar los antipatrones del Capítulo 15. </w:t>
      </w:r>
      <w:r>
        <w:rPr>
          <w:rFonts w:ascii="Calibri" w:cs="Calibri" w:eastAsia="Calibri" w:hAnsi="Calibri"/>
          <w:sz w:val="21"/>
          <w:szCs w:val="21"/>
        </w:rPr>
        <w:t xml:space="preserve">Son los puntos que un lector externo verifica rápido.</w:t>
      </w:r>
    </w:p>
    <w:p>
      <w:pPr>
        <w:pStyle w:val="ListParagraph"/>
        <w:numPr>
          <w:ilvl w:val="0"/>
          <w:numId w:val="3"/>
        </w:numPr>
        <w:spacing w:after="90" w:line="276"/>
      </w:pPr>
      <w:r>
        <w:rPr>
          <w:rFonts w:ascii="Calibri" w:cs="Calibri" w:eastAsia="Calibri" w:hAnsi="Calibri"/>
          <w:b/>
          <w:bCs/>
          <w:sz w:val="21"/>
          <w:szCs w:val="21"/>
        </w:rPr>
        <w:t xml:space="preserve">Mirar el modelo de datos de una herramienta real. </w:t>
      </w:r>
      <w:r>
        <w:rPr>
          <w:rFonts w:ascii="Calibri" w:cs="Calibri" w:eastAsia="Calibri" w:hAnsi="Calibri"/>
          <w:sz w:val="21"/>
          <w:szCs w:val="21"/>
        </w:rPr>
        <w:t xml:space="preserve">Con las tres preguntas del Capítulo 13.4. Es lo que confirma si el modelo propuesto se sostiene en la práctica.</w:t>
      </w:r>
    </w:p>
    <w:p>
      <w:pPr>
        <w:pStyle w:val="ListParagraph"/>
        <w:numPr>
          <w:ilvl w:val="0"/>
          <w:numId w:val="3"/>
        </w:numPr>
        <w:spacing w:after="90" w:line="276"/>
      </w:pPr>
      <w:r>
        <w:rPr>
          <w:rFonts w:ascii="Calibri" w:cs="Calibri" w:eastAsia="Calibri" w:hAnsi="Calibri"/>
          <w:b/>
          <w:bCs/>
          <w:sz w:val="21"/>
          <w:szCs w:val="21"/>
        </w:rPr>
        <w:t xml:space="preserve">Recién entonces decidir el alcance. </w:t>
      </w:r>
      <w:r>
        <w:rPr>
          <w:rFonts w:ascii="Calibri" w:cs="Calibri" w:eastAsia="Calibri" w:hAnsi="Calibri"/>
          <w:sz w:val="21"/>
          <w:szCs w:val="21"/>
        </w:rPr>
        <w:t xml:space="preserve">Con el diagnóstico hecho, la pregunta deja de ser abstracta y pasa a ser una elección entre elementos concretos con costos conocidos.</w:t>
      </w:r>
    </w:p>
    <w:p>
      <w:pPr>
        <w:spacing w:after="100"/>
      </w:pPr>
    </w:p>
    <w:tbl>
      <w:tblPr>
        <w:tblW w:type="dxa" w:w="9360"/>
        <w:tblBorders>
          <w:top w:val="none"/>
          <w:left w:val="single" w:color="2E5C8A" w:sz="18"/>
          <w:bottom w:val="none"/>
          <w:right w:val="none"/>
          <w:insideH w:val="none"/>
          <w:insideV w:val="none"/>
        </w:tblBorders>
      </w:tblPr>
      <w:tblGrid>
        <w:gridCol w:w="9360"/>
      </w:tblGrid>
      <w:tr>
        <w:tc>
          <w:tcPr>
            <w:tcW w:type="dxa" w:w="9360"/>
            <w:shd w:fill="EEF2F7" w:val="clear"/>
            <w:tcMar>
              <w:top w:type="dxa" w:w="140"/>
              <w:left w:type="dxa" w:w="200"/>
              <w:bottom w:type="dxa" w:w="140"/>
              <w:right w:type="dxa" w:w="200"/>
            </w:tcMar>
          </w:tcPr>
          <w:p>
            <w:pPr>
              <w:spacing w:after="100" w:line="276"/>
            </w:pPr>
            <w:r>
              <w:rPr>
                <w:rFonts w:ascii="Calibri" w:cs="Calibri" w:eastAsia="Calibri" w:hAnsi="Calibri"/>
                <w:b/>
                <w:bCs/>
                <w:color w:val="1F3864"/>
                <w:sz w:val="21"/>
                <w:szCs w:val="21"/>
              </w:rPr>
              <w:t xml:space="preserve">Sobre la honestidad metodológica</w:t>
            </w:r>
          </w:p>
          <w:p>
            <w:pPr>
              <w:spacing w:after="0" w:line="276"/>
            </w:pPr>
            <w:r>
              <w:rPr>
                <w:rFonts w:ascii="Calibri" w:cs="Calibri" w:eastAsia="Calibri" w:hAnsi="Calibri"/>
                <w:sz w:val="21"/>
                <w:szCs w:val="21"/>
              </w:rPr>
              <w:t xml:space="preserve">Ubicarse en un nivel intermedio y declararlo con precisión es más sólido que reclamar un nivel superior sin la evidencia que lo respalde. La escala existe para permitir esa declaración precisa: un sistema en nivel 2 que se describe como nivel 2, explica por qué, y define el nivel 3 como línea de trabajo futuro, presenta un argumento más fuerte que uno que afirma un nivel que su modelo de datos no puede sostener.</w:t>
            </w:r>
          </w:p>
        </w:tc>
      </w:tr>
    </w:tbl>
    <w:p>
      <w:pPr>
        <w:pStyle w:val="Heading1"/>
        <w:pBdr>
          <w:bottom w:val="single" w:color="1F3864" w:sz="8" w:space="6"/>
        </w:pBdr>
        <w:spacing w:after="160" w:before="340"/>
      </w:pPr>
      <w:r>
        <w:rPr>
          <w:rFonts w:ascii="Calibri" w:cs="Calibri" w:eastAsia="Calibri" w:hAnsi="Calibri"/>
          <w:b/>
          <w:bCs/>
          <w:color w:val="1F3864"/>
          <w:sz w:val="30"/>
          <w:szCs w:val="30"/>
        </w:rPr>
        <w:t xml:space="preserve">18. Mapa de fuentes primarias</w:t>
      </w:r>
    </w:p>
    <w:p>
      <w:pPr>
        <w:spacing w:after="120" w:before="0" w:line="276"/>
      </w:pPr>
      <w:r>
        <w:rPr>
          <w:rFonts w:ascii="Calibri" w:cs="Calibri" w:eastAsia="Calibri" w:hAnsi="Calibri"/>
          <w:sz w:val="21"/>
          <w:szCs w:val="21"/>
        </w:rPr>
        <w:t xml:space="preserve">Dónde conseguir cada fuente, y qué buscar en ella. Todas son de acceso gratuito salvo donde se indica.</w:t>
      </w:r>
    </w:p>
    <w:p>
      <w:pPr>
        <w:pStyle w:val="Heading2"/>
        <w:spacing w:after="110" w:before="260"/>
      </w:pPr>
      <w:r>
        <w:rPr>
          <w:rFonts w:ascii="Calibri" w:cs="Calibri" w:eastAsia="Calibri" w:hAnsi="Calibri"/>
          <w:b/>
          <w:bCs/>
          <w:color w:val="2E5C8A"/>
          <w:sz w:val="25"/>
          <w:szCs w:val="25"/>
        </w:rPr>
        <w:t xml:space="preserve">18.1 Estándares y guías</w:t>
      </w:r>
    </w:p>
    <w:p>
      <w:pPr>
        <w:spacing w:after="60"/>
      </w:pPr>
    </w:p>
    <w:tbl>
      <w:tblPr>
        <w:tblW w:type="dxa" w:w="9360"/>
        <w:tblBorders>
          <w:top w:val="single" w:color="C9D3E0" w:sz="4"/>
          <w:left w:val="single" w:color="C9D3E0" w:sz="4"/>
          <w:bottom w:val="single" w:color="C9D3E0" w:sz="4"/>
          <w:right w:val="single" w:color="C9D3E0" w:sz="4"/>
          <w:insideH w:val="single" w:color="DDE4ED" w:sz="2"/>
          <w:insideV w:val="single" w:color="DDE4ED" w:sz="2"/>
        </w:tblBorders>
      </w:tblPr>
      <w:tblGrid>
        <w:gridCol w:w="2200"/>
        <w:gridCol w:w="4600"/>
        <w:gridCol w:w="2560"/>
      </w:tblGrid>
      <w:tr>
        <w:trPr>
          <w:tblHeader/>
        </w:trPr>
        <w:tc>
          <w:tcPr>
            <w:tcW w:type="dxa" w:w="2200"/>
            <w:shd w:fill="1F3864" w:val="clear"/>
            <w:tcMar>
              <w:top w:type="dxa" w:w="90"/>
              <w:left w:type="dxa" w:w="110"/>
              <w:bottom w:type="dxa" w:w="90"/>
              <w:right w:type="dxa" w:w="110"/>
            </w:tcMar>
          </w:tcPr>
          <w:p>
            <w:pPr>
              <w:spacing w:after="0"/>
            </w:pPr>
            <w:r>
              <w:rPr>
                <w:rFonts w:ascii="Calibri" w:cs="Calibri" w:eastAsia="Calibri" w:hAnsi="Calibri"/>
                <w:b/>
                <w:bCs/>
                <w:color w:val="FFFFFF"/>
                <w:sz w:val="19"/>
                <w:szCs w:val="19"/>
              </w:rPr>
              <w:t xml:space="preserve">Fuente</w:t>
            </w:r>
          </w:p>
        </w:tc>
        <w:tc>
          <w:tcPr>
            <w:tcW w:type="dxa" w:w="4600"/>
            <w:shd w:fill="1F3864" w:val="clear"/>
            <w:tcMar>
              <w:top w:type="dxa" w:w="90"/>
              <w:left w:type="dxa" w:w="110"/>
              <w:bottom w:type="dxa" w:w="90"/>
              <w:right w:type="dxa" w:w="110"/>
            </w:tcMar>
          </w:tcPr>
          <w:p>
            <w:pPr>
              <w:spacing w:after="0"/>
            </w:pPr>
            <w:r>
              <w:rPr>
                <w:rFonts w:ascii="Calibri" w:cs="Calibri" w:eastAsia="Calibri" w:hAnsi="Calibri"/>
                <w:b/>
                <w:bCs/>
                <w:color w:val="FFFFFF"/>
                <w:sz w:val="19"/>
                <w:szCs w:val="19"/>
              </w:rPr>
              <w:t xml:space="preserve">Qué buscar</w:t>
            </w:r>
          </w:p>
        </w:tc>
        <w:tc>
          <w:tcPr>
            <w:tcW w:type="dxa" w:w="2560"/>
            <w:shd w:fill="1F3864" w:val="clear"/>
            <w:tcMar>
              <w:top w:type="dxa" w:w="90"/>
              <w:left w:type="dxa" w:w="110"/>
              <w:bottom w:type="dxa" w:w="90"/>
              <w:right w:type="dxa" w:w="110"/>
            </w:tcMar>
          </w:tcPr>
          <w:p>
            <w:pPr>
              <w:spacing w:after="0"/>
            </w:pPr>
            <w:r>
              <w:rPr>
                <w:rFonts w:ascii="Calibri" w:cs="Calibri" w:eastAsia="Calibri" w:hAnsi="Calibri"/>
                <w:b/>
                <w:bCs/>
                <w:color w:val="FFFFFF"/>
                <w:sz w:val="19"/>
                <w:szCs w:val="19"/>
              </w:rPr>
              <w:t xml:space="preserve">Dónde</w:t>
            </w:r>
          </w:p>
        </w:tc>
      </w:tr>
      <w:tr>
        <w:tc>
          <w:tcPr>
            <w:tcW w:type="dxa" w:w="2200"/>
            <w:tcMar>
              <w:top w:type="dxa" w:w="80"/>
              <w:left w:type="dxa" w:w="110"/>
              <w:bottom w:type="dxa" w:w="80"/>
              <w:right w:type="dxa" w:w="110"/>
            </w:tcMar>
          </w:tcPr>
          <w:p>
            <w:pPr>
              <w:spacing w:after="0" w:line="250"/>
            </w:pPr>
            <w:r>
              <w:rPr>
                <w:rFonts w:ascii="Calibri" w:cs="Calibri" w:eastAsia="Calibri" w:hAnsi="Calibri"/>
                <w:b/>
                <w:bCs/>
                <w:sz w:val="18"/>
                <w:szCs w:val="18"/>
              </w:rPr>
              <w:t xml:space="preserve">NIST SP 800-40 Rev. 4</w:t>
            </w:r>
          </w:p>
        </w:tc>
        <w:tc>
          <w:tcPr>
            <w:tcW w:type="dxa" w:w="460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La definición del proceso completo, con la verificación incluida. Documento corto.</w:t>
            </w:r>
          </w:p>
        </w:tc>
        <w:tc>
          <w:tcPr>
            <w:tcW w:type="dxa" w:w="256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csrc.nist.gov y nvlpubs.nist.gov</w:t>
            </w:r>
          </w:p>
        </w:tc>
      </w:tr>
      <w:tr>
        <w:tc>
          <w:tcPr>
            <w:tcW w:type="dxa" w:w="2200"/>
            <w:shd w:fill="F6F8FB" w:val="clear"/>
            <w:tcMar>
              <w:top w:type="dxa" w:w="80"/>
              <w:left w:type="dxa" w:w="110"/>
              <w:bottom w:type="dxa" w:w="80"/>
              <w:right w:type="dxa" w:w="110"/>
            </w:tcMar>
          </w:tcPr>
          <w:p>
            <w:pPr>
              <w:spacing w:after="0" w:line="250"/>
            </w:pPr>
            <w:r>
              <w:rPr>
                <w:rFonts w:ascii="Calibri" w:cs="Calibri" w:eastAsia="Calibri" w:hAnsi="Calibri"/>
                <w:b/>
                <w:bCs/>
                <w:sz w:val="18"/>
                <w:szCs w:val="18"/>
              </w:rPr>
              <w:t xml:space="preserve">NIST SP 1800-31</w:t>
            </w:r>
          </w:p>
        </w:tc>
        <w:tc>
          <w:tcPr>
            <w:tcW w:type="dxa" w:w="4600"/>
            <w:shd w:fill="F6F8FB" w:val="clear"/>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El compañero práctico del anterior: implementación real, no planificación. Poco citado.</w:t>
            </w:r>
          </w:p>
        </w:tc>
        <w:tc>
          <w:tcPr>
            <w:tcW w:type="dxa" w:w="2560"/>
            <w:shd w:fill="F6F8FB" w:val="clear"/>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nccoe.nist.gov</w:t>
            </w:r>
          </w:p>
        </w:tc>
      </w:tr>
      <w:tr>
        <w:tc>
          <w:tcPr>
            <w:tcW w:type="dxa" w:w="2200"/>
            <w:tcMar>
              <w:top w:type="dxa" w:w="80"/>
              <w:left w:type="dxa" w:w="110"/>
              <w:bottom w:type="dxa" w:w="80"/>
              <w:right w:type="dxa" w:w="110"/>
            </w:tcMar>
          </w:tcPr>
          <w:p>
            <w:pPr>
              <w:spacing w:after="0" w:line="250"/>
            </w:pPr>
            <w:r>
              <w:rPr>
                <w:rFonts w:ascii="Calibri" w:cs="Calibri" w:eastAsia="Calibri" w:hAnsi="Calibri"/>
                <w:b/>
                <w:bCs/>
                <w:sz w:val="18"/>
                <w:szCs w:val="18"/>
              </w:rPr>
              <w:t xml:space="preserve">NIST SP 800-53, SI-2 y RA-5</w:t>
            </w:r>
          </w:p>
        </w:tc>
        <w:tc>
          <w:tcPr>
            <w:tcW w:type="dxa" w:w="460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SI-2(2) estado automatizado, SI-2(3) medición del tiempo de remediación, SI-2(7) análisis de causa raíz.</w:t>
            </w:r>
          </w:p>
        </w:tc>
        <w:tc>
          <w:tcPr>
            <w:tcW w:type="dxa" w:w="256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csrc.nist.gov, versión 5.2.0</w:t>
            </w:r>
          </w:p>
        </w:tc>
      </w:tr>
      <w:tr>
        <w:tc>
          <w:tcPr>
            <w:tcW w:type="dxa" w:w="2200"/>
            <w:shd w:fill="F6F8FB" w:val="clear"/>
            <w:tcMar>
              <w:top w:type="dxa" w:w="80"/>
              <w:left w:type="dxa" w:w="110"/>
              <w:bottom w:type="dxa" w:w="80"/>
              <w:right w:type="dxa" w:w="110"/>
            </w:tcMar>
          </w:tcPr>
          <w:p>
            <w:pPr>
              <w:spacing w:after="0" w:line="250"/>
            </w:pPr>
            <w:r>
              <w:rPr>
                <w:rFonts w:ascii="Calibri" w:cs="Calibri" w:eastAsia="Calibri" w:hAnsi="Calibri"/>
                <w:b/>
                <w:bCs/>
                <w:sz w:val="18"/>
                <w:szCs w:val="18"/>
              </w:rPr>
              <w:t xml:space="preserve">CIS Controls v8.1, Control 7</w:t>
            </w:r>
          </w:p>
        </w:tc>
        <w:tc>
          <w:tcPr>
            <w:tcW w:type="dxa" w:w="4600"/>
            <w:shd w:fill="F6F8FB" w:val="clear"/>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Safeguards 7.1, 7.2 y 7.7. Y el 16.2, que menciona explícitamente un sistema de tracking con métricas temporales.</w:t>
            </w:r>
          </w:p>
        </w:tc>
        <w:tc>
          <w:tcPr>
            <w:tcW w:type="dxa" w:w="2560"/>
            <w:shd w:fill="F6F8FB" w:val="clear"/>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cisecurity.org</w:t>
            </w:r>
          </w:p>
        </w:tc>
      </w:tr>
      <w:tr>
        <w:tc>
          <w:tcPr>
            <w:tcW w:type="dxa" w:w="2200"/>
            <w:tcMar>
              <w:top w:type="dxa" w:w="80"/>
              <w:left w:type="dxa" w:w="110"/>
              <w:bottom w:type="dxa" w:w="80"/>
              <w:right w:type="dxa" w:w="110"/>
            </w:tcMar>
          </w:tcPr>
          <w:p>
            <w:pPr>
              <w:spacing w:after="0" w:line="250"/>
            </w:pPr>
            <w:r>
              <w:rPr>
                <w:rFonts w:ascii="Calibri" w:cs="Calibri" w:eastAsia="Calibri" w:hAnsi="Calibri"/>
                <w:b/>
                <w:bCs/>
                <w:sz w:val="18"/>
                <w:szCs w:val="18"/>
              </w:rPr>
              <w:t xml:space="preserve">CISA BOD 26-04, Apéndice A</w:t>
            </w:r>
          </w:p>
        </w:tc>
        <w:tc>
          <w:tcPr>
            <w:tcW w:type="dxa" w:w="460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La Tabla 1 con las dieciséis combinaciones y los cinco niveles de plazo.</w:t>
            </w:r>
          </w:p>
        </w:tc>
        <w:tc>
          <w:tcPr>
            <w:tcW w:type="dxa" w:w="256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cisa.gov</w:t>
            </w:r>
          </w:p>
        </w:tc>
      </w:tr>
      <w:tr>
        <w:tc>
          <w:tcPr>
            <w:tcW w:type="dxa" w:w="2200"/>
            <w:shd w:fill="F6F8FB" w:val="clear"/>
            <w:tcMar>
              <w:top w:type="dxa" w:w="80"/>
              <w:left w:type="dxa" w:w="110"/>
              <w:bottom w:type="dxa" w:w="80"/>
              <w:right w:type="dxa" w:w="110"/>
            </w:tcMar>
          </w:tcPr>
          <w:p>
            <w:pPr>
              <w:spacing w:after="0" w:line="250"/>
            </w:pPr>
            <w:r>
              <w:rPr>
                <w:rFonts w:ascii="Calibri" w:cs="Calibri" w:eastAsia="Calibri" w:hAnsi="Calibri"/>
                <w:b/>
                <w:bCs/>
                <w:sz w:val="18"/>
                <w:szCs w:val="18"/>
              </w:rPr>
              <w:t xml:space="preserve">CISA, documentos de VEX</w:t>
            </w:r>
          </w:p>
        </w:tc>
        <w:tc>
          <w:tcPr>
            <w:tcW w:type="dxa" w:w="4600"/>
            <w:shd w:fill="F6F8FB" w:val="clear"/>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Los cuatro estados y las justificaciones del estado «no afectado».</w:t>
            </w:r>
          </w:p>
        </w:tc>
        <w:tc>
          <w:tcPr>
            <w:tcW w:type="dxa" w:w="2560"/>
            <w:shd w:fill="F6F8FB" w:val="clear"/>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cisa.gov</w:t>
            </w:r>
          </w:p>
        </w:tc>
      </w:tr>
      <w:tr>
        <w:tc>
          <w:tcPr>
            <w:tcW w:type="dxa" w:w="2200"/>
            <w:tcMar>
              <w:top w:type="dxa" w:w="80"/>
              <w:left w:type="dxa" w:w="110"/>
              <w:bottom w:type="dxa" w:w="80"/>
              <w:right w:type="dxa" w:w="110"/>
            </w:tcMar>
          </w:tcPr>
          <w:p>
            <w:pPr>
              <w:spacing w:after="0" w:line="250"/>
            </w:pPr>
            <w:r>
              <w:rPr>
                <w:rFonts w:ascii="Calibri" w:cs="Calibri" w:eastAsia="Calibri" w:hAnsi="Calibri"/>
                <w:b/>
                <w:bCs/>
                <w:sz w:val="18"/>
                <w:szCs w:val="18"/>
              </w:rPr>
              <w:t xml:space="preserve">ISO/IEC 27002:2022, control 8.8</w:t>
            </w:r>
          </w:p>
        </w:tc>
        <w:tc>
          <w:tcPr>
            <w:tcW w:type="dxa" w:w="460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Gestión de vulnerabilidades técnicas. Acceso pago.</w:t>
            </w:r>
          </w:p>
        </w:tc>
        <w:tc>
          <w:tcPr>
            <w:tcW w:type="dxa" w:w="256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iso.org</w:t>
            </w:r>
          </w:p>
        </w:tc>
      </w:tr>
      <w:tr>
        <w:tc>
          <w:tcPr>
            <w:tcW w:type="dxa" w:w="2200"/>
            <w:shd w:fill="F6F8FB" w:val="clear"/>
            <w:tcMar>
              <w:top w:type="dxa" w:w="80"/>
              <w:left w:type="dxa" w:w="110"/>
              <w:bottom w:type="dxa" w:w="80"/>
              <w:right w:type="dxa" w:w="110"/>
            </w:tcMar>
          </w:tcPr>
          <w:p>
            <w:pPr>
              <w:spacing w:after="0" w:line="250"/>
            </w:pPr>
            <w:r>
              <w:rPr>
                <w:rFonts w:ascii="Calibri" w:cs="Calibri" w:eastAsia="Calibri" w:hAnsi="Calibri"/>
                <w:b/>
                <w:bCs/>
                <w:sz w:val="18"/>
                <w:szCs w:val="18"/>
              </w:rPr>
              <w:t xml:space="preserve">PCI DSS v4.0.1, requisito 6.3</w:t>
            </w:r>
          </w:p>
        </w:tc>
        <w:tc>
          <w:tcPr>
            <w:tcW w:type="dxa" w:w="4600"/>
            <w:shd w:fill="F6F8FB" w:val="clear"/>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Los plazos de parcheo. Verificar numeración en el documento original.</w:t>
            </w:r>
          </w:p>
        </w:tc>
        <w:tc>
          <w:tcPr>
            <w:tcW w:type="dxa" w:w="2560"/>
            <w:shd w:fill="F6F8FB" w:val="clear"/>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pcisecuritystandards.org</w:t>
            </w:r>
          </w:p>
        </w:tc>
      </w:tr>
    </w:tbl>
    <w:p>
      <w:pPr>
        <w:spacing w:after="140"/>
      </w:pPr>
    </w:p>
    <w:p>
      <w:pPr>
        <w:pStyle w:val="Heading2"/>
        <w:spacing w:after="110" w:before="260"/>
      </w:pPr>
      <w:r>
        <w:rPr>
          <w:rFonts w:ascii="Calibri" w:cs="Calibri" w:eastAsia="Calibri" w:hAnsi="Calibri"/>
          <w:b/>
          <w:bCs/>
          <w:color w:val="2E5C8A"/>
          <w:sz w:val="25"/>
          <w:szCs w:val="25"/>
        </w:rPr>
        <w:t xml:space="preserve">18.2 Literatura y datos empíricos</w:t>
      </w:r>
    </w:p>
    <w:p>
      <w:pPr>
        <w:spacing w:after="60"/>
      </w:pPr>
    </w:p>
    <w:tbl>
      <w:tblPr>
        <w:tblW w:type="dxa" w:w="9360"/>
        <w:tblBorders>
          <w:top w:val="single" w:color="C9D3E0" w:sz="4"/>
          <w:left w:val="single" w:color="C9D3E0" w:sz="4"/>
          <w:bottom w:val="single" w:color="C9D3E0" w:sz="4"/>
          <w:right w:val="single" w:color="C9D3E0" w:sz="4"/>
          <w:insideH w:val="single" w:color="DDE4ED" w:sz="2"/>
          <w:insideV w:val="single" w:color="DDE4ED" w:sz="2"/>
        </w:tblBorders>
      </w:tblPr>
      <w:tblGrid>
        <w:gridCol w:w="2200"/>
        <w:gridCol w:w="4600"/>
        <w:gridCol w:w="2560"/>
      </w:tblGrid>
      <w:tr>
        <w:trPr>
          <w:tblHeader/>
        </w:trPr>
        <w:tc>
          <w:tcPr>
            <w:tcW w:type="dxa" w:w="2200"/>
            <w:shd w:fill="1F3864" w:val="clear"/>
            <w:tcMar>
              <w:top w:type="dxa" w:w="90"/>
              <w:left w:type="dxa" w:w="110"/>
              <w:bottom w:type="dxa" w:w="90"/>
              <w:right w:type="dxa" w:w="110"/>
            </w:tcMar>
          </w:tcPr>
          <w:p>
            <w:pPr>
              <w:spacing w:after="0"/>
            </w:pPr>
            <w:r>
              <w:rPr>
                <w:rFonts w:ascii="Calibri" w:cs="Calibri" w:eastAsia="Calibri" w:hAnsi="Calibri"/>
                <w:b/>
                <w:bCs/>
                <w:color w:val="FFFFFF"/>
                <w:sz w:val="19"/>
                <w:szCs w:val="19"/>
              </w:rPr>
              <w:t xml:space="preserve">Fuente</w:t>
            </w:r>
          </w:p>
        </w:tc>
        <w:tc>
          <w:tcPr>
            <w:tcW w:type="dxa" w:w="4600"/>
            <w:shd w:fill="1F3864" w:val="clear"/>
            <w:tcMar>
              <w:top w:type="dxa" w:w="90"/>
              <w:left w:type="dxa" w:w="110"/>
              <w:bottom w:type="dxa" w:w="90"/>
              <w:right w:type="dxa" w:w="110"/>
            </w:tcMar>
          </w:tcPr>
          <w:p>
            <w:pPr>
              <w:spacing w:after="0"/>
            </w:pPr>
            <w:r>
              <w:rPr>
                <w:rFonts w:ascii="Calibri" w:cs="Calibri" w:eastAsia="Calibri" w:hAnsi="Calibri"/>
                <w:b/>
                <w:bCs/>
                <w:color w:val="FFFFFF"/>
                <w:sz w:val="19"/>
                <w:szCs w:val="19"/>
              </w:rPr>
              <w:t xml:space="preserve">Qué buscar</w:t>
            </w:r>
          </w:p>
        </w:tc>
        <w:tc>
          <w:tcPr>
            <w:tcW w:type="dxa" w:w="2560"/>
            <w:shd w:fill="1F3864" w:val="clear"/>
            <w:tcMar>
              <w:top w:type="dxa" w:w="90"/>
              <w:left w:type="dxa" w:w="110"/>
              <w:bottom w:type="dxa" w:w="90"/>
              <w:right w:type="dxa" w:w="110"/>
            </w:tcMar>
          </w:tcPr>
          <w:p>
            <w:pPr>
              <w:spacing w:after="0"/>
            </w:pPr>
            <w:r>
              <w:rPr>
                <w:rFonts w:ascii="Calibri" w:cs="Calibri" w:eastAsia="Calibri" w:hAnsi="Calibri"/>
                <w:b/>
                <w:bCs/>
                <w:color w:val="FFFFFF"/>
                <w:sz w:val="19"/>
                <w:szCs w:val="19"/>
              </w:rPr>
              <w:t xml:space="preserve">Dónde</w:t>
            </w:r>
          </w:p>
        </w:tc>
      </w:tr>
      <w:tr>
        <w:tc>
          <w:tcPr>
            <w:tcW w:type="dxa" w:w="2200"/>
            <w:tcMar>
              <w:top w:type="dxa" w:w="80"/>
              <w:left w:type="dxa" w:w="110"/>
              <w:bottom w:type="dxa" w:w="80"/>
              <w:right w:type="dxa" w:w="110"/>
            </w:tcMar>
          </w:tcPr>
          <w:p>
            <w:pPr>
              <w:spacing w:after="0" w:line="250"/>
            </w:pPr>
            <w:r>
              <w:rPr>
                <w:rFonts w:ascii="Calibri" w:cs="Calibri" w:eastAsia="Calibri" w:hAnsi="Calibri"/>
                <w:b/>
                <w:bCs/>
                <w:sz w:val="18"/>
                <w:szCs w:val="18"/>
              </w:rPr>
              <w:t xml:space="preserve">SEI, Carnegie Mellon</w:t>
            </w:r>
          </w:p>
        </w:tc>
        <w:tc>
          <w:tcPr>
            <w:tcW w:type="dxa" w:w="460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Todo SSVC y el trabajo previo sobre las limitaciones de CVSS.</w:t>
            </w:r>
          </w:p>
        </w:tc>
        <w:tc>
          <w:tcPr>
            <w:tcW w:type="dxa" w:w="256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resources.sei.cmu.edu</w:t>
            </w:r>
          </w:p>
        </w:tc>
      </w:tr>
      <w:tr>
        <w:tc>
          <w:tcPr>
            <w:tcW w:type="dxa" w:w="2200"/>
            <w:shd w:fill="F6F8FB" w:val="clear"/>
            <w:tcMar>
              <w:top w:type="dxa" w:w="80"/>
              <w:left w:type="dxa" w:w="110"/>
              <w:bottom w:type="dxa" w:w="80"/>
              <w:right w:type="dxa" w:w="110"/>
            </w:tcMar>
          </w:tcPr>
          <w:p>
            <w:pPr>
              <w:spacing w:after="0" w:line="250"/>
            </w:pPr>
            <w:r>
              <w:rPr>
                <w:rFonts w:ascii="Calibri" w:cs="Calibri" w:eastAsia="Calibri" w:hAnsi="Calibri"/>
                <w:b/>
                <w:bCs/>
                <w:sz w:val="18"/>
                <w:szCs w:val="18"/>
              </w:rPr>
              <w:t xml:space="preserve">Cyentia Institute</w:t>
            </w:r>
          </w:p>
        </w:tc>
        <w:tc>
          <w:tcPr>
            <w:tcW w:type="dxa" w:w="4600"/>
            <w:shd w:fill="F6F8FB" w:val="clear"/>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La serie Prioritization to Prediction, volúmenes 3 y 4 en particular.</w:t>
            </w:r>
          </w:p>
        </w:tc>
        <w:tc>
          <w:tcPr>
            <w:tcW w:type="dxa" w:w="2560"/>
            <w:shd w:fill="F6F8FB" w:val="clear"/>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library.cyentia.com</w:t>
            </w:r>
          </w:p>
        </w:tc>
      </w:tr>
      <w:tr>
        <w:tc>
          <w:tcPr>
            <w:tcW w:type="dxa" w:w="2200"/>
            <w:tcMar>
              <w:top w:type="dxa" w:w="80"/>
              <w:left w:type="dxa" w:w="110"/>
              <w:bottom w:type="dxa" w:w="80"/>
              <w:right w:type="dxa" w:w="110"/>
            </w:tcMar>
          </w:tcPr>
          <w:p>
            <w:pPr>
              <w:spacing w:after="0" w:line="250"/>
            </w:pPr>
            <w:r>
              <w:rPr>
                <w:rFonts w:ascii="Calibri" w:cs="Calibri" w:eastAsia="Calibri" w:hAnsi="Calibri"/>
                <w:b/>
                <w:bCs/>
                <w:sz w:val="18"/>
                <w:szCs w:val="18"/>
              </w:rPr>
              <w:t xml:space="preserve">SANS Institute</w:t>
            </w:r>
          </w:p>
        </w:tc>
        <w:tc>
          <w:tcPr>
            <w:tcW w:type="dxa" w:w="460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El modelo de madurez y su herramienta de autoevaluación.</w:t>
            </w:r>
          </w:p>
        </w:tc>
        <w:tc>
          <w:tcPr>
            <w:tcW w:type="dxa" w:w="256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sans.org</w:t>
            </w:r>
          </w:p>
        </w:tc>
      </w:tr>
      <w:tr>
        <w:tc>
          <w:tcPr>
            <w:tcW w:type="dxa" w:w="2200"/>
            <w:shd w:fill="F6F8FB" w:val="clear"/>
            <w:tcMar>
              <w:top w:type="dxa" w:w="80"/>
              <w:left w:type="dxa" w:w="110"/>
              <w:bottom w:type="dxa" w:w="80"/>
              <w:right w:type="dxa" w:w="110"/>
            </w:tcMar>
          </w:tcPr>
          <w:p>
            <w:pPr>
              <w:spacing w:after="0" w:line="250"/>
            </w:pPr>
            <w:r>
              <w:rPr>
                <w:rFonts w:ascii="Calibri" w:cs="Calibri" w:eastAsia="Calibri" w:hAnsi="Calibri"/>
                <w:b/>
                <w:bCs/>
                <w:sz w:val="18"/>
                <w:szCs w:val="18"/>
              </w:rPr>
              <w:t xml:space="preserve">FIRST</w:t>
            </w:r>
          </w:p>
        </w:tc>
        <w:tc>
          <w:tcPr>
            <w:tcW w:type="dxa" w:w="4600"/>
            <w:shd w:fill="F6F8FB" w:val="clear"/>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Documentación de EPSS y especificación de CVSS.</w:t>
            </w:r>
          </w:p>
        </w:tc>
        <w:tc>
          <w:tcPr>
            <w:tcW w:type="dxa" w:w="2560"/>
            <w:shd w:fill="F6F8FB" w:val="clear"/>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first.org</w:t>
            </w:r>
          </w:p>
        </w:tc>
      </w:tr>
      <w:tr>
        <w:tc>
          <w:tcPr>
            <w:tcW w:type="dxa" w:w="2200"/>
            <w:tcMar>
              <w:top w:type="dxa" w:w="80"/>
              <w:left w:type="dxa" w:w="110"/>
              <w:bottom w:type="dxa" w:w="80"/>
              <w:right w:type="dxa" w:w="110"/>
            </w:tcMar>
          </w:tcPr>
          <w:p>
            <w:pPr>
              <w:spacing w:after="0" w:line="250"/>
            </w:pPr>
            <w:r>
              <w:rPr>
                <w:rFonts w:ascii="Calibri" w:cs="Calibri" w:eastAsia="Calibri" w:hAnsi="Calibri"/>
                <w:b/>
                <w:bCs/>
                <w:sz w:val="18"/>
                <w:szCs w:val="18"/>
              </w:rPr>
              <w:t xml:space="preserve">arXiv</w:t>
            </w:r>
          </w:p>
        </w:tc>
        <w:tc>
          <w:tcPr>
            <w:tcW w:type="dxa" w:w="460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Revisiones recientes sobre priorización de vulnerabilidades y sistemas de scoring.</w:t>
            </w:r>
          </w:p>
        </w:tc>
        <w:tc>
          <w:tcPr>
            <w:tcW w:type="dxa" w:w="256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arxiv.org</w:t>
            </w:r>
          </w:p>
        </w:tc>
      </w:tr>
      <w:tr>
        <w:tc>
          <w:tcPr>
            <w:tcW w:type="dxa" w:w="2200"/>
            <w:shd w:fill="F6F8FB" w:val="clear"/>
            <w:tcMar>
              <w:top w:type="dxa" w:w="80"/>
              <w:left w:type="dxa" w:w="110"/>
              <w:bottom w:type="dxa" w:w="80"/>
              <w:right w:type="dxa" w:w="110"/>
            </w:tcMar>
          </w:tcPr>
          <w:p>
            <w:pPr>
              <w:spacing w:after="0" w:line="250"/>
            </w:pPr>
            <w:r>
              <w:rPr>
                <w:rFonts w:ascii="Calibri" w:cs="Calibri" w:eastAsia="Calibri" w:hAnsi="Calibri"/>
                <w:b/>
                <w:bCs/>
                <w:sz w:val="18"/>
                <w:szCs w:val="18"/>
              </w:rPr>
              <w:t xml:space="preserve">IEEE Xplore, ACM DL, Springer</w:t>
            </w:r>
          </w:p>
        </w:tc>
        <w:tc>
          <w:tcPr>
            <w:tcW w:type="dxa" w:w="4600"/>
            <w:shd w:fill="F6F8FB" w:val="clear"/>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Literatura con revisión por pares. Verificar acceso institucional por UTN.</w:t>
            </w:r>
          </w:p>
        </w:tc>
        <w:tc>
          <w:tcPr>
            <w:tcW w:type="dxa" w:w="2560"/>
            <w:shd w:fill="F6F8FB" w:val="clear"/>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Bibliotecas institucionales</w:t>
            </w:r>
          </w:p>
        </w:tc>
      </w:tr>
    </w:tbl>
    <w:p>
      <w:pPr>
        <w:spacing w:after="140"/>
      </w:pPr>
    </w:p>
    <w:p>
      <w:pPr>
        <w:pStyle w:val="Heading2"/>
        <w:spacing w:after="110" w:before="260"/>
      </w:pPr>
      <w:r>
        <w:rPr>
          <w:rFonts w:ascii="Calibri" w:cs="Calibri" w:eastAsia="Calibri" w:hAnsi="Calibri"/>
          <w:b/>
          <w:bCs/>
          <w:color w:val="2E5C8A"/>
          <w:sz w:val="25"/>
          <w:szCs w:val="25"/>
        </w:rPr>
        <w:t xml:space="preserve">18.3 Implementaciones de referencia</w:t>
      </w:r>
    </w:p>
    <w:p>
      <w:pPr>
        <w:spacing w:after="60"/>
      </w:pPr>
    </w:p>
    <w:tbl>
      <w:tblPr>
        <w:tblW w:type="dxa" w:w="9360"/>
        <w:tblBorders>
          <w:top w:val="single" w:color="C9D3E0" w:sz="4"/>
          <w:left w:val="single" w:color="C9D3E0" w:sz="4"/>
          <w:bottom w:val="single" w:color="C9D3E0" w:sz="4"/>
          <w:right w:val="single" w:color="C9D3E0" w:sz="4"/>
          <w:insideH w:val="single" w:color="DDE4ED" w:sz="2"/>
          <w:insideV w:val="single" w:color="DDE4ED" w:sz="2"/>
        </w:tblBorders>
      </w:tblPr>
      <w:tblGrid>
        <w:gridCol w:w="2200"/>
        <w:gridCol w:w="4600"/>
        <w:gridCol w:w="2560"/>
      </w:tblGrid>
      <w:tr>
        <w:trPr>
          <w:tblHeader/>
        </w:trPr>
        <w:tc>
          <w:tcPr>
            <w:tcW w:type="dxa" w:w="2200"/>
            <w:shd w:fill="1F3864" w:val="clear"/>
            <w:tcMar>
              <w:top w:type="dxa" w:w="90"/>
              <w:left w:type="dxa" w:w="110"/>
              <w:bottom w:type="dxa" w:w="90"/>
              <w:right w:type="dxa" w:w="110"/>
            </w:tcMar>
          </w:tcPr>
          <w:p>
            <w:pPr>
              <w:spacing w:after="0"/>
            </w:pPr>
            <w:r>
              <w:rPr>
                <w:rFonts w:ascii="Calibri" w:cs="Calibri" w:eastAsia="Calibri" w:hAnsi="Calibri"/>
                <w:b/>
                <w:bCs/>
                <w:color w:val="FFFFFF"/>
                <w:sz w:val="19"/>
                <w:szCs w:val="19"/>
              </w:rPr>
              <w:t xml:space="preserve">Proyecto</w:t>
            </w:r>
          </w:p>
        </w:tc>
        <w:tc>
          <w:tcPr>
            <w:tcW w:type="dxa" w:w="4600"/>
            <w:shd w:fill="1F3864" w:val="clear"/>
            <w:tcMar>
              <w:top w:type="dxa" w:w="90"/>
              <w:left w:type="dxa" w:w="110"/>
              <w:bottom w:type="dxa" w:w="90"/>
              <w:right w:type="dxa" w:w="110"/>
            </w:tcMar>
          </w:tcPr>
          <w:p>
            <w:pPr>
              <w:spacing w:after="0"/>
            </w:pPr>
            <w:r>
              <w:rPr>
                <w:rFonts w:ascii="Calibri" w:cs="Calibri" w:eastAsia="Calibri" w:hAnsi="Calibri"/>
                <w:b/>
                <w:bCs/>
                <w:color w:val="FFFFFF"/>
                <w:sz w:val="19"/>
                <w:szCs w:val="19"/>
              </w:rPr>
              <w:t xml:space="preserve">Qué buscar</w:t>
            </w:r>
          </w:p>
        </w:tc>
        <w:tc>
          <w:tcPr>
            <w:tcW w:type="dxa" w:w="2560"/>
            <w:shd w:fill="1F3864" w:val="clear"/>
            <w:tcMar>
              <w:top w:type="dxa" w:w="90"/>
              <w:left w:type="dxa" w:w="110"/>
              <w:bottom w:type="dxa" w:w="90"/>
              <w:right w:type="dxa" w:w="110"/>
            </w:tcMar>
          </w:tcPr>
          <w:p>
            <w:pPr>
              <w:spacing w:after="0"/>
            </w:pPr>
            <w:r>
              <w:rPr>
                <w:rFonts w:ascii="Calibri" w:cs="Calibri" w:eastAsia="Calibri" w:hAnsi="Calibri"/>
                <w:b/>
                <w:bCs/>
                <w:color w:val="FFFFFF"/>
                <w:sz w:val="19"/>
                <w:szCs w:val="19"/>
              </w:rPr>
              <w:t xml:space="preserve">Dónde</w:t>
            </w:r>
          </w:p>
        </w:tc>
      </w:tr>
      <w:tr>
        <w:tc>
          <w:tcPr>
            <w:tcW w:type="dxa" w:w="2200"/>
            <w:tcMar>
              <w:top w:type="dxa" w:w="80"/>
              <w:left w:type="dxa" w:w="110"/>
              <w:bottom w:type="dxa" w:w="80"/>
              <w:right w:type="dxa" w:w="110"/>
            </w:tcMar>
          </w:tcPr>
          <w:p>
            <w:pPr>
              <w:spacing w:after="0" w:line="250"/>
            </w:pPr>
            <w:r>
              <w:rPr>
                <w:rFonts w:ascii="Calibri" w:cs="Calibri" w:eastAsia="Calibri" w:hAnsi="Calibri"/>
                <w:b/>
                <w:bCs/>
                <w:sz w:val="18"/>
                <w:szCs w:val="18"/>
              </w:rPr>
              <w:t xml:space="preserve">OWASP Dependency-Track</w:t>
            </w:r>
          </w:p>
        </w:tc>
        <w:tc>
          <w:tcPr>
            <w:tcW w:type="dxa" w:w="460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El modelo de hallazgos, el historial de auditoría, el manejo de hallazgos inactivos y el soporte de VEX.</w:t>
            </w:r>
          </w:p>
        </w:tc>
        <w:tc>
          <w:tcPr>
            <w:tcW w:type="dxa" w:w="256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dependencytrack.org y su repositorio</w:t>
            </w:r>
          </w:p>
        </w:tc>
      </w:tr>
      <w:tr>
        <w:tc>
          <w:tcPr>
            <w:tcW w:type="dxa" w:w="2200"/>
            <w:shd w:fill="F6F8FB" w:val="clear"/>
            <w:tcMar>
              <w:top w:type="dxa" w:w="80"/>
              <w:left w:type="dxa" w:w="110"/>
              <w:bottom w:type="dxa" w:w="80"/>
              <w:right w:type="dxa" w:w="110"/>
            </w:tcMar>
          </w:tcPr>
          <w:p>
            <w:pPr>
              <w:spacing w:after="0" w:line="250"/>
            </w:pPr>
            <w:r>
              <w:rPr>
                <w:rFonts w:ascii="Calibri" w:cs="Calibri" w:eastAsia="Calibri" w:hAnsi="Calibri"/>
                <w:b/>
                <w:bCs/>
                <w:sz w:val="18"/>
                <w:szCs w:val="18"/>
              </w:rPr>
              <w:t xml:space="preserve">OWASP DefectDojo</w:t>
            </w:r>
          </w:p>
        </w:tc>
        <w:tc>
          <w:tcPr>
            <w:tcW w:type="dxa" w:w="4600"/>
            <w:shd w:fill="F6F8FB" w:val="clear"/>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El modelo de findings: deduplicación, aceptación de riesgo con vencimiento, mitigación, reapertura.</w:t>
            </w:r>
          </w:p>
        </w:tc>
        <w:tc>
          <w:tcPr>
            <w:tcW w:type="dxa" w:w="2560"/>
            <w:shd w:fill="F6F8FB" w:val="clear"/>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defectdojo.org y su repositorio</w:t>
            </w:r>
          </w:p>
        </w:tc>
      </w:tr>
    </w:tbl>
    <w:p>
      <w:pPr>
        <w:spacing w:after="140"/>
      </w:pPr>
    </w:p>
    <w:p>
      <w:pPr>
        <w:pStyle w:val="Heading2"/>
        <w:spacing w:after="110" w:before="260"/>
      </w:pPr>
      <w:r>
        <w:rPr>
          <w:rFonts w:ascii="Calibri" w:cs="Calibri" w:eastAsia="Calibri" w:hAnsi="Calibri"/>
          <w:b/>
          <w:bCs/>
          <w:color w:val="2E5C8A"/>
          <w:sz w:val="25"/>
          <w:szCs w:val="25"/>
        </w:rPr>
        <w:t xml:space="preserve">18.4 Ámbito regional</w:t>
      </w:r>
    </w:p>
    <w:p>
      <w:pPr>
        <w:spacing w:after="120" w:before="0" w:line="276"/>
      </w:pPr>
      <w:r>
        <w:rPr>
          <w:rFonts w:ascii="Calibri" w:cs="Calibri" w:eastAsia="Calibri" w:hAnsi="Calibri"/>
          <w:sz w:val="21"/>
          <w:szCs w:val="21"/>
        </w:rPr>
        <w:t xml:space="preserve">Ninguno de los marcos consultados menciona normativa argentina o latinoamericana. Vale revisar las disposiciones de la Dirección Nacional de Ciberseguridad y los requisitos mínimos de seguridad de la información aplicables al sector público nacional. Aunque no aporten técnicamente, ubicar el trabajo en el marco local es un diferencial frente a un informe construido solo con fuentes estadounidenses.</w:t>
      </w:r>
    </w:p>
    <w:p>
      <w:pPr>
        <w:spacing w:after="120" w:before="0" w:line="276"/>
      </w:pPr>
      <w:r>
        <w:rPr>
          <w:rFonts w:ascii="Calibri" w:cs="Calibri" w:eastAsia="Calibri" w:hAnsi="Calibri"/>
          <w:sz w:val="21"/>
          <w:szCs w:val="21"/>
        </w:rPr>
        <w:t xml:space="preserve">Para antecedentes académicos regionales, los repositorios institucionales —el de UTN y el SEDICI de la Universidad Nacional de La Plata, entre otros— permiten localizar trabajos del área.</w:t>
      </w:r>
    </w:p>
    <w:p>
      <w:pPr>
        <w:spacing w:after="120" w:before="0" w:line="276"/>
      </w:pPr>
      <w:r>
        <w:rPr>
          <w:rFonts w:ascii="Calibri" w:cs="Calibri" w:eastAsia="Calibri" w:hAnsi="Calibri"/>
          <w:sz w:val="21"/>
          <w:szCs w:val="21"/>
        </w:rPr>
        <w:t xml:space="preserve">Actualización a agosto de 2026: el panorama regulatorio argentino se movió de forma significativa en los meses previos al cierre de este documento, y conviene incorporarlo porque cambia la base sobre la que se apoya cualquier mención al "ámbito local" en la tesis.</w:t>
      </w:r>
    </w:p>
    <w:p>
      <w:pPr>
        <w:pStyle w:val="ListParagraph"/>
        <w:numPr>
          <w:ilvl w:val="0"/>
          <w:numId w:val="2"/>
        </w:numPr>
        <w:spacing w:after="90" w:line="276"/>
      </w:pPr>
      <w:r>
        <w:rPr>
          <w:rFonts w:ascii="Calibri" w:cs="Calibri" w:eastAsia="Calibri" w:hAnsi="Calibri"/>
          <w:b/>
          <w:bCs/>
          <w:sz w:val="21"/>
          <w:szCs w:val="21"/>
        </w:rPr>
        <w:t xml:space="preserve">Decisión Administrativa 641/2021 (JGM). </w:t>
      </w:r>
      <w:r>
        <w:rPr>
          <w:rFonts w:ascii="Calibri" w:cs="Calibri" w:eastAsia="Calibri" w:hAnsi="Calibri"/>
          <w:sz w:val="21"/>
          <w:szCs w:val="21"/>
        </w:rPr>
        <w:t xml:space="preserve">sigue siendo la norma base: aprueba los Requisitos Mínimos de Seguridad de la Información para los organismos del Sector Público Nacional comprendidos en el inciso a) del artículo 8° de la Ley N.° 24.156, y es obligatoria también para los proveedores que contratan con esos organismos.</w:t>
      </w:r>
    </w:p>
    <w:p>
      <w:pPr>
        <w:pStyle w:val="ListParagraph"/>
        <w:numPr>
          <w:ilvl w:val="0"/>
          <w:numId w:val="2"/>
        </w:numPr>
        <w:spacing w:after="90" w:line="276"/>
      </w:pPr>
      <w:r>
        <w:rPr>
          <w:rFonts w:ascii="Calibri" w:cs="Calibri" w:eastAsia="Calibri" w:hAnsi="Calibri"/>
          <w:b/>
          <w:bCs/>
          <w:sz w:val="21"/>
          <w:szCs w:val="21"/>
        </w:rPr>
        <w:t xml:space="preserve">Decreto 941/2025 (enero de 2026). </w:t>
      </w:r>
      <w:r>
        <w:rPr>
          <w:rFonts w:ascii="Calibri" w:cs="Calibri" w:eastAsia="Calibri" w:hAnsi="Calibri"/>
          <w:sz w:val="21"/>
          <w:szCs w:val="21"/>
        </w:rPr>
        <w:t xml:space="preserve">creó el Centro Nacional de Ciberseguridad (CNC), organismo descentralizado bajo la Secretaría de Innovación, Ciencia y Tecnología de la Jefatura de Gabinete, con carácter de órgano rector en ciberseguridad para el Sector Público Nacional. Reemplaza en ese rol de conducción a la Dirección Nacional de Ciberseguridad, que había sido la referencia usada en la primera versión de este marco.</w:t>
      </w:r>
    </w:p>
    <w:p>
      <w:pPr>
        <w:pStyle w:val="ListParagraph"/>
        <w:numPr>
          <w:ilvl w:val="0"/>
          <w:numId w:val="2"/>
        </w:numPr>
        <w:spacing w:after="90" w:line="276"/>
      </w:pPr>
      <w:r>
        <w:rPr>
          <w:rFonts w:ascii="Calibri" w:cs="Calibri" w:eastAsia="Calibri" w:hAnsi="Calibri"/>
          <w:b/>
          <w:bCs/>
          <w:sz w:val="21"/>
          <w:szCs w:val="21"/>
        </w:rPr>
        <w:t xml:space="preserve">Disposición CNC 1/2026 (mayo de 2026). </w:t>
      </w:r>
      <w:r>
        <w:rPr>
          <w:rFonts w:ascii="Calibri" w:cs="Calibri" w:eastAsia="Calibri" w:hAnsi="Calibri"/>
          <w:sz w:val="21"/>
          <w:szCs w:val="21"/>
        </w:rPr>
        <w:t xml:space="preserve">primera norma dictada por el CNC, aprueba el Reglamento Técnico de Planes de Contingencia y Centros de Procesamiento de Datos de Respaldo. Fija plazos de recuperación (RTO/RPO) por nivel de criticidad del sistema —por ejemplo, RTO menor a 4 horas para criticidad alta— y da 180 días a los organismos alcanzados para adecuarse. No trata directamente la gestión de vulnerabilidades, pero confirma el patrón: el CNC está emitiendo reglamentos técnicos sucesivos con plazos concretos, y uno específico sobre remediación de vulnerabilidades es una extensión natural y esperable de esa línea de trabajo.</w:t>
      </w:r>
    </w:p>
    <w:p>
      <w:pPr>
        <w:pStyle w:val="ListParagraph"/>
        <w:numPr>
          <w:ilvl w:val="0"/>
          <w:numId w:val="2"/>
        </w:numPr>
        <w:spacing w:after="90" w:line="276"/>
      </w:pPr>
      <w:r>
        <w:rPr>
          <w:rFonts w:ascii="Calibri" w:cs="Calibri" w:eastAsia="Calibri" w:hAnsi="Calibri"/>
          <w:b/>
          <w:bCs/>
          <w:sz w:val="21"/>
          <w:szCs w:val="21"/>
        </w:rPr>
        <w:t xml:space="preserve">Resolución SIGEN 168/2026 (mayo de 2026). </w:t>
      </w:r>
      <w:r>
        <w:rPr>
          <w:rFonts w:ascii="Calibri" w:cs="Calibri" w:eastAsia="Calibri" w:hAnsi="Calibri"/>
          <w:sz w:val="21"/>
          <w:szCs w:val="21"/>
        </w:rPr>
        <w:t xml:space="preserve">la Sindicatura General de la Nación reemplazó su política de seguridad informática de 2011 por una nueva, alineada a la Decisión Administrativa 641/2021 — evidencia de que la adopción de esa norma base sigue activa y expandiéndose entre organismos del Sector Público Nacional.</w:t>
      </w:r>
    </w:p>
    <w:tbl>
      <w:tblPr>
        <w:tblW w:type="dxa" w:w="9360"/>
        <w:tblBorders>
          <w:top w:val="none"/>
          <w:left w:val="single" w:color="9C2B2B" w:sz="18"/>
          <w:bottom w:val="none"/>
          <w:right w:val="none"/>
          <w:insideH w:val="none"/>
          <w:insideV w:val="none"/>
        </w:tblBorders>
      </w:tblPr>
      <w:tblGrid>
        <w:gridCol w:w="9360"/>
      </w:tblGrid>
      <w:tr>
        <w:tc>
          <w:tcPr>
            <w:tcW w:type="dxa" w:w="9360"/>
            <w:shd w:fill="EEF2F7" w:val="clear"/>
            <w:tcMar>
              <w:top w:type="dxa" w:w="140"/>
              <w:left w:type="dxa" w:w="200"/>
              <w:bottom w:type="dxa" w:w="140"/>
              <w:right w:type="dxa" w:w="200"/>
            </w:tcMar>
          </w:tcPr>
          <w:p>
            <w:pPr>
              <w:spacing w:after="100"/>
            </w:pPr>
            <w:r>
              <w:rPr>
                <w:rFonts w:ascii="Calibri" w:cs="Calibri" w:eastAsia="Calibri" w:hAnsi="Calibri"/>
                <w:b/>
                <w:bCs/>
                <w:color w:val="1F3864"/>
                <w:sz w:val="21"/>
                <w:szCs w:val="21"/>
              </w:rPr>
              <w:t xml:space="preserve">Cómo usar esto en la tesis</w:t>
            </w:r>
          </w:p>
          <w:p>
            <w:pPr>
              <w:spacing w:after="0" w:line="276"/>
            </w:pPr>
            <w:r>
              <w:rPr>
                <w:rFonts w:ascii="Calibri" w:cs="Calibri" w:eastAsia="Calibri" w:hAnsi="Calibri"/>
                <w:sz w:val="21"/>
                <w:szCs w:val="21"/>
              </w:rPr>
              <w:t xml:space="preserve">Ninguna de estas normas prescribe hoy un modelo de datos ni un ciclo de vida para el tracking de remediación —siguen sin existir en Argentina, igual que a nivel internacional según señala la Nota Metodológica de este documento—. Lo que aportan es autoridad de referencia local concreta y vigente: mencionar al CNC como órgano rector actual, en lugar de la Dirección Nacional de Ciberseguridad como en la versión previa de este marco, y citar la Decisión Administrativa 641/2021 como la norma base obligatoria, es lo que un tribunal puede verificar en el Boletín Oficial en un minuto. Presentar una autoridad o una norma superada es exactamente el tipo de error que el Anexo A de este documento identificó en los marcos generados por otros sistemas de IA.</w:t>
            </w:r>
          </w:p>
        </w:tc>
      </w:tr>
    </w:tbl>
    <w:p>
      <w:pPr>
        <w:spacing w:after="120" w:line="240"/>
      </w:pPr>
    </w:p>
    <w:p>
      <w:pPr>
        <w:pStyle w:val="Heading2"/>
        <w:spacing w:after="110" w:before="260"/>
      </w:pPr>
      <w:r>
        <w:rPr>
          <w:rFonts w:ascii="Calibri" w:cs="Calibri" w:eastAsia="Calibri" w:hAnsi="Calibri"/>
          <w:b/>
          <w:bCs/>
          <w:color w:val="2E5C8A"/>
          <w:sz w:val="25"/>
          <w:szCs w:val="25"/>
        </w:rPr>
        <w:t xml:space="preserve">18.5 Lo que conviene no citar</w:t>
      </w:r>
    </w:p>
    <w:p>
      <w:pPr>
        <w:spacing w:after="120" w:before="0" w:line="276"/>
      </w:pPr>
      <w:r>
        <w:rPr>
          <w:rFonts w:ascii="Calibri" w:cs="Calibri" w:eastAsia="Calibri" w:hAnsi="Calibri"/>
          <w:sz w:val="21"/>
          <w:szCs w:val="21"/>
        </w:rPr>
        <w:t xml:space="preserve">La documentación de proveedores comerciales de gestión de vulnerabilidades define métricas operativas con precisión y es útil para entender el problema. Pero es material comercial, y un lector externo la va a leer como tal. Sirve para formarse criterio, no como respaldo bibliográfico.</w:t>
      </w:r>
    </w:p>
    <w:p>
      <w:r>
        <w:br w:type="page"/>
      </w:r>
    </w:p>
    <w:p>
      <w:pPr>
        <w:pStyle w:val="Heading1"/>
        <w:pBdr>
          <w:bottom w:val="single" w:color="1F3864" w:sz="8" w:space="6"/>
        </w:pBdr>
        <w:spacing w:after="160" w:before="340"/>
      </w:pPr>
      <w:r>
        <w:rPr>
          <w:rFonts w:ascii="Calibri" w:cs="Calibri" w:eastAsia="Calibri" w:hAnsi="Calibri"/>
          <w:b/>
          <w:bCs/>
          <w:color w:val="1F3864"/>
          <w:sz w:val="30"/>
          <w:szCs w:val="30"/>
        </w:rPr>
        <w:t xml:space="preserve">Anexo A — Registro de contraste entre marcos</w:t>
      </w:r>
    </w:p>
    <w:tbl>
      <w:tblPr>
        <w:tblW w:type="dxa" w:w="9360"/>
        <w:tblBorders>
          <w:top w:val="none"/>
          <w:left w:val="single" w:color="9C2B2B" w:sz="18"/>
          <w:bottom w:val="none"/>
          <w:right w:val="none"/>
          <w:insideH w:val="none"/>
          <w:insideV w:val="none"/>
        </w:tblBorders>
      </w:tblPr>
      <w:tblGrid>
        <w:gridCol w:w="9360"/>
      </w:tblGrid>
      <w:tr>
        <w:tc>
          <w:tcPr>
            <w:tcW w:type="dxa" w:w="9360"/>
            <w:shd w:fill="EEF2F7" w:val="clear"/>
            <w:tcMar>
              <w:top w:type="dxa" w:w="140"/>
              <w:left w:type="dxa" w:w="200"/>
              <w:bottom w:type="dxa" w:w="140"/>
              <w:right w:type="dxa" w:w="200"/>
            </w:tcMar>
          </w:tcPr>
          <w:p>
            <w:pPr>
              <w:spacing w:after="100" w:line="276"/>
            </w:pPr>
            <w:r>
              <w:rPr>
                <w:rFonts w:ascii="Calibri" w:cs="Calibri" w:eastAsia="Calibri" w:hAnsi="Calibri"/>
                <w:b/>
                <w:bCs/>
                <w:color w:val="9C2B2B"/>
                <w:sz w:val="21"/>
                <w:szCs w:val="21"/>
              </w:rPr>
              <w:t xml:space="preserve">Uso de este anexo</w:t>
            </w:r>
          </w:p>
          <w:p>
            <w:pPr>
              <w:spacing w:after="0" w:line="276"/>
            </w:pPr>
            <w:r>
              <w:rPr>
                <w:rFonts w:ascii="Calibri" w:cs="Calibri" w:eastAsia="Calibri" w:hAnsi="Calibri"/>
                <w:sz w:val="21"/>
                <w:szCs w:val="21"/>
              </w:rPr>
              <w:t xml:space="preserve">Material de trabajo interno. Documenta el contraste con tres marcos elaborados de forma independiente por otros sistemas de IA, para recuperar lo válido y no heredar lo erróneo. No es material citable ni corresponde incorporarlo a un informe académico.</w:t>
            </w:r>
          </w:p>
        </w:tc>
      </w:tr>
    </w:tbl>
    <w:p>
      <w:pPr>
        <w:pStyle w:val="Heading2"/>
        <w:spacing w:after="110" w:before="260"/>
      </w:pPr>
      <w:r>
        <w:rPr>
          <w:rFonts w:ascii="Calibri" w:cs="Calibri" w:eastAsia="Calibri" w:hAnsi="Calibri"/>
          <w:b/>
          <w:bCs/>
          <w:color w:val="2E5C8A"/>
          <w:sz w:val="25"/>
          <w:szCs w:val="25"/>
        </w:rPr>
        <w:t xml:space="preserve">A.1 Aportes incorporados</w:t>
      </w:r>
    </w:p>
    <w:p>
      <w:pPr>
        <w:spacing w:after="60"/>
      </w:pPr>
    </w:p>
    <w:tbl>
      <w:tblPr>
        <w:tblW w:type="dxa" w:w="9360"/>
        <w:tblBorders>
          <w:top w:val="single" w:color="C9D3E0" w:sz="4"/>
          <w:left w:val="single" w:color="C9D3E0" w:sz="4"/>
          <w:bottom w:val="single" w:color="C9D3E0" w:sz="4"/>
          <w:right w:val="single" w:color="C9D3E0" w:sz="4"/>
          <w:insideH w:val="single" w:color="DDE4ED" w:sz="2"/>
          <w:insideV w:val="single" w:color="DDE4ED" w:sz="2"/>
        </w:tblBorders>
      </w:tblPr>
      <w:tblGrid>
        <w:gridCol w:w="3400"/>
        <w:gridCol w:w="2400"/>
        <w:gridCol w:w="3560"/>
      </w:tblGrid>
      <w:tr>
        <w:trPr>
          <w:tblHeader/>
        </w:trPr>
        <w:tc>
          <w:tcPr>
            <w:tcW w:type="dxa" w:w="3400"/>
            <w:shd w:fill="1F3864" w:val="clear"/>
            <w:tcMar>
              <w:top w:type="dxa" w:w="90"/>
              <w:left w:type="dxa" w:w="110"/>
              <w:bottom w:type="dxa" w:w="90"/>
              <w:right w:type="dxa" w:w="110"/>
            </w:tcMar>
          </w:tcPr>
          <w:p>
            <w:pPr>
              <w:spacing w:after="0"/>
            </w:pPr>
            <w:r>
              <w:rPr>
                <w:rFonts w:ascii="Calibri" w:cs="Calibri" w:eastAsia="Calibri" w:hAnsi="Calibri"/>
                <w:b/>
                <w:bCs/>
                <w:color w:val="FFFFFF"/>
                <w:sz w:val="19"/>
                <w:szCs w:val="19"/>
              </w:rPr>
              <w:t xml:space="preserve">Aporte</w:t>
            </w:r>
          </w:p>
        </w:tc>
        <w:tc>
          <w:tcPr>
            <w:tcW w:type="dxa" w:w="2400"/>
            <w:shd w:fill="1F3864" w:val="clear"/>
            <w:tcMar>
              <w:top w:type="dxa" w:w="90"/>
              <w:left w:type="dxa" w:w="110"/>
              <w:bottom w:type="dxa" w:w="90"/>
              <w:right w:type="dxa" w:w="110"/>
            </w:tcMar>
          </w:tcPr>
          <w:p>
            <w:pPr>
              <w:spacing w:after="0"/>
            </w:pPr>
            <w:r>
              <w:rPr>
                <w:rFonts w:ascii="Calibri" w:cs="Calibri" w:eastAsia="Calibri" w:hAnsi="Calibri"/>
                <w:b/>
                <w:bCs/>
                <w:color w:val="FFFFFF"/>
                <w:sz w:val="19"/>
                <w:szCs w:val="19"/>
              </w:rPr>
              <w:t xml:space="preserve">Dónde se incorporó</w:t>
            </w:r>
          </w:p>
        </w:tc>
        <w:tc>
          <w:tcPr>
            <w:tcW w:type="dxa" w:w="3560"/>
            <w:shd w:fill="1F3864" w:val="clear"/>
            <w:tcMar>
              <w:top w:type="dxa" w:w="90"/>
              <w:left w:type="dxa" w:w="110"/>
              <w:bottom w:type="dxa" w:w="90"/>
              <w:right w:type="dxa" w:w="110"/>
            </w:tcMar>
          </w:tcPr>
          <w:p>
            <w:pPr>
              <w:spacing w:after="0"/>
            </w:pPr>
            <w:r>
              <w:rPr>
                <w:rFonts w:ascii="Calibri" w:cs="Calibri" w:eastAsia="Calibri" w:hAnsi="Calibri"/>
                <w:b/>
                <w:bCs/>
                <w:color w:val="FFFFFF"/>
                <w:sz w:val="19"/>
                <w:szCs w:val="19"/>
              </w:rPr>
              <w:t xml:space="preserve">Verificación</w:t>
            </w:r>
          </w:p>
        </w:tc>
      </w:tr>
      <w:tr>
        <w:tc>
          <w:tcPr>
            <w:tcW w:type="dxa" w:w="3400"/>
            <w:tcMar>
              <w:top w:type="dxa" w:w="80"/>
              <w:left w:type="dxa" w:w="110"/>
              <w:bottom w:type="dxa" w:w="80"/>
              <w:right w:type="dxa" w:w="110"/>
            </w:tcMar>
          </w:tcPr>
          <w:p>
            <w:pPr>
              <w:spacing w:after="0" w:line="250"/>
            </w:pPr>
            <w:r>
              <w:rPr>
                <w:rFonts w:ascii="Calibri" w:cs="Calibri" w:eastAsia="Calibri" w:hAnsi="Calibri"/>
                <w:b/>
                <w:bCs/>
                <w:sz w:val="18"/>
                <w:szCs w:val="18"/>
              </w:rPr>
              <w:t xml:space="preserve">Separación entre vulnerabilidad, exposición, hallazgo y caso de remediación.</w:t>
            </w:r>
          </w:p>
        </w:tc>
        <w:tc>
          <w:tcPr>
            <w:tcW w:type="dxa" w:w="240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Capítulo 2</w:t>
            </w:r>
          </w:p>
        </w:tc>
        <w:tc>
          <w:tcPr>
            <w:tcW w:type="dxa" w:w="356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Concepto sólido, consistente con el modelo de datos de las herramientas reales.</w:t>
            </w:r>
          </w:p>
        </w:tc>
      </w:tr>
      <w:tr>
        <w:tc>
          <w:tcPr>
            <w:tcW w:type="dxa" w:w="3400"/>
            <w:shd w:fill="F6F8FB" w:val="clear"/>
            <w:tcMar>
              <w:top w:type="dxa" w:w="80"/>
              <w:left w:type="dxa" w:w="110"/>
              <w:bottom w:type="dxa" w:w="80"/>
              <w:right w:type="dxa" w:w="110"/>
            </w:tcMar>
          </w:tcPr>
          <w:p>
            <w:pPr>
              <w:spacing w:after="0" w:line="250"/>
            </w:pPr>
            <w:r>
              <w:rPr>
                <w:rFonts w:ascii="Calibri" w:cs="Calibri" w:eastAsia="Calibri" w:hAnsi="Calibri"/>
                <w:b/>
                <w:bCs/>
                <w:sz w:val="18"/>
                <w:szCs w:val="18"/>
              </w:rPr>
              <w:t xml:space="preserve">CIS Control 7 y Safeguard 7.7 como anclaje normativo.</w:t>
            </w:r>
          </w:p>
        </w:tc>
        <w:tc>
          <w:tcPr>
            <w:tcW w:type="dxa" w:w="2400"/>
            <w:shd w:fill="F6F8FB" w:val="clear"/>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Capítulos 1 y 18</w:t>
            </w:r>
          </w:p>
        </w:tc>
        <w:tc>
          <w:tcPr>
            <w:tcW w:type="dxa" w:w="3560"/>
            <w:shd w:fill="F6F8FB" w:val="clear"/>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Verificado. Ver salvedad en A.3.</w:t>
            </w:r>
          </w:p>
        </w:tc>
      </w:tr>
      <w:tr>
        <w:tc>
          <w:tcPr>
            <w:tcW w:type="dxa" w:w="3400"/>
            <w:tcMar>
              <w:top w:type="dxa" w:w="80"/>
              <w:left w:type="dxa" w:w="110"/>
              <w:bottom w:type="dxa" w:w="80"/>
              <w:right w:type="dxa" w:w="110"/>
            </w:tcMar>
          </w:tcPr>
          <w:p>
            <w:pPr>
              <w:spacing w:after="0" w:line="250"/>
            </w:pPr>
            <w:r>
              <w:rPr>
                <w:rFonts w:ascii="Calibri" w:cs="Calibri" w:eastAsia="Calibri" w:hAnsi="Calibri"/>
                <w:b/>
                <w:bCs/>
                <w:sz w:val="18"/>
                <w:szCs w:val="18"/>
              </w:rPr>
              <w:t xml:space="preserve">Modelo de madurez de SANS como referencia institucional.</w:t>
            </w:r>
          </w:p>
        </w:tc>
        <w:tc>
          <w:tcPr>
            <w:tcW w:type="dxa" w:w="240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Capítulo 12</w:t>
            </w:r>
          </w:p>
        </w:tc>
        <w:tc>
          <w:tcPr>
            <w:tcW w:type="dxa" w:w="356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Verificado: Risto y Hazar, cinco niveles, cinco dominios.</w:t>
            </w:r>
          </w:p>
        </w:tc>
      </w:tr>
      <w:tr>
        <w:tc>
          <w:tcPr>
            <w:tcW w:type="dxa" w:w="3400"/>
            <w:shd w:fill="F6F8FB" w:val="clear"/>
            <w:tcMar>
              <w:top w:type="dxa" w:w="80"/>
              <w:left w:type="dxa" w:w="110"/>
              <w:bottom w:type="dxa" w:w="80"/>
              <w:right w:type="dxa" w:w="110"/>
            </w:tcMar>
          </w:tcPr>
          <w:p>
            <w:pPr>
              <w:spacing w:after="0" w:line="250"/>
            </w:pPr>
            <w:r>
              <w:rPr>
                <w:rFonts w:ascii="Calibri" w:cs="Calibri" w:eastAsia="Calibri" w:hAnsi="Calibri"/>
                <w:b/>
                <w:bCs/>
                <w:sz w:val="18"/>
                <w:szCs w:val="18"/>
              </w:rPr>
              <w:t xml:space="preserve">NIST SP 800-53, control SI-2 y sus mejoras.</w:t>
            </w:r>
          </w:p>
        </w:tc>
        <w:tc>
          <w:tcPr>
            <w:tcW w:type="dxa" w:w="2400"/>
            <w:shd w:fill="F6F8FB" w:val="clear"/>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Capítulos 1, 7 y 18</w:t>
            </w:r>
          </w:p>
        </w:tc>
        <w:tc>
          <w:tcPr>
            <w:tcW w:type="dxa" w:w="3560"/>
            <w:shd w:fill="F6F8FB" w:val="clear"/>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Verificado. SI-2(3) exige medir el tiempo entre identificación y remediación.</w:t>
            </w:r>
          </w:p>
        </w:tc>
      </w:tr>
      <w:tr>
        <w:tc>
          <w:tcPr>
            <w:tcW w:type="dxa" w:w="3400"/>
            <w:tcMar>
              <w:top w:type="dxa" w:w="80"/>
              <w:left w:type="dxa" w:w="110"/>
              <w:bottom w:type="dxa" w:w="80"/>
              <w:right w:type="dxa" w:w="110"/>
            </w:tcMar>
          </w:tcPr>
          <w:p>
            <w:pPr>
              <w:spacing w:after="0" w:line="250"/>
            </w:pPr>
            <w:r>
              <w:rPr>
                <w:rFonts w:ascii="Calibri" w:cs="Calibri" w:eastAsia="Calibri" w:hAnsi="Calibri"/>
                <w:b/>
                <w:bCs/>
                <w:sz w:val="18"/>
                <w:szCs w:val="18"/>
              </w:rPr>
              <w:t xml:space="preserve">Escala de fuerza de la evidencia.</w:t>
            </w:r>
          </w:p>
        </w:tc>
        <w:tc>
          <w:tcPr>
            <w:tcW w:type="dxa" w:w="240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Capítulo 6.3</w:t>
            </w:r>
          </w:p>
        </w:tc>
        <w:tc>
          <w:tcPr>
            <w:tcW w:type="dxa" w:w="356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Ordenación técnica útil. Se declara como no normativa.</w:t>
            </w:r>
          </w:p>
        </w:tc>
      </w:tr>
      <w:tr>
        <w:tc>
          <w:tcPr>
            <w:tcW w:type="dxa" w:w="3400"/>
            <w:shd w:fill="F6F8FB" w:val="clear"/>
            <w:tcMar>
              <w:top w:type="dxa" w:w="80"/>
              <w:left w:type="dxa" w:w="110"/>
              <w:bottom w:type="dxa" w:w="80"/>
              <w:right w:type="dxa" w:w="110"/>
            </w:tcMar>
          </w:tcPr>
          <w:p>
            <w:pPr>
              <w:spacing w:after="0" w:line="250"/>
            </w:pPr>
            <w:r>
              <w:rPr>
                <w:rFonts w:ascii="Calibri" w:cs="Calibri" w:eastAsia="Calibri" w:hAnsi="Calibri"/>
                <w:b/>
                <w:bCs/>
                <w:sz w:val="18"/>
                <w:szCs w:val="18"/>
              </w:rPr>
              <w:t xml:space="preserve">Familias de métricas: actividad, resultado, riesgo.</w:t>
            </w:r>
          </w:p>
        </w:tc>
        <w:tc>
          <w:tcPr>
            <w:tcW w:type="dxa" w:w="2400"/>
            <w:shd w:fill="F6F8FB" w:val="clear"/>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Capítulo 11.1</w:t>
            </w:r>
          </w:p>
        </w:tc>
        <w:tc>
          <w:tcPr>
            <w:tcW w:type="dxa" w:w="3560"/>
            <w:shd w:fill="F6F8FB" w:val="clear"/>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Distinción metodológicamente valiosa.</w:t>
            </w:r>
          </w:p>
        </w:tc>
      </w:tr>
      <w:tr>
        <w:tc>
          <w:tcPr>
            <w:tcW w:type="dxa" w:w="3400"/>
            <w:tcMar>
              <w:top w:type="dxa" w:w="80"/>
              <w:left w:type="dxa" w:w="110"/>
              <w:bottom w:type="dxa" w:w="80"/>
              <w:right w:type="dxa" w:w="110"/>
            </w:tcMar>
          </w:tcPr>
          <w:p>
            <w:pPr>
              <w:spacing w:after="0" w:line="250"/>
            </w:pPr>
            <w:r>
              <w:rPr>
                <w:rFonts w:ascii="Calibri" w:cs="Calibri" w:eastAsia="Calibri" w:hAnsi="Calibri"/>
                <w:b/>
                <w:bCs/>
                <w:sz w:val="18"/>
                <w:szCs w:val="18"/>
              </w:rPr>
              <w:t xml:space="preserve">Registro de auditoría inmutable como componente propio.</w:t>
            </w:r>
          </w:p>
        </w:tc>
        <w:tc>
          <w:tcPr>
            <w:tcW w:type="dxa" w:w="240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Capítulo 10</w:t>
            </w:r>
          </w:p>
        </w:tc>
        <w:tc>
          <w:tcPr>
            <w:tcW w:type="dxa" w:w="356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Confirmado empíricamente por el diseño de Dependency-Track.</w:t>
            </w:r>
          </w:p>
        </w:tc>
      </w:tr>
      <w:tr>
        <w:tc>
          <w:tcPr>
            <w:tcW w:type="dxa" w:w="3400"/>
            <w:shd w:fill="F6F8FB" w:val="clear"/>
            <w:tcMar>
              <w:top w:type="dxa" w:w="80"/>
              <w:left w:type="dxa" w:w="110"/>
              <w:bottom w:type="dxa" w:w="80"/>
              <w:right w:type="dxa" w:w="110"/>
            </w:tcMar>
          </w:tcPr>
          <w:p>
            <w:pPr>
              <w:spacing w:after="0" w:line="250"/>
            </w:pPr>
            <w:r>
              <w:rPr>
                <w:rFonts w:ascii="Calibri" w:cs="Calibri" w:eastAsia="Calibri" w:hAnsi="Calibri"/>
                <w:b/>
                <w:bCs/>
                <w:sz w:val="18"/>
                <w:szCs w:val="18"/>
              </w:rPr>
              <w:t xml:space="preserve">Plazo dinámico que se recalcula al cambiar las variables.</w:t>
            </w:r>
          </w:p>
        </w:tc>
        <w:tc>
          <w:tcPr>
            <w:tcW w:type="dxa" w:w="2400"/>
            <w:shd w:fill="F6F8FB" w:val="clear"/>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Capítulo 7.3</w:t>
            </w:r>
          </w:p>
        </w:tc>
        <w:tc>
          <w:tcPr>
            <w:tcW w:type="dxa" w:w="3560"/>
            <w:shd w:fill="F6F8FB" w:val="clear"/>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Consecuencia lógica del modelo de la BOD 26-04.</w:t>
            </w:r>
          </w:p>
        </w:tc>
      </w:tr>
      <w:tr>
        <w:tc>
          <w:tcPr>
            <w:tcW w:type="dxa" w:w="3400"/>
            <w:tcMar>
              <w:top w:type="dxa" w:w="80"/>
              <w:left w:type="dxa" w:w="110"/>
              <w:bottom w:type="dxa" w:w="80"/>
              <w:right w:type="dxa" w:w="110"/>
            </w:tcMar>
          </w:tcPr>
          <w:p>
            <w:pPr>
              <w:spacing w:after="0" w:line="250"/>
            </w:pPr>
            <w:r>
              <w:rPr>
                <w:rFonts w:ascii="Calibri" w:cs="Calibri" w:eastAsia="Calibri" w:hAnsi="Calibri"/>
                <w:b/>
                <w:bCs/>
                <w:sz w:val="18"/>
                <w:szCs w:val="18"/>
              </w:rPr>
              <w:t xml:space="preserve">Tasa de eficacia de remediación: comprobadas sobre declaradas.</w:t>
            </w:r>
          </w:p>
        </w:tc>
        <w:tc>
          <w:tcPr>
            <w:tcW w:type="dxa" w:w="240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Capítulo 11.2</w:t>
            </w:r>
          </w:p>
        </w:tc>
        <w:tc>
          <w:tcPr>
            <w:tcW w:type="dxa" w:w="356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Métrica válida y poco habitual. Mide calidad, no velocidad.</w:t>
            </w:r>
          </w:p>
        </w:tc>
      </w:tr>
      <w:tr>
        <w:tc>
          <w:tcPr>
            <w:tcW w:type="dxa" w:w="3400"/>
            <w:shd w:fill="F6F8FB" w:val="clear"/>
            <w:tcMar>
              <w:top w:type="dxa" w:w="80"/>
              <w:left w:type="dxa" w:w="110"/>
              <w:bottom w:type="dxa" w:w="80"/>
              <w:right w:type="dxa" w:w="110"/>
            </w:tcMar>
          </w:tcPr>
          <w:p>
            <w:pPr>
              <w:spacing w:after="0" w:line="250"/>
            </w:pPr>
            <w:r>
              <w:rPr>
                <w:rFonts w:ascii="Calibri" w:cs="Calibri" w:eastAsia="Calibri" w:hAnsi="Calibri"/>
                <w:b/>
                <w:bCs/>
                <w:sz w:val="18"/>
                <w:szCs w:val="18"/>
              </w:rPr>
              <w:t xml:space="preserve">Caducidad obligatoria de la aceptación de riesgo.</w:t>
            </w:r>
          </w:p>
        </w:tc>
        <w:tc>
          <w:tcPr>
            <w:tcW w:type="dxa" w:w="2400"/>
            <w:shd w:fill="F6F8FB" w:val="clear"/>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Capítulos 6 y 14</w:t>
            </w:r>
          </w:p>
        </w:tc>
        <w:tc>
          <w:tcPr>
            <w:tcW w:type="dxa" w:w="3560"/>
            <w:shd w:fill="F6F8FB" w:val="clear"/>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Confirmado por el modelo de DefectDojo.</w:t>
            </w:r>
          </w:p>
        </w:tc>
      </w:tr>
      <w:tr>
        <w:tc>
          <w:tcPr>
            <w:tcW w:type="dxa" w:w="3400"/>
            <w:tcMar>
              <w:top w:type="dxa" w:w="80"/>
              <w:left w:type="dxa" w:w="110"/>
              <w:bottom w:type="dxa" w:w="80"/>
              <w:right w:type="dxa" w:w="110"/>
            </w:tcMar>
          </w:tcPr>
          <w:p>
            <w:pPr>
              <w:spacing w:after="0" w:line="250"/>
            </w:pPr>
            <w:r>
              <w:rPr>
                <w:rFonts w:ascii="Calibri" w:cs="Calibri" w:eastAsia="Calibri" w:hAnsi="Calibri"/>
                <w:b/>
                <w:bCs/>
                <w:sz w:val="18"/>
                <w:szCs w:val="18"/>
              </w:rPr>
              <w:t xml:space="preserve">Identidad del hallazgo compuesta con la ubicación.</w:t>
            </w:r>
          </w:p>
        </w:tc>
        <w:tc>
          <w:tcPr>
            <w:tcW w:type="dxa" w:w="240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Capítulo 5.2</w:t>
            </w:r>
          </w:p>
        </w:tc>
        <w:tc>
          <w:tcPr>
            <w:tcW w:type="dxa" w:w="356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Confirmado por la práctica de las herramientas reales.</w:t>
            </w:r>
          </w:p>
        </w:tc>
      </w:tr>
      <w:tr>
        <w:tc>
          <w:tcPr>
            <w:tcW w:type="dxa" w:w="3400"/>
            <w:shd w:fill="F6F8FB" w:val="clear"/>
            <w:tcMar>
              <w:top w:type="dxa" w:w="80"/>
              <w:left w:type="dxa" w:w="110"/>
              <w:bottom w:type="dxa" w:w="80"/>
              <w:right w:type="dxa" w:w="110"/>
            </w:tcMar>
          </w:tcPr>
          <w:p>
            <w:pPr>
              <w:spacing w:after="0" w:line="250"/>
            </w:pPr>
            <w:r>
              <w:rPr>
                <w:rFonts w:ascii="Calibri" w:cs="Calibri" w:eastAsia="Calibri" w:hAnsi="Calibri"/>
                <w:b/>
                <w:bCs/>
                <w:sz w:val="18"/>
                <w:szCs w:val="18"/>
              </w:rPr>
              <w:t xml:space="preserve">Distinción entre remediación y mitigación.</w:t>
            </w:r>
          </w:p>
        </w:tc>
        <w:tc>
          <w:tcPr>
            <w:tcW w:type="dxa" w:w="2400"/>
            <w:shd w:fill="F6F8FB" w:val="clear"/>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Capítulo 6.1</w:t>
            </w:r>
          </w:p>
        </w:tc>
        <w:tc>
          <w:tcPr>
            <w:tcW w:type="dxa" w:w="3560"/>
            <w:shd w:fill="F6F8FB" w:val="clear"/>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Correcta y relevante para el modelo de estados.</w:t>
            </w:r>
          </w:p>
        </w:tc>
      </w:tr>
    </w:tbl>
    <w:p>
      <w:pPr>
        <w:spacing w:after="140"/>
      </w:pPr>
    </w:p>
    <w:p>
      <w:pPr>
        <w:pStyle w:val="Heading2"/>
        <w:spacing w:after="110" w:before="260"/>
      </w:pPr>
      <w:r>
        <w:rPr>
          <w:rFonts w:ascii="Calibri" w:cs="Calibri" w:eastAsia="Calibri" w:hAnsi="Calibri"/>
          <w:b/>
          <w:bCs/>
          <w:color w:val="2E5C8A"/>
          <w:sz w:val="25"/>
          <w:szCs w:val="25"/>
        </w:rPr>
        <w:t xml:space="preserve">A.2 Errores detectados</w:t>
      </w:r>
    </w:p>
    <w:p>
      <w:pPr>
        <w:spacing w:after="120" w:before="0" w:line="276"/>
      </w:pPr>
      <w:r>
        <w:rPr>
          <w:rFonts w:ascii="Calibri" w:cs="Calibri" w:eastAsia="Calibri" w:hAnsi="Calibri"/>
          <w:sz w:val="21"/>
          <w:szCs w:val="21"/>
        </w:rPr>
        <w:t xml:space="preserve">Se listan porque son los que un tribunal verifica rápido, y porque tres de ellos aparecen en más de un marco.</w:t>
      </w:r>
    </w:p>
    <w:p>
      <w:pPr>
        <w:spacing w:after="60"/>
      </w:pPr>
    </w:p>
    <w:tbl>
      <w:tblPr>
        <w:tblW w:type="dxa" w:w="9360"/>
        <w:tblBorders>
          <w:top w:val="single" w:color="C9D3E0" w:sz="4"/>
          <w:left w:val="single" w:color="C9D3E0" w:sz="4"/>
          <w:bottom w:val="single" w:color="C9D3E0" w:sz="4"/>
          <w:right w:val="single" w:color="C9D3E0" w:sz="4"/>
          <w:insideH w:val="single" w:color="DDE4ED" w:sz="2"/>
          <w:insideV w:val="single" w:color="DDE4ED" w:sz="2"/>
        </w:tblBorders>
      </w:tblPr>
      <w:tblGrid>
        <w:gridCol w:w="4400"/>
        <w:gridCol w:w="4960"/>
      </w:tblGrid>
      <w:tr>
        <w:trPr>
          <w:tblHeader/>
        </w:trPr>
        <w:tc>
          <w:tcPr>
            <w:tcW w:type="dxa" w:w="4400"/>
            <w:shd w:fill="1F3864" w:val="clear"/>
            <w:tcMar>
              <w:top w:type="dxa" w:w="90"/>
              <w:left w:type="dxa" w:w="110"/>
              <w:bottom w:type="dxa" w:w="90"/>
              <w:right w:type="dxa" w:w="110"/>
            </w:tcMar>
          </w:tcPr>
          <w:p>
            <w:pPr>
              <w:spacing w:after="0"/>
            </w:pPr>
            <w:r>
              <w:rPr>
                <w:rFonts w:ascii="Calibri" w:cs="Calibri" w:eastAsia="Calibri" w:hAnsi="Calibri"/>
                <w:b/>
                <w:bCs/>
                <w:color w:val="FFFFFF"/>
                <w:sz w:val="19"/>
                <w:szCs w:val="19"/>
              </w:rPr>
              <w:t xml:space="preserve">Error</w:t>
            </w:r>
          </w:p>
        </w:tc>
        <w:tc>
          <w:tcPr>
            <w:tcW w:type="dxa" w:w="4960"/>
            <w:shd w:fill="1F3864" w:val="clear"/>
            <w:tcMar>
              <w:top w:type="dxa" w:w="90"/>
              <w:left w:type="dxa" w:w="110"/>
              <w:bottom w:type="dxa" w:w="90"/>
              <w:right w:type="dxa" w:w="110"/>
            </w:tcMar>
          </w:tcPr>
          <w:p>
            <w:pPr>
              <w:spacing w:after="0"/>
            </w:pPr>
            <w:r>
              <w:rPr>
                <w:rFonts w:ascii="Calibri" w:cs="Calibri" w:eastAsia="Calibri" w:hAnsi="Calibri"/>
                <w:b/>
                <w:bCs/>
                <w:color w:val="FFFFFF"/>
                <w:sz w:val="19"/>
                <w:szCs w:val="19"/>
              </w:rPr>
              <w:t xml:space="preserve">Corrección</w:t>
            </w:r>
          </w:p>
        </w:tc>
      </w:tr>
      <w:tr>
        <w:tc>
          <w:tcPr>
            <w:tcW w:type="dxa" w:w="4400"/>
            <w:tcMar>
              <w:top w:type="dxa" w:w="80"/>
              <w:left w:type="dxa" w:w="110"/>
              <w:bottom w:type="dxa" w:w="80"/>
              <w:right w:type="dxa" w:w="110"/>
            </w:tcMar>
          </w:tcPr>
          <w:p>
            <w:pPr>
              <w:spacing w:after="0" w:line="250"/>
            </w:pPr>
            <w:r>
              <w:rPr>
                <w:rFonts w:ascii="Calibri" w:cs="Calibri" w:eastAsia="Calibri" w:hAnsi="Calibri"/>
                <w:b/>
                <w:bCs/>
                <w:sz w:val="18"/>
                <w:szCs w:val="18"/>
              </w:rPr>
              <w:t xml:space="preserve">Presentar la BOD 22-01 como directiva vigente, con plazos obligatorios de remediación. Aparece en los tres marcos.</w:t>
            </w:r>
          </w:p>
        </w:tc>
        <w:tc>
          <w:tcPr>
            <w:tcW w:type="dxa" w:w="496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Revocada por la BOD 26-04 el 10 de junio de 2026, junto con la BOD 19-02.</w:t>
            </w:r>
          </w:p>
        </w:tc>
      </w:tr>
      <w:tr>
        <w:tc>
          <w:tcPr>
            <w:tcW w:type="dxa" w:w="4400"/>
            <w:shd w:fill="F6F8FB" w:val="clear"/>
            <w:tcMar>
              <w:top w:type="dxa" w:w="80"/>
              <w:left w:type="dxa" w:w="110"/>
              <w:bottom w:type="dxa" w:w="80"/>
              <w:right w:type="dxa" w:w="110"/>
            </w:tcMar>
          </w:tcPr>
          <w:p>
            <w:pPr>
              <w:spacing w:after="0" w:line="250"/>
            </w:pPr>
            <w:r>
              <w:rPr>
                <w:rFonts w:ascii="Calibri" w:cs="Calibri" w:eastAsia="Calibri" w:hAnsi="Calibri"/>
                <w:b/>
                <w:bCs/>
                <w:sz w:val="18"/>
                <w:szCs w:val="18"/>
              </w:rPr>
              <w:t xml:space="preserve">Fechar NIST SP 800-40 Rev. 4 en 2019 y atribuirle el título «Guide to Enterprise Patch Management Technologies».</w:t>
            </w:r>
          </w:p>
        </w:tc>
        <w:tc>
          <w:tcPr>
            <w:tcW w:type="dxa" w:w="4960"/>
            <w:shd w:fill="F6F8FB" w:val="clear"/>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La Rev. 4 es de abril de 2022 y se titula «Guide to Enterprise Patch Management Planning». Ese otro título corresponde a la Rev. 3, de 2013.</w:t>
            </w:r>
          </w:p>
        </w:tc>
      </w:tr>
      <w:tr>
        <w:tc>
          <w:tcPr>
            <w:tcW w:type="dxa" w:w="4400"/>
            <w:tcMar>
              <w:top w:type="dxa" w:w="80"/>
              <w:left w:type="dxa" w:w="110"/>
              <w:bottom w:type="dxa" w:w="80"/>
              <w:right w:type="dxa" w:w="110"/>
            </w:tcMar>
          </w:tcPr>
          <w:p>
            <w:pPr>
              <w:spacing w:after="0" w:line="250"/>
            </w:pPr>
            <w:r>
              <w:rPr>
                <w:rFonts w:ascii="Calibri" w:cs="Calibri" w:eastAsia="Calibri" w:hAnsi="Calibri"/>
                <w:b/>
                <w:bCs/>
                <w:sz w:val="18"/>
                <w:szCs w:val="18"/>
              </w:rPr>
              <w:t xml:space="preserve">Calificar a NIST SP 800-40 como «normativo en EE. UU.».</w:t>
            </w:r>
          </w:p>
        </w:tc>
        <w:tc>
          <w:tcPr>
            <w:tcW w:type="dxa" w:w="496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Es una guía metodológica. No es obligación legal general.</w:t>
            </w:r>
          </w:p>
        </w:tc>
      </w:tr>
      <w:tr>
        <w:tc>
          <w:tcPr>
            <w:tcW w:type="dxa" w:w="4400"/>
            <w:shd w:fill="F6F8FB" w:val="clear"/>
            <w:tcMar>
              <w:top w:type="dxa" w:w="80"/>
              <w:left w:type="dxa" w:w="110"/>
              <w:bottom w:type="dxa" w:w="80"/>
              <w:right w:type="dxa" w:w="110"/>
            </w:tcMar>
          </w:tcPr>
          <w:p>
            <w:pPr>
              <w:spacing w:after="0" w:line="250"/>
            </w:pPr>
            <w:r>
              <w:rPr>
                <w:rFonts w:ascii="Calibri" w:cs="Calibri" w:eastAsia="Calibri" w:hAnsi="Calibri"/>
                <w:b/>
                <w:bCs/>
                <w:sz w:val="18"/>
                <w:szCs w:val="18"/>
              </w:rPr>
              <w:t xml:space="preserve">Citar «Shevelyov, 2026» y «Friedrich, 2026» como literatura académica sobre métricas de MTTR.</w:t>
            </w:r>
          </w:p>
        </w:tc>
        <w:tc>
          <w:tcPr>
            <w:tcW w:type="dxa" w:w="4960"/>
            <w:shd w:fill="F6F8FB" w:val="clear"/>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No se pudo verificar la existencia de esas referencias. Tienen las características típicas de una cita fabricada.</w:t>
            </w:r>
          </w:p>
        </w:tc>
      </w:tr>
      <w:tr>
        <w:tc>
          <w:tcPr>
            <w:tcW w:type="dxa" w:w="4400"/>
            <w:tcMar>
              <w:top w:type="dxa" w:w="80"/>
              <w:left w:type="dxa" w:w="110"/>
              <w:bottom w:type="dxa" w:w="80"/>
              <w:right w:type="dxa" w:w="110"/>
            </w:tcMar>
          </w:tcPr>
          <w:p>
            <w:pPr>
              <w:spacing w:after="0" w:line="250"/>
            </w:pPr>
            <w:r>
              <w:rPr>
                <w:rFonts w:ascii="Calibri" w:cs="Calibri" w:eastAsia="Calibri" w:hAnsi="Calibri"/>
                <w:b/>
                <w:bCs/>
                <w:sz w:val="18"/>
                <w:szCs w:val="18"/>
              </w:rPr>
              <w:t xml:space="preserve">Atribuir a un «CISA &amp; Cybersecurity Division Data Analysis (2023-2025)» cifras concretas de MTTR global.</w:t>
            </w:r>
          </w:p>
        </w:tc>
        <w:tc>
          <w:tcPr>
            <w:tcW w:type="dxa" w:w="496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No identifica una publicación concreta y no se pudo verificar. No usar.</w:t>
            </w:r>
          </w:p>
        </w:tc>
      </w:tr>
      <w:tr>
        <w:tc>
          <w:tcPr>
            <w:tcW w:type="dxa" w:w="4400"/>
            <w:shd w:fill="F6F8FB" w:val="clear"/>
            <w:tcMar>
              <w:top w:type="dxa" w:w="80"/>
              <w:left w:type="dxa" w:w="110"/>
              <w:bottom w:type="dxa" w:w="80"/>
              <w:right w:type="dxa" w:w="110"/>
            </w:tcMar>
          </w:tcPr>
          <w:p>
            <w:pPr>
              <w:spacing w:after="0" w:line="250"/>
            </w:pPr>
            <w:r>
              <w:rPr>
                <w:rFonts w:ascii="Calibri" w:cs="Calibri" w:eastAsia="Calibri" w:hAnsi="Calibri"/>
                <w:b/>
                <w:bCs/>
                <w:sz w:val="18"/>
                <w:szCs w:val="18"/>
              </w:rPr>
              <w:t xml:space="preserve">Afirmar que EPSS reduce la carga de parcheo «hasta en un 75%».</w:t>
            </w:r>
          </w:p>
        </w:tc>
        <w:tc>
          <w:tcPr>
            <w:tcW w:type="dxa" w:w="4960"/>
            <w:shd w:fill="F6F8FB" w:val="clear"/>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Cifra sin fuente identificable en la documentación de EPSS.</w:t>
            </w:r>
          </w:p>
        </w:tc>
      </w:tr>
      <w:tr>
        <w:tc>
          <w:tcPr>
            <w:tcW w:type="dxa" w:w="4400"/>
            <w:tcMar>
              <w:top w:type="dxa" w:w="80"/>
              <w:left w:type="dxa" w:w="110"/>
              <w:bottom w:type="dxa" w:w="80"/>
              <w:right w:type="dxa" w:w="110"/>
            </w:tcMar>
          </w:tcPr>
          <w:p>
            <w:pPr>
              <w:spacing w:after="0" w:line="250"/>
            </w:pPr>
            <w:r>
              <w:rPr>
                <w:rFonts w:ascii="Calibri" w:cs="Calibri" w:eastAsia="Calibri" w:hAnsi="Calibri"/>
                <w:b/>
                <w:bCs/>
                <w:sz w:val="18"/>
                <w:szCs w:val="18"/>
              </w:rPr>
              <w:t xml:space="preserve">Citar EPSS en su versión 3 (2023) como vigente.</w:t>
            </w:r>
          </w:p>
        </w:tc>
        <w:tc>
          <w:tcPr>
            <w:tcW w:type="dxa" w:w="496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La versión 4 fue publicada el 17 de marzo de 2025.</w:t>
            </w:r>
          </w:p>
        </w:tc>
      </w:tr>
      <w:tr>
        <w:tc>
          <w:tcPr>
            <w:tcW w:type="dxa" w:w="4400"/>
            <w:shd w:fill="F6F8FB" w:val="clear"/>
            <w:tcMar>
              <w:top w:type="dxa" w:w="80"/>
              <w:left w:type="dxa" w:w="110"/>
              <w:bottom w:type="dxa" w:w="80"/>
              <w:right w:type="dxa" w:w="110"/>
            </w:tcMar>
          </w:tcPr>
          <w:p>
            <w:pPr>
              <w:spacing w:after="0" w:line="250"/>
            </w:pPr>
            <w:r>
              <w:rPr>
                <w:rFonts w:ascii="Calibri" w:cs="Calibri" w:eastAsia="Calibri" w:hAnsi="Calibri"/>
                <w:b/>
                <w:bCs/>
                <w:sz w:val="18"/>
                <w:szCs w:val="18"/>
              </w:rPr>
              <w:t xml:space="preserve">Fechar la directiva NIS2 en 2023.</w:t>
            </w:r>
          </w:p>
        </w:tc>
        <w:tc>
          <w:tcPr>
            <w:tcW w:type="dxa" w:w="4960"/>
            <w:shd w:fill="F6F8FB" w:val="clear"/>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Directiva (UE) 2022/2555, de diciembre de 2022.</w:t>
            </w:r>
          </w:p>
        </w:tc>
      </w:tr>
      <w:tr>
        <w:tc>
          <w:tcPr>
            <w:tcW w:type="dxa" w:w="4400"/>
            <w:tcMar>
              <w:top w:type="dxa" w:w="80"/>
              <w:left w:type="dxa" w:w="110"/>
              <w:bottom w:type="dxa" w:w="80"/>
              <w:right w:type="dxa" w:w="110"/>
            </w:tcMar>
          </w:tcPr>
          <w:p>
            <w:pPr>
              <w:spacing w:after="0" w:line="250"/>
            </w:pPr>
            <w:r>
              <w:rPr>
                <w:rFonts w:ascii="Calibri" w:cs="Calibri" w:eastAsia="Calibri" w:hAnsi="Calibri"/>
                <w:b/>
                <w:bCs/>
                <w:sz w:val="18"/>
                <w:szCs w:val="18"/>
              </w:rPr>
              <w:t xml:space="preserve">Citar PCI DSS v4.0 como versión vigente.</w:t>
            </w:r>
          </w:p>
        </w:tc>
        <w:tc>
          <w:tcPr>
            <w:tcW w:type="dxa" w:w="4960"/>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La versión vigente es la v4.0.1, del 11 de junio de 2024, que además modificó el alcance del plazo de parcheo.</w:t>
            </w:r>
          </w:p>
        </w:tc>
      </w:tr>
      <w:tr>
        <w:tc>
          <w:tcPr>
            <w:tcW w:type="dxa" w:w="4400"/>
            <w:shd w:fill="F6F8FB" w:val="clear"/>
            <w:tcMar>
              <w:top w:type="dxa" w:w="80"/>
              <w:left w:type="dxa" w:w="110"/>
              <w:bottom w:type="dxa" w:w="80"/>
              <w:right w:type="dxa" w:w="110"/>
            </w:tcMar>
          </w:tcPr>
          <w:p>
            <w:pPr>
              <w:spacing w:after="0" w:line="250"/>
            </w:pPr>
            <w:r>
              <w:rPr>
                <w:rFonts w:ascii="Calibri" w:cs="Calibri" w:eastAsia="Calibri" w:hAnsi="Calibri"/>
                <w:b/>
                <w:bCs/>
                <w:sz w:val="18"/>
                <w:szCs w:val="18"/>
              </w:rPr>
              <w:t xml:space="preserve">Presentar CVSS v4.0 como reemplazo consolidado de v3.1 para priorización de plazos.</w:t>
            </w:r>
          </w:p>
        </w:tc>
        <w:tc>
          <w:tcPr>
            <w:tcW w:type="dxa" w:w="4960"/>
            <w:shd w:fill="F6F8FB" w:val="clear"/>
            <w:tcMar>
              <w:top w:type="dxa" w:w="80"/>
              <w:left w:type="dxa" w:w="110"/>
              <w:bottom w:type="dxa" w:w="80"/>
              <w:right w:type="dxa" w:w="110"/>
            </w:tcMar>
          </w:tcPr>
          <w:p>
            <w:pPr>
              <w:spacing w:after="0" w:line="250"/>
            </w:pPr>
            <w:r>
              <w:rPr>
                <w:rFonts w:ascii="Calibri" w:cs="Calibri" w:eastAsia="Calibri" w:hAnsi="Calibri"/>
                <w:b w:val="false"/>
                <w:bCs w:val="false"/>
                <w:sz w:val="18"/>
                <w:szCs w:val="18"/>
              </w:rPr>
              <w:t xml:space="preserve">Es correcto que v4.0 es de noviembre de 2023, pero la BOD 26-04 descartó CVSS como señal única de programación de plazos.</w:t>
            </w:r>
          </w:p>
        </w:tc>
      </w:tr>
    </w:tbl>
    <w:p>
      <w:pPr>
        <w:spacing w:after="140"/>
      </w:pPr>
    </w:p>
    <w:p>
      <w:pPr>
        <w:pStyle w:val="Heading2"/>
        <w:spacing w:after="110" w:before="260"/>
      </w:pPr>
      <w:r>
        <w:rPr>
          <w:rFonts w:ascii="Calibri" w:cs="Calibri" w:eastAsia="Calibri" w:hAnsi="Calibri"/>
          <w:b/>
          <w:bCs/>
          <w:color w:val="2E5C8A"/>
          <w:sz w:val="25"/>
          <w:szCs w:val="25"/>
        </w:rPr>
        <w:t xml:space="preserve">A.3 Salvedad sobre CIS Safeguard 7.7</w:t>
      </w:r>
    </w:p>
    <w:p>
      <w:pPr>
        <w:spacing w:after="120" w:before="0" w:line="276"/>
      </w:pPr>
      <w:r>
        <w:rPr>
          <w:rFonts w:ascii="Calibri" w:cs="Calibri" w:eastAsia="Calibri" w:hAnsi="Calibri"/>
          <w:sz w:val="21"/>
          <w:szCs w:val="21"/>
        </w:rPr>
        <w:t xml:space="preserve">Uno de los marcos atribuye al Safeguard 7.7 la comparación entre resultados de evaluaciones para determinar qué vulnerabilidades continúan presentes. El texto del safeguard es más simple: exige remediar las vulnerabilidades detectadas mediante procesos y herramientas, con frecuencia mensual o mayor, conforme al proceso de remediación.</w:t>
      </w:r>
    </w:p>
    <w:p>
      <w:pPr>
        <w:spacing w:after="120" w:before="0" w:line="276"/>
      </w:pPr>
      <w:r>
        <w:rPr>
          <w:rFonts w:ascii="Calibri" w:cs="Calibri" w:eastAsia="Calibri" w:hAnsi="Calibri"/>
          <w:sz w:val="21"/>
          <w:szCs w:val="21"/>
        </w:rPr>
        <w:t xml:space="preserve">La comparación entre evaluaciones aparece en la especificación de evaluación de los controles, como método de medición, no en el texto del safeguard. La distinción importa si se cita: conviene citar el texto del safeguard por un lado y la especificación de evaluación por otro.</w:t>
      </w:r>
    </w:p>
    <w:p>
      <w:pPr>
        <w:pStyle w:val="Heading2"/>
        <w:spacing w:after="110" w:before="260"/>
      </w:pPr>
      <w:r>
        <w:rPr>
          <w:rFonts w:ascii="Calibri" w:cs="Calibri" w:eastAsia="Calibri" w:hAnsi="Calibri"/>
          <w:b/>
          <w:bCs/>
          <w:color w:val="2E5C8A"/>
          <w:sz w:val="25"/>
          <w:szCs w:val="25"/>
        </w:rPr>
        <w:t xml:space="preserve">A.4 Lectura general del ejercicio</w:t>
      </w:r>
    </w:p>
    <w:p>
      <w:pPr>
        <w:spacing w:after="120" w:before="0" w:line="276"/>
      </w:pPr>
      <w:r>
        <w:rPr>
          <w:rFonts w:ascii="Calibri" w:cs="Calibri" w:eastAsia="Calibri" w:hAnsi="Calibri"/>
          <w:sz w:val="21"/>
          <w:szCs w:val="21"/>
        </w:rPr>
        <w:t xml:space="preserve">El contraste rindió: se recuperaron doce aportes válidos, varios de los cuales mejoran sustantivamente el marco original —en particular el componente de auditoría, la separación entre las cuatro entidades y la tasa de eficacia de remediación—.</w:t>
      </w:r>
    </w:p>
    <w:p>
      <w:pPr>
        <w:spacing w:after="120" w:before="0" w:line="276"/>
      </w:pPr>
      <w:r>
        <w:rPr>
          <w:rFonts w:ascii="Calibri" w:cs="Calibri" w:eastAsia="Calibri" w:hAnsi="Calibri"/>
          <w:sz w:val="21"/>
          <w:szCs w:val="21"/>
        </w:rPr>
        <w:t xml:space="preserve">También confirmó el riesgo principal de usar estos marcos como fuente directa. De los tres, uno presentó referencias no verificables y errores de fecha y título en una fuente central; otro presentó cifras estadísticas sin publicación identificable. Los tres presentaron como vigente una directiva revocada dos meses antes.</w:t>
      </w:r>
    </w:p>
    <w:tbl>
      <w:tblPr>
        <w:tblW w:type="dxa" w:w="9360"/>
        <w:tblBorders>
          <w:top w:val="none"/>
          <w:left w:val="single" w:color="9C2B2B" w:sz="18"/>
          <w:bottom w:val="none"/>
          <w:right w:val="none"/>
          <w:insideH w:val="none"/>
          <w:insideV w:val="none"/>
        </w:tblBorders>
      </w:tblPr>
      <w:tblGrid>
        <w:gridCol w:w="9360"/>
      </w:tblGrid>
      <w:tr>
        <w:tc>
          <w:tcPr>
            <w:tcW w:type="dxa" w:w="9360"/>
            <w:shd w:fill="EEF2F7" w:val="clear"/>
            <w:tcMar>
              <w:top w:type="dxa" w:w="140"/>
              <w:left w:type="dxa" w:w="200"/>
              <w:bottom w:type="dxa" w:w="140"/>
              <w:right w:type="dxa" w:w="200"/>
            </w:tcMar>
          </w:tcPr>
          <w:p>
            <w:pPr>
              <w:spacing w:after="100" w:line="276"/>
            </w:pPr>
            <w:r>
              <w:rPr>
                <w:rFonts w:ascii="Calibri" w:cs="Calibri" w:eastAsia="Calibri" w:hAnsi="Calibri"/>
                <w:b/>
                <w:bCs/>
                <w:color w:val="9C2B2B"/>
                <w:sz w:val="21"/>
                <w:szCs w:val="21"/>
              </w:rPr>
              <w:t xml:space="preserve">La conclusión operativa</w:t>
            </w:r>
          </w:p>
          <w:p>
            <w:pPr>
              <w:spacing w:after="0" w:line="276"/>
            </w:pPr>
            <w:r>
              <w:rPr>
                <w:rFonts w:ascii="Calibri" w:cs="Calibri" w:eastAsia="Calibri" w:hAnsi="Calibri"/>
                <w:sz w:val="21"/>
                <w:szCs w:val="21"/>
              </w:rPr>
              <w:t xml:space="preserve">Ninguna referencia proveniente de un marco generado por IA —incluido este documento— debería incorporarse a la bibliografía sin verificación contra la publicación original. El patrón de error observado coincide exactamente con el que el tribunal marcó en la observación R1 del dictamen: referencias que no existen o que existen con otros datos.</w:t>
            </w:r>
          </w:p>
        </w:tc>
      </w:tr>
    </w:tbl>
    <w:p>
      <w:r>
        <w:br w:type="page"/>
      </w:r>
    </w:p>
    <w:p>
      <w:pPr>
        <w:pStyle w:val="Heading1"/>
        <w:pBdr>
          <w:bottom w:val="single" w:color="1F3864" w:sz="8" w:space="6"/>
        </w:pBdr>
        <w:spacing w:after="160" w:before="340"/>
      </w:pPr>
      <w:r>
        <w:rPr>
          <w:rFonts w:ascii="Calibri" w:cs="Calibri" w:eastAsia="Calibri" w:hAnsi="Calibri"/>
          <w:b/>
          <w:bCs/>
          <w:color w:val="1F3864"/>
          <w:sz w:val="30"/>
          <w:szCs w:val="30"/>
        </w:rPr>
        <w:t xml:space="preserve">Referencias</w:t>
      </w:r>
    </w:p>
    <w:p>
      <w:pPr>
        <w:spacing w:after="120" w:before="0" w:line="276"/>
      </w:pPr>
      <w:r>
        <w:rPr>
          <w:rFonts w:ascii="Calibri" w:cs="Calibri" w:eastAsia="Calibri" w:hAnsi="Calibri"/>
          <w:i/>
          <w:iCs/>
          <w:color w:val="5A5A5A"/>
          <w:sz w:val="21"/>
          <w:szCs w:val="21"/>
        </w:rPr>
        <w:t xml:space="preserve">Verificadas contra su publicación original el 14 de agosto de 2026. Se indica fecha de consulta en los recursos de actualización continua.</w:t>
      </w:r>
    </w:p>
    <w:p>
      <w:pPr>
        <w:spacing w:after="80"/>
      </w:pPr>
    </w:p>
    <w:p>
      <w:pPr>
        <w:spacing w:after="130" w:line="264"/>
        <w:ind w:left="504" w:hanging="504"/>
      </w:pPr>
      <w:r>
        <w:rPr>
          <w:rFonts w:ascii="Calibri" w:cs="Calibri" w:eastAsia="Calibri" w:hAnsi="Calibri"/>
          <w:sz w:val="19"/>
          <w:szCs w:val="19"/>
        </w:rPr>
        <w:t xml:space="preserve">Center for Internet Security. (2024). CIS Critical Security Controls, versión 8.1. https://www.cisecurity.org/controls</w:t>
      </w:r>
    </w:p>
    <w:p>
      <w:pPr>
        <w:spacing w:after="130" w:line="264"/>
        <w:ind w:left="504" w:hanging="504"/>
      </w:pPr>
      <w:r>
        <w:rPr>
          <w:rFonts w:ascii="Calibri" w:cs="Calibri" w:eastAsia="Calibri" w:hAnsi="Calibri"/>
          <w:sz w:val="19"/>
          <w:szCs w:val="19"/>
        </w:rPr>
        <w:t xml:space="preserve">Cybersecurity and Infrastructure Security Agency. (2026). Binding Operational Directive 26-04: Prioritizing security updates based on risk. U.S. Department of Homeland Security. https://www.cisa.gov/news-events/directives/bod-26-04-prioritizing-security-updates-based-risk</w:t>
      </w:r>
    </w:p>
    <w:p>
      <w:pPr>
        <w:spacing w:after="130" w:line="264"/>
        <w:ind w:left="504" w:hanging="504"/>
      </w:pPr>
      <w:r>
        <w:rPr>
          <w:rFonts w:ascii="Calibri" w:cs="Calibri" w:eastAsia="Calibri" w:hAnsi="Calibri"/>
          <w:sz w:val="19"/>
          <w:szCs w:val="19"/>
        </w:rPr>
        <w:t xml:space="preserve">Cybersecurity and Infrastructure Security Agency. (2022). Vulnerability Exploitability eXchange (VEX) — Use cases. U.S. Department of Homeland Security. https://www.cisa.gov/sites/default/files/publications/VEX_Use_Cases_Document_508c.pdf</w:t>
      </w:r>
    </w:p>
    <w:p>
      <w:pPr>
        <w:spacing w:after="130" w:line="264"/>
        <w:ind w:left="504" w:hanging="504"/>
      </w:pPr>
      <w:r>
        <w:rPr>
          <w:rFonts w:ascii="Calibri" w:cs="Calibri" w:eastAsia="Calibri" w:hAnsi="Calibri"/>
          <w:sz w:val="19"/>
          <w:szCs w:val="19"/>
        </w:rPr>
        <w:t xml:space="preserve">Cybersecurity and Infrastructure Security Agency. (2022). Vulnerability Exploitability eXchange (VEX) — Status justifications. U.S. Department of Homeland Security. https://www.cisa.gov/resources-tools/resources/vulnerability-exploitability-exchange-vex-status-justification-document-june-2022</w:t>
      </w:r>
    </w:p>
    <w:p>
      <w:pPr>
        <w:spacing w:after="130" w:line="264"/>
        <w:ind w:left="504" w:hanging="504"/>
      </w:pPr>
      <w:r>
        <w:rPr>
          <w:rFonts w:ascii="Calibri" w:cs="Calibri" w:eastAsia="Calibri" w:hAnsi="Calibri"/>
          <w:sz w:val="19"/>
          <w:szCs w:val="19"/>
        </w:rPr>
        <w:t xml:space="preserve">Cybersecurity and Infrastructure Security Agency. (s. f.). Stakeholder-Specific Vulnerability Categorization (SSVC). U.S. Department of Homeland Security. https://www.cisa.gov/resources-tools/resources/stakeholder-specific-vulnerability-categorization-ssvc</w:t>
      </w:r>
    </w:p>
    <w:p>
      <w:pPr>
        <w:spacing w:after="130" w:line="264"/>
        <w:ind w:left="504" w:hanging="504"/>
      </w:pPr>
      <w:r>
        <w:rPr>
          <w:rFonts w:ascii="Calibri" w:cs="Calibri" w:eastAsia="Calibri" w:hAnsi="Calibri"/>
          <w:sz w:val="19"/>
          <w:szCs w:val="19"/>
        </w:rPr>
        <w:t xml:space="preserve">Cyentia Institute y Kenna Security. (2019). Prioritization to prediction, volume 3: Winning the remediation race. https://library.cyentia.com/report/report_002993.html</w:t>
      </w:r>
    </w:p>
    <w:p>
      <w:pPr>
        <w:spacing w:after="130" w:line="264"/>
        <w:ind w:left="504" w:hanging="504"/>
      </w:pPr>
      <w:r>
        <w:rPr>
          <w:rFonts w:ascii="Calibri" w:cs="Calibri" w:eastAsia="Calibri" w:hAnsi="Calibri"/>
          <w:sz w:val="19"/>
          <w:szCs w:val="19"/>
        </w:rPr>
        <w:t xml:space="preserve">Cyentia Institute y Kenna Security. (2019). Prioritization to prediction, volume 4: Measuring what matters in remediation.</w:t>
      </w:r>
    </w:p>
    <w:p>
      <w:pPr>
        <w:spacing w:after="130" w:line="264"/>
        <w:ind w:left="504" w:hanging="504"/>
      </w:pPr>
      <w:r>
        <w:rPr>
          <w:rFonts w:ascii="Calibri" w:cs="Calibri" w:eastAsia="Calibri" w:hAnsi="Calibri"/>
          <w:sz w:val="19"/>
          <w:szCs w:val="19"/>
        </w:rPr>
        <w:t xml:space="preserve">Forum of Incident Response and Security Teams. (2025). Exploit Prediction Scoring System (EPSS) [versión 4, publicada el 17 de marzo de 2025]. https://www.first.org/epss/ [Consultado: agosto 2026]</w:t>
      </w:r>
    </w:p>
    <w:p>
      <w:pPr>
        <w:spacing w:after="130" w:line="264"/>
        <w:ind w:left="504" w:hanging="504"/>
      </w:pPr>
      <w:r>
        <w:rPr>
          <w:rFonts w:ascii="Calibri" w:cs="Calibri" w:eastAsia="Calibri" w:hAnsi="Calibri"/>
          <w:sz w:val="19"/>
          <w:szCs w:val="19"/>
        </w:rPr>
        <w:t xml:space="preserve">International Organization for Standardization e International Electrotechnical Commission. (2022). ISO/IEC 27002:2022 — Information security, cybersecurity and privacy protection: Information security controls. Control 8.8.</w:t>
      </w:r>
    </w:p>
    <w:p>
      <w:pPr>
        <w:spacing w:after="130" w:line="264"/>
        <w:ind w:left="504" w:hanging="504"/>
      </w:pPr>
      <w:r>
        <w:rPr>
          <w:rFonts w:ascii="Calibri" w:cs="Calibri" w:eastAsia="Calibri" w:hAnsi="Calibri"/>
          <w:sz w:val="19"/>
          <w:szCs w:val="19"/>
        </w:rPr>
        <w:t xml:space="preserve">OWASP Foundation. (s. f.). Dependency-Track. https://owasp.org/www-project-dependency-track/ y https://docs.dependencytrack.org [Consultado: agosto 2026]</w:t>
      </w:r>
    </w:p>
    <w:p>
      <w:pPr>
        <w:spacing w:after="130" w:line="264"/>
        <w:ind w:left="504" w:hanging="504"/>
      </w:pPr>
      <w:r>
        <w:rPr>
          <w:rFonts w:ascii="Calibri" w:cs="Calibri" w:eastAsia="Calibri" w:hAnsi="Calibri"/>
          <w:sz w:val="19"/>
          <w:szCs w:val="19"/>
        </w:rPr>
        <w:t xml:space="preserve">OWASP Foundation. (s. f.). DefectDojo. https://www.defectdojo.org [Consultado: agosto 2026]</w:t>
      </w:r>
    </w:p>
    <w:p>
      <w:pPr>
        <w:spacing w:after="130" w:line="264"/>
        <w:ind w:left="504" w:hanging="504"/>
      </w:pPr>
      <w:r>
        <w:rPr>
          <w:rFonts w:ascii="Calibri" w:cs="Calibri" w:eastAsia="Calibri" w:hAnsi="Calibri"/>
          <w:sz w:val="19"/>
          <w:szCs w:val="19"/>
        </w:rPr>
        <w:t xml:space="preserve">PCI Security Standards Council. (2024). Payment Card Industry Data Security Standard, versión 4.0.1. Publicado el 11 de junio de 2024.</w:t>
      </w:r>
    </w:p>
    <w:p>
      <w:pPr>
        <w:spacing w:after="130" w:line="264"/>
        <w:ind w:left="504" w:hanging="504"/>
      </w:pPr>
      <w:r>
        <w:rPr>
          <w:rFonts w:ascii="Calibri" w:cs="Calibri" w:eastAsia="Calibri" w:hAnsi="Calibri"/>
          <w:sz w:val="19"/>
          <w:szCs w:val="19"/>
        </w:rPr>
        <w:t xml:space="preserve">Risto, J. y Hazar, D. (2020). Vulnerability management maturity model. SANS Institute. https://www.sans.org/blog/vulnerability-management-maturity-model [Herramienta de autoevaluación actualizada posteriormente]</w:t>
      </w:r>
    </w:p>
    <w:p>
      <w:pPr>
        <w:spacing w:after="130" w:line="264"/>
        <w:ind w:left="504" w:hanging="504"/>
      </w:pPr>
      <w:r>
        <w:rPr>
          <w:rFonts w:ascii="Calibri" w:cs="Calibri" w:eastAsia="Calibri" w:hAnsi="Calibri"/>
          <w:sz w:val="19"/>
          <w:szCs w:val="19"/>
        </w:rPr>
        <w:t xml:space="preserve">Ross, R. y Pillitteri, V. (2020). Security and privacy controls for information systems and organizations (NIST Special Publication 800-53 Rev. 5). National Institute of Standards and Technology. Release 5.2.0 publicada el 27 de agosto de 2025. https://doi.org/10.6028/NIST.SP.800-53r5</w:t>
      </w:r>
    </w:p>
    <w:p>
      <w:pPr>
        <w:spacing w:after="130" w:line="264"/>
        <w:ind w:left="504" w:hanging="504"/>
      </w:pPr>
      <w:r>
        <w:rPr>
          <w:rFonts w:ascii="Calibri" w:cs="Calibri" w:eastAsia="Calibri" w:hAnsi="Calibri"/>
          <w:sz w:val="19"/>
          <w:szCs w:val="19"/>
        </w:rPr>
        <w:t xml:space="preserve">Souppaya, M. y Scarfone, K. (2022). Guide to enterprise patch management planning: Preventive maintenance for technology (NIST Special Publication 800-40 Rev. 4). National Institute of Standards and Technology. https://doi.org/10.6028/NIST.SP.800-40r4</w:t>
      </w:r>
    </w:p>
    <w:p>
      <w:pPr>
        <w:spacing w:after="130" w:line="264"/>
        <w:ind w:left="504" w:hanging="504"/>
      </w:pPr>
      <w:r>
        <w:rPr>
          <w:rFonts w:ascii="Calibri" w:cs="Calibri" w:eastAsia="Calibri" w:hAnsi="Calibri"/>
          <w:sz w:val="19"/>
          <w:szCs w:val="19"/>
        </w:rPr>
        <w:t xml:space="preserve">Spring, J. M., Hatleback, E., Householder, A. D., Manion, A. y Shick, D. (2019). Prioritizing vulnerability response: A stakeholder-specific vulnerability categorization [White paper]. Software Engineering Institute, Carnegie Mellon University. https://resources.sei.cmu.edu/library/asset-view.cfm?assetid=636379</w:t>
      </w:r>
    </w:p>
    <w:p>
      <w:pPr>
        <w:spacing w:after="130" w:line="264"/>
        <w:ind w:left="504" w:hanging="504"/>
      </w:pPr>
      <w:r>
        <w:rPr>
          <w:rFonts w:ascii="Calibri" w:cs="Calibri" w:eastAsia="Calibri" w:hAnsi="Calibri"/>
          <w:sz w:val="19"/>
          <w:szCs w:val="19"/>
        </w:rPr>
        <w:t xml:space="preserve">Spring, J. M., Hatleback, E., Householder, A. D., Manion, A. y Shick, D. (2020). Prioritizing vulnerability response: A stakeholder-specific vulnerability categorization. Workshop on the Economics of Information Security (WEIS), Bruselas, Bélgica.</w:t>
      </w:r>
    </w:p>
    <w:p>
      <w:pPr>
        <w:spacing w:after="140" w:before="0" w:line="264"/>
      </w:pPr>
      <w:r>
        <w:rPr>
          <w:rFonts w:ascii="Calibri" w:cs="Calibri" w:eastAsia="Calibri" w:hAnsi="Calibri"/>
          <w:sz w:val="20"/>
          <w:szCs w:val="20"/>
        </w:rPr>
        <w:t xml:space="preserve">GitHub, Inc. (s. f.). About the GitHub Advisory Database. GitHub Docs. https://docs.github.com/en/code-security/concepts/vulnerability-reporting-and-management/about-the-github-advisory-database [Consultado: agosto 2026]</w:t>
      </w:r>
    </w:p>
    <w:p>
      <w:pPr>
        <w:spacing w:after="140" w:before="0" w:line="264"/>
      </w:pPr>
      <w:r>
        <w:rPr>
          <w:rFonts w:ascii="Calibri" w:cs="Calibri" w:eastAsia="Calibri" w:hAnsi="Calibri"/>
          <w:sz w:val="20"/>
          <w:szCs w:val="20"/>
        </w:rPr>
        <w:t xml:space="preserve">GitHub, Inc. (s. f.). github/advisory-database [repositorio]. https://github.com/github/advisory-database [Consultado: agosto 2026]</w:t>
      </w:r>
    </w:p>
    <w:p>
      <w:pPr>
        <w:spacing w:after="140" w:before="0" w:line="264"/>
      </w:pPr>
      <w:r>
        <w:rPr>
          <w:rFonts w:ascii="Calibri" w:cs="Calibri" w:eastAsia="Calibri" w:hAnsi="Calibri"/>
          <w:sz w:val="20"/>
          <w:szCs w:val="20"/>
        </w:rPr>
        <w:t xml:space="preserve">Open Source Security Foundation. (s. f.). Open Source Vulnerability (OSV) format specification. https://ossf.github.io/osv-schema/ [Consultado: agosto 2026]</w:t>
      </w:r>
    </w:p>
    <w:p>
      <w:pPr>
        <w:spacing w:after="140" w:before="0" w:line="264"/>
      </w:pPr>
      <w:r>
        <w:rPr>
          <w:rFonts w:ascii="Calibri" w:cs="Calibri" w:eastAsia="Calibri" w:hAnsi="Calibri"/>
          <w:sz w:val="20"/>
          <w:szCs w:val="20"/>
        </w:rPr>
        <w:t xml:space="preserve">Jefatura de Gabinete de Ministros. (2021). Decisión Administrativa 641/2021: Requisitos mínimos de seguridad de la información para los organismos del Sector Público Nacional. Boletín Oficial de la República Argentina.</w:t>
      </w:r>
    </w:p>
    <w:p>
      <w:pPr>
        <w:spacing w:after="140" w:before="0" w:line="264"/>
      </w:pPr>
      <w:r>
        <w:rPr>
          <w:rFonts w:ascii="Calibri" w:cs="Calibri" w:eastAsia="Calibri" w:hAnsi="Calibri"/>
          <w:sz w:val="20"/>
          <w:szCs w:val="20"/>
        </w:rPr>
        <w:t xml:space="preserve">Poder Ejecutivo Nacional. (2025). Decreto 941/2025: Creación del Centro Nacional de Ciberseguridad. Boletín Oficial de la República Argentina.</w:t>
      </w:r>
    </w:p>
    <w:p>
      <w:pPr>
        <w:spacing w:after="140" w:before="0" w:line="264"/>
      </w:pPr>
      <w:r>
        <w:rPr>
          <w:rFonts w:ascii="Calibri" w:cs="Calibri" w:eastAsia="Calibri" w:hAnsi="Calibri"/>
          <w:sz w:val="20"/>
          <w:szCs w:val="20"/>
        </w:rPr>
        <w:t xml:space="preserve">Centro Nacional de Ciberseguridad. (2026). Disposición 1/2026: Reglamento Técnico de Planes de Contingencia y Centros de Procesamiento de Datos de Respaldo. Boletín Oficial de la República Argentina, 13 de mayo de 2026.</w:t>
      </w:r>
    </w:p>
    <w:p>
      <w:pPr>
        <w:spacing w:after="160"/>
      </w:pPr>
    </w:p>
    <w:tbl>
      <w:tblPr>
        <w:tblW w:type="dxa" w:w="9360"/>
        <w:tblBorders>
          <w:top w:val="none"/>
          <w:left w:val="single" w:color="9C2B2B" w:sz="18"/>
          <w:bottom w:val="none"/>
          <w:right w:val="none"/>
          <w:insideH w:val="none"/>
          <w:insideV w:val="none"/>
        </w:tblBorders>
      </w:tblPr>
      <w:tblGrid>
        <w:gridCol w:w="9360"/>
      </w:tblGrid>
      <w:tr>
        <w:tc>
          <w:tcPr>
            <w:tcW w:type="dxa" w:w="9360"/>
            <w:shd w:fill="EEF2F7" w:val="clear"/>
            <w:tcMar>
              <w:top w:type="dxa" w:w="140"/>
              <w:left w:type="dxa" w:w="200"/>
              <w:bottom w:type="dxa" w:w="140"/>
              <w:right w:type="dxa" w:w="200"/>
            </w:tcMar>
          </w:tcPr>
          <w:p>
            <w:pPr>
              <w:spacing w:after="100" w:line="276"/>
            </w:pPr>
            <w:r>
              <w:rPr>
                <w:rFonts w:ascii="Calibri" w:cs="Calibri" w:eastAsia="Calibri" w:hAnsi="Calibri"/>
                <w:b/>
                <w:bCs/>
                <w:color w:val="9C2B2B"/>
                <w:sz w:val="21"/>
                <w:szCs w:val="21"/>
              </w:rPr>
              <w:t xml:space="preserve">Notas sobre vigencia</w:t>
            </w:r>
          </w:p>
          <w:p>
            <w:pPr>
              <w:spacing w:after="100" w:line="276"/>
            </w:pPr>
            <w:r>
              <w:rPr>
                <w:rFonts w:ascii="Calibri" w:cs="Calibri" w:eastAsia="Calibri" w:hAnsi="Calibri"/>
                <w:sz w:val="21"/>
                <w:szCs w:val="21"/>
              </w:rPr>
              <w:t xml:space="preserve">Las directivas CISA BOD 19-02 (2019) y BOD 22-01 (2021) fueron revocadas por la BOD 26-04 el 10 de junio de 2026. Si se las cita, debe ser en carácter histórico. Buena parte de la bibliografía secundaria anterior a junio de 2026 todavía las presenta como vigentes.</w:t>
            </w:r>
          </w:p>
          <w:p>
            <w:pPr>
              <w:spacing w:after="100" w:line="276"/>
            </w:pPr>
            <w:r>
              <w:rPr>
                <w:rFonts w:ascii="Calibri" w:cs="Calibri" w:eastAsia="Calibri" w:hAnsi="Calibri"/>
                <w:sz w:val="21"/>
                <w:szCs w:val="21"/>
              </w:rPr>
              <w:t xml:space="preserve">EPSS revisa su modelo periódicamente. Toda cita debe indicar versión y fecha de consulta.</w:t>
            </w:r>
          </w:p>
          <w:p>
            <w:pPr>
              <w:spacing w:after="0" w:line="276"/>
            </w:pPr>
            <w:r>
              <w:rPr>
                <w:rFonts w:ascii="Calibri" w:cs="Calibri" w:eastAsia="Calibri" w:hAnsi="Calibri"/>
                <w:sz w:val="21"/>
                <w:szCs w:val="21"/>
              </w:rPr>
              <w:t xml:space="preserve">Sobre PCI DSS: las fuentes secundarias difieren en la numeración exacta del requisito de plazos de parcheo en la versión 4.0.1. Verificar contra el documento del PCI Security Standards Council antes de citar el número.</w:t>
            </w:r>
          </w:p>
        </w:tc>
      </w:tr>
    </w:tbl>
    <w:sectPr>
      <w:pgSz w:w="12240" w:h="15840" w:orient="portrait"/>
      <w:pgMar w:top="1100" w:right="1440" w:bottom="11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59"/>
      </w:pPr>
    </w:lvl>
  </w:abstractNum>
  <w:abstractNum w:abstractNumId="3" w15:restartNumberingAfterBreak="0">
    <w:multiLevelType w:val="hybridMultilevel"/>
    <w:lvl w:ilvl="0" w15:tentative="1">
      <w:start w:val="1"/>
      <w:numFmt w:val="decimal"/>
      <w:lvlText w:val="%1."/>
      <w:lvlJc w:val="left"/>
      <w:pPr>
        <w:ind w:left="489" w:hanging="288"/>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Marco de referencia v2 — Tracking de remediación de vulnerabilidades</dc:title>
  <dc:creator>Equipo GEF Secure</dc:creator>
  <dc:description>Documento de investigación previa, versión ampliada</dc:description>
  <cp:lastModifiedBy>Un-named</cp:lastModifiedBy>
  <cp:revision>1</cp:revision>
  <dcterms:created xsi:type="dcterms:W3CDTF">2026-08-14T22:28:27.759Z</dcterms:created>
  <dcterms:modified xsi:type="dcterms:W3CDTF">2026-08-14T22:28:27.770Z</dcterms:modified>
</cp:coreProperties>
</file>

<file path=docProps/custom.xml><?xml version="1.0" encoding="utf-8"?>
<Properties xmlns="http://schemas.openxmlformats.org/officeDocument/2006/custom-properties" xmlns:vt="http://schemas.openxmlformats.org/officeDocument/2006/docPropsVTypes"/>
</file>