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PRIVATIO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Guida Completa: Aspetti Legali e Costituzione Societaria</w:t>
      </w:r>
    </w:p>
    <w:p>
      <w:pPr>
        <w:pBdr>
          <w:top w:val="single" w:color="1F4E79" w:sz="2" w:space="8"/>
          <w:bottom w:val="single" w:color="1F4E79" w:sz="2" w:space="8"/>
        </w:pBdr>
        <w:spacing w:after="200" w:before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Roadmap operativa per il lancio della piattaforma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Preparato per: Federico | Marzo 2026</w:t>
      </w:r>
    </w:p>
    <w:p>
      <w:r>
        <w:br w:type="page"/>
      </w:r>
    </w:p>
    <w:p>
      <w:pPr>
        <w:pStyle w:val="Heading1"/>
      </w:pPr>
      <w:r>
        <w:t xml:space="preserve">1. Classificazione Giuridica della Piattaforma</w:t>
      </w:r>
    </w:p>
    <w:p>
      <w:pPr>
        <w:pStyle w:val="Heading2"/>
      </w:pPr>
      <w:r>
        <w:t xml:space="preserve">1.1 Marketplace vs Intermediazione Immobiliare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classificazione giuridica di Privatio rappresenta il punto di partenza fondamentale per tutta la struttura societaria. Dalla corretta classificazione dipendono il codice ATECO, gli obblighi normativi, le assicurazioni e i requisiti professionali.</w:t>
      </w:r>
    </w:p>
    <w:p>
      <w:pPr>
        <w:pStyle w:val="Heading3"/>
      </w:pPr>
      <w:r>
        <w:t xml:space="preserve">Le due classificazioni possibili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Marketplace Tecnologico (63.12.00)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Mediazione Immobiliare (68.31.00)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Fornisce infrastruttura tecnologica dove domanda e offerta si incontrano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Mette in relazione due o più parti per la conclusione di un affare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interviene nella negoziazione tra le parti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Partecipa attivamente alla trattativa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richiede patentino da agente immobiliare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Richiede abilitazione, corso 200h, esame CCIAA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professionale 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 obbligatoria specifica + fideiussione bancaria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Perché Privatio è un Marketplace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Privatio si configura come marketplace tecnologico (portale web) per le seguenti ragioni: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 partecipa alla trattativa tra venditore e acquirente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 valuta gli immobili né fornisce consulenza sul prezzo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 accompagna alle visite né gestisce le proposte d’acquisto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agenzie convenzionate sono soggetti già abilitati — Privatio dà loro visibilità, non svolge il loro lavoro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servizio offerto è B2B: lead generation e visibilità tecnologica per le agenzie</w:t>
      </w:r>
    </w:p>
    <w:p>
      <w:pPr>
        <w:pBdr>
          <w:left w:val="single" w:color="E65100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ATTENZIONE: </w:t>
      </w:r>
      <w:r>
        <w:rPr>
          <w:rFonts w:ascii="Arial" w:cs="Arial" w:eastAsia="Arial" w:hAnsi="Arial"/>
          <w:sz w:val="22"/>
          <w:szCs w:val="22"/>
        </w:rPr>
        <w:t xml:space="preserve">Questa classificazione deve essere confermata da un parere legale scritto (parere pro-veritate) da parte dell’avvocato. Costo stimato: 300-500€. Il parere servirà sia per il commercialista (scelta codice ATECO) sia come tutela in caso di contestazioni future.</w:t>
      </w:r>
    </w:p>
    <w:p>
      <w:pPr>
        <w:pStyle w:val="Heading2"/>
      </w:pPr>
      <w:r>
        <w:t xml:space="preserve">1.3 Il Modello Commissioni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Privatio può promuovere che le agenzie convenzionate non facciano pagare commissioni al venditore. La struttura corretta 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 Corretto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 da Evitare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Contratto B2B tra Privatio e l’agenzia (servizio di lead generation e visibilità)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Privatio incassa provvigione direttamente dal venditore o acquirente sulla compravendita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L’agenzia è il cliente di Privatio e paga per il servizio tecnologico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Questo configura mediazione immobiliare e richiede il patentino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rinuncia alla commissione lato venditore è una scelta commerciale dell’agenzia, non una garanzia di Privatio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Qualsiasi forma di partecipazione diretta alla compravendita è rischiosa</w:t>
            </w:r>
          </w:p>
        </w:tc>
      </w:tr>
    </w:tbl>
    <w:p>
      <w:pPr>
        <w:spacing w:after="120"/>
      </w:pPr>
    </w:p>
    <w:p>
      <w:pPr>
        <w:pBdr>
          <w:left w:val="single" w:color="1F4E79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Nel contratto con le agenzie convenzionate, specificare che: (1) è l’agenzia a rinunciare alla commissione lato venditore come condizione per stare sulla piattaforma; (2) Privatio fornisce un servizio tecnologico e non svolge attività di mediazione.</w:t>
      </w:r>
    </w:p>
    <w:p>
      <w:r>
        <w:br w:type="page"/>
      </w:r>
    </w:p>
    <w:p>
      <w:pPr>
        <w:pStyle w:val="Heading1"/>
      </w:pPr>
      <w:r>
        <w:t xml:space="preserve">2. Consulenza Legale: Cosa Fare e a Chi Rivolgersi</w:t>
      </w:r>
    </w:p>
    <w:p>
      <w:pPr>
        <w:pStyle w:val="Heading2"/>
      </w:pPr>
      <w:r>
        <w:t xml:space="preserve">2.1 Cosa Chiedere all’Avvocato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Rivolgersi a un avvocato specializzato in diritto digitale/e-commerce (non generalista). Punti da affrontare: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Parere pro-veritate sulla classificazione: </w:t>
      </w:r>
      <w:r>
        <w:rPr>
          <w:rFonts w:ascii="Arial" w:cs="Arial" w:eastAsia="Arial" w:hAnsi="Arial"/>
          <w:sz w:val="22"/>
          <w:szCs w:val="22"/>
        </w:rPr>
        <w:t xml:space="preserve">conferma che Privatio è marketplace e non mediatore immobiliare. Domanda chiave: “Voglio che le agenzie sulla mia piattaforma non facciano pagare commissioni al venditore, ma senza che io risulti mediatore immobiliare — come lo strutturiamo contrattualmente?”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Revisione contratti esistenti: </w:t>
      </w:r>
      <w:r>
        <w:rPr>
          <w:rFonts w:ascii="Arial" w:cs="Arial" w:eastAsia="Arial" w:hAnsi="Arial"/>
          <w:sz w:val="22"/>
          <w:szCs w:val="22"/>
        </w:rPr>
        <w:t xml:space="preserve">Contratto Agenzia Convenzionata, Termini di Servizio Venditore (già in bozza)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Termini di servizio lato acquirente: </w:t>
      </w:r>
      <w:r>
        <w:rPr>
          <w:rFonts w:ascii="Arial" w:cs="Arial" w:eastAsia="Arial" w:hAnsi="Arial"/>
          <w:sz w:val="22"/>
          <w:szCs w:val="22"/>
        </w:rPr>
        <w:t xml:space="preserve">attualmente mancanti, da redigere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GDPR completa: </w:t>
      </w:r>
      <w:r>
        <w:rPr>
          <w:rFonts w:ascii="Arial" w:cs="Arial" w:eastAsia="Arial" w:hAnsi="Arial"/>
          <w:sz w:val="22"/>
          <w:szCs w:val="22"/>
        </w:rPr>
        <w:t xml:space="preserve">informativa privacy aggiornata con base giuridica per ogni trattamento, cookie banner conforme (consenso granulare), nomina a responsabile del trattamento per Supabase, Vercel, Stripe, Resend, Google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Regolamento UE 2019/1150: </w:t>
      </w:r>
      <w:r>
        <w:rPr>
          <w:rFonts w:ascii="Arial" w:cs="Arial" w:eastAsia="Arial" w:hAnsi="Arial"/>
          <w:sz w:val="22"/>
          <w:szCs w:val="22"/>
        </w:rPr>
        <w:t xml:space="preserve">verifica conformità per piattaforme marketplace B2C</w:t>
      </w:r>
    </w:p>
    <w:p>
      <w:pPr>
        <w:pStyle w:val="Heading2"/>
      </w:pPr>
      <w:r>
        <w:t xml:space="preserve">2.2 Studi Legali Consigliati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Specializzazione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Legal for Digital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Diritto digitale, GDPR, contratti web,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Torino / Milano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legalfordigital.it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Ecommerce Legale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E-commerce, marketplace, startup digitali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ecommercelegale.it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LawGeek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Piattaforme di intermediazione, marketplace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lawgeek.it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Costo stimato revisione completa (contratti + GDPR + parere): 1.500 - 3.000€</w:t>
      </w:r>
    </w:p>
    <w:p>
      <w:r>
        <w:br w:type="page"/>
      </w:r>
    </w:p>
    <w:p>
      <w:pPr>
        <w:pStyle w:val="Heading1"/>
      </w:pPr>
      <w:r>
        <w:t xml:space="preserve">3. Costituzione SRL Startup Innovativa</w:t>
      </w:r>
    </w:p>
    <w:p>
      <w:pPr>
        <w:pStyle w:val="Heading2"/>
      </w:pPr>
      <w:r>
        <w:t xml:space="preserve">3.1 Perché SRL Startup Innovativa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SRL Startup Innovativa è la forma giuridica ottimale per Privatio. Offre la flessibilità statutaria della SRL ordinaria con i vantaggi fiscali dello status di startup innovativa.</w:t>
      </w:r>
    </w:p>
    <w:p>
      <w:pPr>
        <w:pStyle w:val="Heading3"/>
      </w:pPr>
      <w:r>
        <w:t xml:space="preserve">Vantaggi principali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Esenzione dai diritti annuali camerali e dal diritto di bollo per 5 anni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Capitale sociale minimo: anche solo 1€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Detrazione IRPEF 30-50% per investitori (attrattività per business angel)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Contratti a tempo determinato rinnovabili fino a 48 mesi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 option e work for equity in regime fiscale agevolato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Fondo di Garanzia PMI: garanzia statale fino all’80%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Procedure semplificate in caso di insuccesso (no fallimento tradizionale)</w:t>
      </w:r>
    </w:p>
    <w:p>
      <w:pPr>
        <w:pStyle w:val="Heading2"/>
      </w:pPr>
      <w:r>
        <w:t xml:space="preserve">3.2 Requisiti Startup Innovativa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Requisiti base: società di capitali, costituita da non più di 60 mesi, sede in Italia, valore produzione &lt; 5M€/anno, oggetto sociale innovativo, non distribuzione utili.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 di innovazione (almeno 1 obbligatorio):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35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Applicabilità Privatio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Spese R&amp;S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Spese R&amp;S ≥ 15% del maggior valore tra costo e valore totale della produzione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CONSIGLIATO — Automatico nei primi anni: sviluppo piattaforma &gt;&gt; ricavi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Personale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Almeno 2/3 forza lavoro con laurea magistrale, oppure 1/3 dottori di ricerca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Fragile — Si perde appena si assume qualcuno senza laurea magistrale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Brevetti/SW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Titolarità di brevetto o software registrato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BACKUP — Registrare Privatio alla SIAE (sezione OLAF), costo ~120€</w:t>
            </w:r>
          </w:p>
        </w:tc>
      </w:tr>
    </w:tbl>
    <w:p>
      <w:pPr>
        <w:spacing w:after="120"/>
      </w:pPr>
    </w:p>
    <w:p>
      <w:pPr>
        <w:pBdr>
          <w:left w:val="single" w:color="1F4E79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Strategia consigliata: autocertificare il criterio 1 (Spese R&amp;S) come principale e registrare il software come criterio 3 di sicurezza.</w:t>
      </w:r>
    </w:p>
    <w:p>
      <w:pPr>
        <w:pStyle w:val="Heading2"/>
      </w:pPr>
      <w:r>
        <w:t xml:space="preserve">3.3 Procedura di Costituzione Passo per Passo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Prerequisiti (1-2 settimane, autonomo)
</w:t>
      </w:r>
      <w:r>
        <w:rPr>
          <w:rFonts w:ascii="Arial" w:cs="Arial" w:eastAsia="Arial" w:hAnsi="Arial"/>
          <w:sz w:val="22"/>
          <w:szCs w:val="22"/>
        </w:rPr>
        <w:t xml:space="preserve">Attivare SPID (gratuito), procurarsi firma digitale (Aruba ~30€), attivare PEC (~5€/anno)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Commercialista specializzato
</w:t>
      </w:r>
      <w:r>
        <w:rPr>
          <w:rFonts w:ascii="Arial" w:cs="Arial" w:eastAsia="Arial" w:hAnsi="Arial"/>
          <w:sz w:val="22"/>
          <w:szCs w:val="22"/>
        </w:rPr>
        <w:t xml:space="preserve">Trovare un commercialista esperto in startup innovative. Preparerà statuto, atto costitutivo e gestirà tutta la procedura.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Atto costitutivo dal notaio (2-4 settimane)
</w:t>
      </w:r>
      <w:r>
        <w:rPr>
          <w:rFonts w:ascii="Arial" w:cs="Arial" w:eastAsia="Arial" w:hAnsi="Arial"/>
          <w:sz w:val="22"/>
          <w:szCs w:val="22"/>
        </w:rPr>
        <w:t xml:space="preserve">Possibile in videoconferenza. Il notaio trasmette la pratica ComUnica. Si ottengono in un colpo: P.IVA, iscrizione Registro Imprese, posizione INPS, codice fiscale società. Costo notaio: 1.000-1.800€.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Iscrizione sezione speciale startup innovative
</w:t>
      </w:r>
      <w:r>
        <w:rPr>
          <w:rFonts w:ascii="Arial" w:cs="Arial" w:eastAsia="Arial" w:hAnsi="Arial"/>
          <w:sz w:val="22"/>
          <w:szCs w:val="22"/>
        </w:rPr>
        <w:t xml:space="preserve">Pratica presentata dal commercialista alla Camera di Commercio. Gratuita. Approvazione in 5-10 giorni lavorativi.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Adempimenti post-costituzione
</w:t>
      </w:r>
      <w:r>
        <w:rPr>
          <w:rFonts w:ascii="Arial" w:cs="Arial" w:eastAsia="Arial" w:hAnsi="Arial"/>
          <w:sz w:val="22"/>
          <w:szCs w:val="22"/>
        </w:rPr>
        <w:t xml:space="preserve">Apertura conto corrente business, attivazione fatturazione elettronica, configurazione Stripe con dati societari, registrazione software alla SIAE.</w:t>
      </w:r>
    </w:p>
    <w:p>
      <w:pPr>
        <w:pStyle w:val="Heading2"/>
      </w:pPr>
      <w:r>
        <w:t xml:space="preserve">3.4 Commercialisti Consigliati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Specializzazione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Fido Commercialista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Costituzione SRL startup online, pacchetto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fidocommercialista.it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Strategy Tax Law (STAX)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innovative, credito R&amp;S, finanza agevolata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staxlaw.it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Studio Canino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Consulenza personalizzata startup innovative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studiocanino.com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Chiaro &amp; Partners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innovative, sede Padova/Nord-Est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chiaro.partners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MDV Tax Consulting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Area dedicata startup, opera 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mdvtax.it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Domande da fare al commercialista: quante startup innovative segue, se ha esperienza con la domanda ON di Invitalia, costo pacchetto costituzione + gestione primo anno.</w:t>
      </w:r>
    </w:p>
    <w:p>
      <w:r>
        <w:br w:type="page"/>
      </w:r>
    </w:p>
    <w:p>
      <w:pPr>
        <w:pStyle w:val="Heading1"/>
      </w:pPr>
      <w:r>
        <w:t xml:space="preserve">4. Finanziamento ON — Oltre Nuove Imprese a Tasso Zero</w:t>
      </w:r>
    </w:p>
    <w:p>
      <w:pPr>
        <w:pStyle w:val="Heading2"/>
      </w:pPr>
      <w:r>
        <w:t xml:space="preserve">4.1 Caratteristiche del Finanziamento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Ente gestore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Invitalia (Ministero delle Imprese e del Made in Italy)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Copertura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Fino al 90% delle spese ammissibili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Composizione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 contributo a fondo perduto + 80% finanziamento a tasso 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 250.000€ a 3.000.000€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Durata rimborso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Massimo 10 anni, rate semestrali costanti (31 maggio e 30 novembre)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Realizzazione progetto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Entro 24 mesi dalla stipula del contratto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Presentazione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Esclusivamente online su piattaforma Invitalia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Istruttoria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 giorni, ordine cronologico di arrivo</w:t>
            </w:r>
          </w:p>
        </w:tc>
      </w:tr>
    </w:tbl>
    <w:p>
      <w:pPr>
        <w:pStyle w:val="Heading2"/>
      </w:pPr>
      <w:r>
        <w:t xml:space="preserve">4.2 Requisiti di Accesso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 o piccola impresa costituita da non più di 60 mesi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Compagine societaria composta per oltre il 51% (numero soci e quote) da under 35 o donne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Federico (32 anni): requisito soddisfatto come socio unico al 100%</w:t>
      </w:r>
    </w:p>
    <w:p>
      <w:pPr>
        <w:pBdr>
          <w:left w:val="single" w:color="E65100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ATTENZIONE: </w:t>
      </w:r>
      <w:r>
        <w:rPr>
          <w:rFonts w:ascii="Arial" w:cs="Arial" w:eastAsia="Arial" w:hAnsi="Arial"/>
          <w:sz w:val="22"/>
          <w:szCs w:val="22"/>
        </w:rPr>
        <w:t xml:space="preserve">Il requisito di età viene verificato alla data di presentazione della domanda e resta cristallizzato. Non decade se si compiono 36 anni durante il periodo di rimborso. Si può tranquillamente restituire il finanziamento in 10 anni.</w:t>
      </w:r>
    </w:p>
    <w:p>
      <w:pPr>
        <w:pStyle w:val="Heading2"/>
      </w:pPr>
      <w:r>
        <w:t xml:space="preserve">4.3 Spese Ammissibili e Flessibilità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spese ammissibili includono sia investimenti (beni strumentali, software, brevetti) sia capitale circolante (costi operativi dei primi 2 anni, fino al 20% degli investimenti).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Flessibilità sulle risorse: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voci di personale possono essere coperte da dipendenti, freelancer a P.IVA, o collaboratori esterni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L’importante è che le spese siano coerenti con le categorie approvate nel piano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Servono fattura e pagamento tracciabile (bonifico) per ogni spesa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Variazioni tra categorie sono possibili previa autorizzazione di Invitalia</w:t>
      </w:r>
    </w:p>
    <w:p>
      <w:pPr>
        <w:pBdr>
          <w:left w:val="single" w:color="1F4E79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Nel business plan usare diciture flessibili: “Risorse tecniche per sviluppo e manutenzione piattaforma” anziché “Sviluppatore dipendente”. Copre sia l’ipotesi dipendente sia freelancer.</w:t>
      </w:r>
    </w:p>
    <w:p>
      <w:pPr>
        <w:pStyle w:val="Heading2"/>
      </w:pPr>
      <w:r>
        <w:t xml:space="preserve">4.4 Documenti Necessari per la Domanda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SPID per accesso alla piattaforma Invitalia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Firma digitale e PEC della società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plan compilato online (piano finanziario già preparato in Excel)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Visura camerale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Documenti d’identità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Allegati specifici richiesti dalla piattaforma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Consiglio forte: farsi seguire dal commercialista nella compilazione del business plan sulla piattaforma Invitalia.</w:t>
      </w:r>
    </w:p>
    <w:p>
      <w:r>
        <w:br w:type="page"/>
      </w:r>
    </w:p>
    <w:p>
      <w:pPr>
        <w:pStyle w:val="Heading1"/>
      </w:pPr>
      <w:r>
        <w:t xml:space="preserve">5. Credito d’Imposta Ricerca e Sviluppo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Caratteristica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Aliquota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delle spese ammissibili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Tetto massimo annuo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5.000.000€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Validità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Fino al 2031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Fruizione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Compensazione F24, 3 quote annuali di pari importo, a partire dall’anno successivo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Spese ammissibili nel caso Privatio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Costo del personale impiegato direttamente in attività R&amp;S (incluso compenso amministratore)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Ammortamento e canoni software/strumenti utilizzati per lo sviluppo (max 30% del costo personale)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Contratti di ricerca con soggetti esterni (università, centri ricerca, altre startup: contano al 150%)</w:t>
      </w:r>
    </w:p>
    <w:p>
      <w:pPr>
        <w:pBdr>
          <w:left w:val="single" w:color="1F4E79" w:sz="6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La base di calcolo è al netto di altre sovvenzioni ricevute per le stesse spese. Quindi il credito R&amp;S si calcola sulle spese non coperte dal finanziamento ON.</w:t>
      </w:r>
    </w:p>
    <w:p>
      <w:r>
        <w:br w:type="page"/>
      </w:r>
    </w:p>
    <w:p>
      <w:pPr>
        <w:pStyle w:val="Heading1"/>
      </w:pPr>
      <w:r>
        <w:t xml:space="preserve">6. Compliance e Adempimenti Tecnici</w:t>
      </w:r>
    </w:p>
    <w:p>
      <w:pPr>
        <w:pStyle w:val="Heading2"/>
      </w:pPr>
      <w:r>
        <w:t xml:space="preserve">6.1 GDPR e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Cookie banner conforme con consenso granulare (non solo “accetta tutto”)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Informativa privacy aggiornata con base giuridica per ogni trattamento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Nomina a responsabile del trattamento (DPA) per: Supabase, Vercel, Stripe, Resend, Google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dei trattamenti (obbligatorio se si trattano dati su larga scala)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Procedura per gestione data breach</w:t>
      </w:r>
    </w:p>
    <w:p>
      <w:pPr>
        <w:pStyle w:val="Heading2"/>
      </w:pPr>
      <w:r>
        <w:t xml:space="preserve">6.2 Configurazioni Tecniche Mancanti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seguenti variabili d’ambiente su Vercel devono essere configurate prima del lancio: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(pagamenti)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STRIPE_SECRET_KEY + 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Da configurare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Da configurare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Da configurare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contatti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Da configurare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Roadmap Operativa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200"/>
        <w:gridCol w:w="2126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Tempistica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Consulenza avvocato: parere classificazione + revisione contratti + GDPR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Avvocato specializzato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settimane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Prerequisiti: SPID, firma digitale, PEC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Federico (autonomo)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settimane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Trovare commercialista specializzato startup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settimana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Costituzione SRL + atto notarile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Commercialista + notaio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2-4 settimane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Iscrizione sezione speciale startup innovativa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5-10 giorni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Registrazione software SIAE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settimane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Configurazioni tecniche (Stripe, Resend, GA)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settimana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Apertura conto business + fatturazione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settimana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end-to-end piattaforma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Federico + beta tester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settimane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Preparazione e invio domanda ON (Invitalia)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Commercialista + Federico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2-4 settimane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Piano editoriale social + contatto influencer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parallelo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Lancio piattaforma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fase 9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Costi Stimati di Avvio (prima del finanziamento 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Importo stimato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Avvocato (revisione completa + parere)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1.500 - 3.000€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Notaio (atto costitutivo)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1.000 - 1.800€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Commercialista (costituzione + primo anno)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1.500 - 3.000€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digitale + 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~35€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Registrazione software SIAE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~120€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INPS gestione commercianti (primo trimestre)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~1.050€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TOTALE STIMATO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5.200 - 9.000€</w:t>
            </w:r>
          </w:p>
        </w:tc>
      </w:tr>
    </w:tbl>
    <w:p>
      <w:pPr>
        <w:spacing w:before="400"/>
      </w:pPr>
    </w:p>
    <w:p>
      <w:pPr>
        <w:pBdr>
          <w:top w:val="single" w:color="1F4E79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preparato come guida operativa. Non sostituisce la consulenza professionale di avvocato e commercialista.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Documento riservato  | 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PRIVATIO</w:t>
    </w:r>
    <w:r>
      <w:rPr>
        <w:rFonts w:ascii="Arial" w:cs="Arial" w:eastAsia="Arial" w:hAnsi="Arial"/>
        <w:color w:val="999999"/>
        <w:sz w:val="18"/>
        <w:szCs w:val="18"/>
      </w:rPr>
      <w:t xml:space="preserve">  |  Guida Legale e Societaria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2026-03-21T17:06:04.264Z</dcterms:created>
  <dcterms:modified xsi:type="dcterms:W3CDTF">2026-03-21T17:06:04.264Z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