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565C0"/>
          <w:sz w:val="36"/>
          <w:szCs w:val="36"/>
        </w:rPr>
        <w:t xml:space="preserve">REVISIONE CONTRATTUALE</w:t>
      </w:r>
    </w:p>
    <w:p>
      <w:pPr>
        <w:spacing w:after="100"/>
        <w:jc w:val="center"/>
      </w:pPr>
      <w:r>
        <w:rPr>
          <w:rFonts w:ascii="Arial" w:cs="Arial" w:eastAsia="Arial" w:hAnsi="Arial"/>
          <w:color w:val="555555"/>
          <w:sz w:val="24"/>
          <w:szCs w:val="24"/>
        </w:rPr>
        <w:t xml:space="preserve">Termini e Condizioni di Servizio — Utente Venditore</w:t>
      </w:r>
    </w:p>
    <w:p>
      <w:pPr>
        <w:spacing w:after="400"/>
        <w:jc w:val="center"/>
      </w:pPr>
      <w:r>
        <w:rPr>
          <w:rFonts w:ascii="Arial" w:cs="Arial" w:eastAsia="Arial" w:hAnsi="Arial"/>
          <w:color w:val="757575"/>
          <w:sz w:val="22"/>
          <w:szCs w:val="22"/>
        </w:rPr>
        <w:t xml:space="preserve">Piattaforma Privatio — Marzo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Documento:</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Privatio_Termini_Servizio_Venditore.docx (v1.0)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Parti:</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Privatio (Piattaforma) ↔ Venditore (Utente)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Posizione: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Privatio — fornitore di servizio tecnologico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Base di revisione: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commerciali generali + normativa italiana (C.C., GDPR, D.Lgs. 70/2003, Codice del Consumo)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Focus richiesto:</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Massima tutela della piattaforma; enfasi su non-intermediazione immobiliare</w:t>
            </w:r>
          </w:p>
        </w:tc>
      </w:tr>
    </w:tbl>
    <w:p>
      <w:pPr>
        <w:spacing w:before="400"/>
      </w:pPr>
    </w:p>
    <w:p>
      <w:pPr>
        <w:pStyle w:val="Heading1"/>
      </w:pPr>
      <w:r>
        <w:t xml:space="preserve">1. Sintesi Generale</w:t>
      </w:r>
    </w:p>
    <w:p>
      <w:pPr>
        <w:spacing w:after="200"/>
      </w:pPr>
      <w:r>
        <w:t xml:space="preserve">Il contratto è strutturato in modo chiaro e copre i principali aspetti del rapporto tra piattaforma e venditore. La clausola di non-intermediazione (Art. 1.2) è presente e ben formulata. Tuttavia, dall’analisi emergono </w:t>
      </w:r>
      <w:r>
        <w:rPr>
          <w:b/>
          <w:bCs/>
        </w:rPr>
        <w:t xml:space="preserve">diverse aree critiche</w:t>
      </w:r>
      <w:r>
        <w:t xml:space="preserve"> dove il documento necessita di integrazioni significative per tutelare adeguatamente Privatio, soprattutto alla luce del contesto normativo italiano in materia di intermediazione immobiliare, responsabilità delle piattaforme digitali e protezione dei consumatori.</w:t>
      </w:r>
    </w:p>
    <w:p>
      <w:pPr>
        <w:spacing w:after="200"/>
      </w:pPr>
      <w:r>
        <w:rPr>
          <w:b/>
          <w:bCs/>
          <w:color w:val="F57F17"/>
        </w:rPr>
        <w:t xml:space="preserve">Valutazione complessiva del rischio: MEDIO-ALTO. </w:t>
      </w:r>
      <w:r>
        <w:t xml:space="preserve">Il contratto richiede integrazioni prima di poter essere utilizzato in produzione.</w:t>
      </w:r>
    </w:p>
    <w:p>
      <w:pPr>
        <w:pStyle w:val="Heading1"/>
      </w:pPr>
      <w:r>
        <w:t xml:space="preserve">2. Quadro Riepilogativo dei Rilievi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00"/>
        <w:gridCol w:w="2500"/>
        <w:gridCol w:w="1706"/>
      </w:tblGrid>
      <w:t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Stato</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Clausola</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Rilievo</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Raccomandazione</w:t>
            </w:r>
          </w:p>
        </w:tc>
        <w:tc>
          <w:tcPr>
            <w:tcW w:type="dxa" w:w="170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Impatto</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Titolo documento contraddice Art. 1.2: dice “Intermediazione Immobiliare Digitale”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Cambiare in “Vetrina Immobiliare Digitale” o “Servizio Tecnologico Immobiliare”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CRITICO</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Nuovo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 clausola di manleva/indennità a favore di Privatio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Art. dedicato con manleva del Venditore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Nuovo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 clausola arbitrale/mediazione obbligatoria pre-contenzioso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procedura ADR prima del ricorso al Foro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Nuovo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 disclaimer esplicito su valutazioni immobiliari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clausola: Privatio non fornisce valutazioni/stime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Limitazione di responsabilità troppo generica, manca cap quantitativo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Inserire tetto massimo di responsabilità e esclusioni specifiche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Meccanismo 48 ore: manca consenso esplicito separato per trasmissione automatica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consenso specifico per Fase 2 oltre alla checkbox generale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Licenza sui contenuti troppo limitata: manca diritto a cache/backup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Estendere licenza per includere copie tecniche e backup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Mancano criteri per modifiche sostanziali vs. formali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Distinguere modifiche sostanziali (consenso) da formali (notifica)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BASSO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Mancano sanzioni specifiche per violazioni del Venditore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conseguenze graduate per violazioni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Nuovo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 clausola anti-abuso/uso improprio della Piattaforma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elenco usi vietati e conseguenze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Nuovo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Manca esclusione responsabilità per contenuti di terze parti (agenzie)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Aggiungere disclaimer su comportamento agenzie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GREEN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Clausola di non-intermediazione presente e chiara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Rafforzare ulteriormente con riferimento a L. 39/1989 dettagliato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GREEN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Diritto di rimozione ben formulato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Nessuna modifica necessaria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GREEN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Doppia sottoscrizione ex artt. 1341-1342 c.c. presente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Già conforme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GREEN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Informativa GDPR completa e conforme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Valutare aggiunta DPO se necessario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r>
    </w:tbl>
    <w:p>
      <w:r>
        <w:br w:type="page"/>
      </w:r>
    </w:p>
    <w:p>
      <w:pPr>
        <w:pStyle w:val="Heading1"/>
      </w:pPr>
      <w:r>
        <w:t xml:space="preserve">3. Analisi Dettagliata per Clausola</w:t>
      </w:r>
    </w:p>
    <w:p>
      <w:pPr>
        <w:pStyle w:val="Heading2"/>
      </w:pPr>
      <w:r>
        <w:rPr>
          <w:color w:val="C62828"/>
        </w:rPr>
        <w:t xml:space="preserve">● RED </w:t>
      </w:r>
      <w:r>
        <w:t xml:space="preserve">Titolo del Documento: Contraddizione con Art. 1.2</w:t>
      </w:r>
    </w:p>
    <w:p>
      <w:pPr>
        <w:spacing w:after="100"/>
      </w:pPr>
      <w:r>
        <w:rPr>
          <w:b/>
          <w:bCs/>
        </w:rPr>
        <w:t xml:space="preserve">Problema: </w:t>
      </w:r>
      <w:r>
        <w:t xml:space="preserve">Il titolo del documento recita “Piattaforma di Intermediazione Immobiliare Digitale”. Questo è in diretta contraddizione con l’Art. 1.2 che afferma espressamente che Privatio NON svolge attività di intermediazione. In caso di contenzioso, un giudice potrebbe interpretare il titolo come ammissione implicita di attività di mediazione, vanificando la protezione dell’Art. 1.2.</w:t>
      </w:r>
    </w:p>
    <w:p>
      <w:pPr>
        <w:spacing w:after="100"/>
      </w:pPr>
      <w:r>
        <w:rPr>
          <w:b/>
          <w:bCs/>
          <w:color w:val="C62828"/>
        </w:rPr>
        <w:t xml:space="preserve">Linguaggio attuale: </w:t>
      </w:r>
      <w:r>
        <w:rPr>
          <w:i/>
          <w:iCs/>
        </w:rPr>
        <w:t xml:space="preserve">“PRIVATIO — Piattaforma di Intermediazione Immobiliare Digitale”</w:t>
      </w:r>
    </w:p>
    <w:p>
      <w:pPr>
        <w:spacing w:after="100"/>
      </w:pPr>
      <w:r>
        <w:rPr>
          <w:b/>
          <w:bCs/>
          <w:color w:val="2E7D32"/>
        </w:rPr>
        <w:t xml:space="preserve">Linguaggio suggerito: </w:t>
      </w:r>
      <w:r>
        <w:rPr>
          <w:i/>
          <w:iCs/>
        </w:rPr>
        <w:t xml:space="preserve">“PRIVATIO — Piattaforma Tecnologica di Vetrina Immobiliare Digitale”</w:t>
      </w:r>
    </w:p>
    <w:p>
      <w:pPr>
        <w:spacing w:after="200"/>
      </w:pPr>
      <w:r>
        <w:rPr>
          <w:b/>
          <w:bCs/>
        </w:rPr>
        <w:t xml:space="preserve">Motivazione: </w:t>
      </w:r>
      <w:r>
        <w:t xml:space="preserve">Coerenza terminologica totale con la qualificazione giuridica del servizio. Evita qualsiasi rischio di riqualificazione dell’attività come mediazione ai sensi della L. 39/1989.</w:t>
      </w:r>
    </w:p>
    <w:p>
      <w:pPr>
        <w:pStyle w:val="Heading2"/>
      </w:pPr>
      <w:r>
        <w:rPr>
          <w:color w:val="C62828"/>
        </w:rPr>
        <w:t xml:space="preserve">● RED </w:t>
      </w:r>
      <w:r>
        <w:t xml:space="preserve">Clausola Mancante: Manleva e Indennità</w:t>
      </w:r>
    </w:p>
    <w:p>
      <w:pPr>
        <w:spacing w:after="100"/>
      </w:pPr>
      <w:r>
        <w:rPr>
          <w:b/>
          <w:bCs/>
        </w:rPr>
        <w:t xml:space="preserve">Problema: </w:t>
      </w:r>
      <w:r>
        <w:t xml:space="preserve">Il contratto non prevede alcuna clausola di manleva (indemnification) a favore di Privatio. Senza questa clausola, se un’agenzia o un terzo agisse contro Privatio a causa di informazioni false fornite dal Venditore, Privatio non avrebbe base contrattuale per rivalersi sul Venditore.</w:t>
      </w:r>
    </w:p>
    <w:p>
      <w:pPr>
        <w:spacing w:after="100"/>
      </w:pPr>
      <w:r>
        <w:rPr>
          <w:b/>
          <w:bCs/>
          <w:color w:val="2E7D32"/>
        </w:rPr>
        <w:t xml:space="preserve">Clausola suggerita (nuovo Art. 6-bis): </w:t>
      </w:r>
    </w:p>
    <w:p>
      <w:pPr>
        <w:spacing w:after="200"/>
      </w:pPr>
      <w:r>
        <w:rPr>
          <w:b/>
          <w:bCs/>
          <w:i/>
          <w:iCs/>
        </w:rPr>
        <w:t xml:space="preserve">“Art. 6-bis — MANLEVA E INDENNITÀ</w:t>
      </w:r>
    </w:p>
    <w:p>
      <w:pPr>
        <w:spacing w:after="80"/>
      </w:pPr>
      <w:r>
        <w:rPr>
          <w:i/>
          <w:iCs/>
        </w:rPr>
        <w:t xml:space="preserve">6-bis.1. Il Venditore si impegna a manlevare e tenere indenne Privatio, i suoi amministratori, dipendenti e collaboratori da qualsiasi pretesa, azione, danno, costo o spesa (incluse le spese legali ragionevoli) derivanti da o connessi a: (a) informazioni false, inesatte o fuorvianti fornite dal Venditore; (b) violazione dei presenti Termini da parte del Venditore; (c) violazione di diritti di terzi da parte del Venditore; (d) qualsiasi controversia tra il Venditore e le agenzie immobiliari contattate tramite la Piattaforma.”</w:t>
      </w:r>
    </w:p>
    <w:p>
      <w:pPr>
        <w:spacing w:after="200"/>
      </w:pPr>
      <w:r>
        <w:rPr>
          <w:i/>
          <w:iCs/>
        </w:rPr>
        <w:t xml:space="preserve">6-bis.2. Il Venditore riconosce e accetta che Privatio non è parte delle trattative tra Venditore e agenzie immobiliari e che qualsiasi controversia relativa alla compravendita dell’immobile o all’operato dell’agenzia è estranea al rapporto con Privatio.”</w:t>
      </w:r>
    </w:p>
    <w:p>
      <w:pPr>
        <w:pStyle w:val="Heading2"/>
      </w:pPr>
      <w:r>
        <w:rPr>
          <w:color w:val="C62828"/>
        </w:rPr>
        <w:t xml:space="preserve">● RED </w:t>
      </w:r>
      <w:r>
        <w:t xml:space="preserve">Clausola Mancante: Risoluzione Alternativa delle Controversie</w:t>
      </w:r>
    </w:p>
    <w:p>
      <w:pPr>
        <w:spacing w:after="100"/>
      </w:pPr>
      <w:r>
        <w:rPr>
          <w:b/>
          <w:bCs/>
        </w:rPr>
        <w:t xml:space="preserve">Problema: </w:t>
      </w:r>
      <w:r>
        <w:t xml:space="preserve">L’Art. 10.2 menziona genericamente un “tentativo di composizione amichevole” ma non prevede una procedura strutturata. Per una piattaforma digitale, una clausola ADR efficace riduce drasticamente i costi legali e i rischi reputazionali.</w:t>
      </w:r>
    </w:p>
    <w:p>
      <w:pPr>
        <w:spacing w:after="100"/>
      </w:pPr>
      <w:r>
        <w:rPr>
          <w:b/>
          <w:bCs/>
          <w:color w:val="2E7D32"/>
        </w:rPr>
        <w:t xml:space="preserve">Suggerimento: </w:t>
      </w:r>
      <w:r>
        <w:t xml:space="preserve">Integrare l’Art. 10.2 con mediazione obbligatoria presso un organismo accreditato dal Ministero della Giustizia (D.Lgs. 28/2010) come condizione di procedibilità, con termine massimo di 60 giorni per la procedura.</w:t>
      </w:r>
    </w:p>
    <w:p>
      <w:pPr>
        <w:pStyle w:val="Heading2"/>
      </w:pPr>
      <w:r>
        <w:rPr>
          <w:color w:val="C62828"/>
        </w:rPr>
        <w:t xml:space="preserve">● RED </w:t>
      </w:r>
      <w:r>
        <w:t xml:space="preserve">Clausola Mancante: Disclaimer su Valutazioni Immobiliari</w:t>
      </w:r>
    </w:p>
    <w:p>
      <w:pPr>
        <w:spacing w:after="100"/>
      </w:pPr>
      <w:r>
        <w:rPr>
          <w:b/>
          <w:bCs/>
        </w:rPr>
        <w:t xml:space="preserve">Problema: </w:t>
      </w:r>
      <w:r>
        <w:t xml:space="preserve">Il contratto non chiarisce esplicitamente che Privatio non fornisce valutazioni, stime o perizie immobiliari. Se la piattaforma mostra un “prezzo indicativo” o strumenti di stima, potrebbe essere accusata di attività riservata ai periti/agenti.</w:t>
      </w:r>
    </w:p>
    <w:p>
      <w:pPr>
        <w:spacing w:after="200"/>
      </w:pPr>
      <w:r>
        <w:rPr>
          <w:b/>
          <w:bCs/>
          <w:color w:val="2E7D32"/>
        </w:rPr>
        <w:t xml:space="preserve">Suggerimento: </w:t>
      </w:r>
      <w:r>
        <w:t xml:space="preserve">Aggiungere nell’Art. 1: “1.4. La Piattaforma non fornisce valutazioni, stime, perizie o pareri sul valore degli immobili. Eventuali indicazioni di prezzo presenti sulla Piattaforma sono esclusivamente quelle inserite dal Venditore e non costituiscono in alcun modo una valutazione da parte di Privatio.”</w:t>
      </w:r>
    </w:p>
    <w:p>
      <w:r>
        <w:br w:type="page"/>
      </w:r>
    </w:p>
    <w:p>
      <w:pPr>
        <w:pStyle w:val="Heading2"/>
      </w:pPr>
      <w:r>
        <w:rPr>
          <w:color w:val="F57F17"/>
        </w:rPr>
        <w:t xml:space="preserve">● YELLOW </w:t>
      </w:r>
      <w:r>
        <w:t xml:space="preserve">Art. 6 — Limitazione di Responsabilità: Tetto Quantitativo Mancante</w:t>
      </w:r>
    </w:p>
    <w:p>
      <w:pPr>
        <w:spacing w:after="200"/>
      </w:pPr>
      <w:r>
        <w:rPr>
          <w:b/>
          <w:bCs/>
        </w:rPr>
        <w:t xml:space="preserve">Problema: </w:t>
      </w:r>
      <w:r>
        <w:t xml:space="preserve">L’Art. 6 esclude la responsabilità per vari scenari ma non fissa un tetto massimo quantitativo. In caso di contenzioso per dolo o colpa grave (non escludibili per legge), l’esposizione è potenzialmente illimitata. </w:t>
      </w:r>
      <w:r>
        <w:rPr>
          <w:b/>
          <w:bCs/>
          <w:color w:val="2E7D32"/>
        </w:rPr>
        <w:t xml:space="preserve">Suggerimento: </w:t>
      </w:r>
      <w:r>
        <w:t xml:space="preserve">Aggiungere: “In ogni caso, la responsabilità complessiva di Privatio nei confronti del Venditore, per qualsiasi causa e a qualsiasi titolo, non potrà eccedere l’importo complessivo dei corrispettivi eventualmente versati dal Venditore a Privatio nei 12 mesi precedenti l’evento dannoso, ovvero, se il servizio è gratuito, la somma di EUR 100,00 (cento/00).”</w:t>
      </w:r>
    </w:p>
    <w:p>
      <w:pPr>
        <w:pStyle w:val="Heading2"/>
      </w:pPr>
      <w:r>
        <w:rPr>
          <w:color w:val="F57F17"/>
        </w:rPr>
        <w:t xml:space="preserve">● YELLOW </w:t>
      </w:r>
      <w:r>
        <w:t xml:space="preserve">Art. 3 — Meccanismo 48 Ore: Consenso Separato</w:t>
      </w:r>
    </w:p>
    <w:p>
      <w:pPr>
        <w:spacing w:after="200"/>
      </w:pPr>
      <w:r>
        <w:rPr>
          <w:b/>
          <w:bCs/>
        </w:rPr>
        <w:t xml:space="preserve">Problema: </w:t>
      </w:r>
      <w:r>
        <w:t xml:space="preserve">La trasmissione automatica dei dati dopo 48 ore è il meccanismo più delicato dal punto di vista GDPR. Attualmente il consenso è incorporato nell’accettazione generale dei Termini. Il Garante Privacy potrebbe considerare insufficiente un consenso non granulare per un trattamento così specifico. </w:t>
      </w:r>
      <w:r>
        <w:rPr>
          <w:b/>
          <w:bCs/>
          <w:color w:val="2E7D32"/>
        </w:rPr>
        <w:t xml:space="preserve">Suggerimento: </w:t>
      </w:r>
      <w:r>
        <w:t xml:space="preserve">Prevedere una checkbox separata e specifica per la Fase 2, con testo chiaro: “Acconsento alla trasmissione automatica dei miei dati di contatto alle agenzie convenzionate nella zona, qualora non contatti alcuna agenzia entro 48 ore dalla pubblicazione.” Questo rafforza la base giuridica e protegge Privatio da contestazioni.</w:t>
      </w:r>
    </w:p>
    <w:p>
      <w:pPr>
        <w:pStyle w:val="Heading2"/>
      </w:pPr>
      <w:r>
        <w:rPr>
          <w:color w:val="F57F17"/>
        </w:rPr>
        <w:t xml:space="preserve">● YELLOW </w:t>
      </w:r>
      <w:r>
        <w:t xml:space="preserve">Art. 7 — Licenza Contenuti: Troppo Restrittiva</w:t>
      </w:r>
    </w:p>
    <w:p>
      <w:pPr>
        <w:spacing w:after="200"/>
      </w:pPr>
      <w:r>
        <w:rPr>
          <w:b/>
          <w:bCs/>
        </w:rPr>
        <w:t xml:space="preserve">Problema: </w:t>
      </w:r>
      <w:r>
        <w:t xml:space="preserve">La licenza attuale è “non esclusiva, limitata e revocabile per mostrare tali contenuti alle agenzie”. Questo non copre: backup tecnici, cache, thumbnail, eventuale uso per statistiche aggregate anonimizzate, o la necessità di conservare i dati per i 30 giorni post-rimozione previsti dall’Art. 4.3. </w:t>
      </w:r>
      <w:r>
        <w:rPr>
          <w:b/>
          <w:bCs/>
          <w:color w:val="2E7D32"/>
        </w:rPr>
        <w:t xml:space="preserve">Suggerimento: </w:t>
      </w:r>
      <w:r>
        <w:t xml:space="preserve">Estendere: “...nonché per le finalità tecniche necessarie all’erogazione del servizio, inclusa la creazione di copie tecniche, cache, miniature e backup, e per la produzione di statistiche aggregate e anonimizzate.”</w:t>
      </w:r>
    </w:p>
    <w:p>
      <w:pPr>
        <w:pStyle w:val="Heading2"/>
      </w:pPr>
      <w:r>
        <w:rPr>
          <w:color w:val="F57F17"/>
        </w:rPr>
        <w:t xml:space="preserve">● YELLOW </w:t>
      </w:r>
      <w:r>
        <w:t xml:space="preserve">Art. 5 — Obblighi Venditore: Sanzioni Mancanti</w:t>
      </w:r>
    </w:p>
    <w:p>
      <w:pPr>
        <w:spacing w:after="200"/>
      </w:pPr>
      <w:r>
        <w:rPr>
          <w:b/>
          <w:bCs/>
        </w:rPr>
        <w:t xml:space="preserve">Problema: </w:t>
      </w:r>
      <w:r>
        <w:t xml:space="preserve">L’articolo elenca gli obblighi ma non prevede conseguenze graduate. L’Art. 8.3 prevede sospensione/chiusura ma manca una scala intermedia. </w:t>
      </w:r>
      <w:r>
        <w:rPr>
          <w:b/>
          <w:bCs/>
          <w:color w:val="2E7D32"/>
        </w:rPr>
        <w:t xml:space="preserve">Suggerimento: </w:t>
      </w:r>
      <w:r>
        <w:t xml:space="preserve">Aggiungere: “5.3. In caso di violazione degli obblighi di cui al presente articolo, Privatio si riserva il diritto di: (a) richiedere la correzione delle informazioni entro un termine ragionevole; (b) sospendere temporaneamente la visibilità dell’annuncio; (c) rimuovere l’annuncio; (d) sospendere o chiudere l’account ai sensi dell’Art. 8.3.”</w:t>
      </w:r>
    </w:p>
    <w:p>
      <w:pPr>
        <w:pStyle w:val="Heading2"/>
      </w:pPr>
      <w:r>
        <w:rPr>
          <w:color w:val="F57F17"/>
        </w:rPr>
        <w:t xml:space="preserve">● YELLOW </w:t>
      </w:r>
      <w:r>
        <w:t xml:space="preserve">Clausola Mancante: Usi Vietati della Piattaforma</w:t>
      </w:r>
    </w:p>
    <w:p>
      <w:pPr>
        <w:spacing w:after="200"/>
      </w:pPr>
      <w:r>
        <w:rPr>
          <w:b/>
          <w:bCs/>
        </w:rPr>
        <w:t xml:space="preserve">Problema: </w:t>
      </w:r>
      <w:r>
        <w:t xml:space="preserve">L’Art. 5.1(h) vieta genericamente “finalità illecite” ma non elenca usi specifici vietati tipici delle piattaforme immobiliari: spam, scraping, pubblicazione di immobili inesistenti, uso per raccolta contatti di agenzie. </w:t>
      </w:r>
      <w:r>
        <w:rPr>
          <w:b/>
          <w:bCs/>
          <w:color w:val="2E7D32"/>
        </w:rPr>
        <w:t xml:space="preserve">Suggerimento: </w:t>
      </w:r>
      <w:r>
        <w:t xml:space="preserve">Aggiungere un Art. 5-bis con elenco specifico di usi vietati: pubblicazione di immobili inesistenti o di cui non si ha la disponibilità, uso della Piattaforma per raccogliere dati delle agenzie, attività di scraping o data mining, uso di bot o strumenti automatizzati, tentativo di contattare le agenzie al di fuori della Piattaforma utilizzando dati ottenuti tramite essa.</w:t>
      </w:r>
    </w:p>
    <w:p>
      <w:pPr>
        <w:pStyle w:val="Heading2"/>
      </w:pPr>
      <w:r>
        <w:rPr>
          <w:color w:val="F57F17"/>
        </w:rPr>
        <w:t xml:space="preserve">● YELLOW </w:t>
      </w:r>
      <w:r>
        <w:t xml:space="preserve">Clausola Mancante: Esclusione Responsabilità Agenzie</w:t>
      </w:r>
    </w:p>
    <w:p>
      <w:pPr>
        <w:spacing w:after="200"/>
      </w:pPr>
      <w:r>
        <w:rPr>
          <w:b/>
          <w:bCs/>
        </w:rPr>
        <w:t xml:space="preserve">Problema: </w:t>
      </w:r>
      <w:r>
        <w:t xml:space="preserve">L’Art. 6.2(a) afferma che Privatio non è responsabile per il comportamento delle agenzie, ma manca un disclaimer esplicito e separato che chiarisca la totale estraneità di Privatio al rapporto Venditore-Agenzia. </w:t>
      </w:r>
      <w:r>
        <w:rPr>
          <w:b/>
          <w:bCs/>
          <w:color w:val="2E7D32"/>
        </w:rPr>
        <w:t xml:space="preserve">Suggerimento: </w:t>
      </w:r>
      <w:r>
        <w:t xml:space="preserve">Rafforzare con: “Le agenzie immobiliari convenzionate sono soggetti indipendenti e autonomi. Privatio non controlla, supervisiona né garantisce la qualità, la correttezza o la professionalità del servizio reso dalle agenzie. Il rapporto tra Venditore e agenzia è regolato esclusivamente dagli accordi stipulati direttamente tra le parti.”</w:t>
      </w:r>
    </w:p>
    <w:p>
      <w:r>
        <w:br w:type="page"/>
      </w:r>
    </w:p>
    <w:p>
      <w:pPr>
        <w:pStyle w:val="Heading2"/>
      </w:pPr>
      <w:r>
        <w:rPr>
          <w:color w:val="2E7D32"/>
        </w:rPr>
        <w:t xml:space="preserve">● GREEN </w:t>
      </w:r>
      <w:r>
        <w:t xml:space="preserve">Clausole Conformi</w:t>
      </w:r>
    </w:p>
    <w:p>
      <w:pPr>
        <w:spacing w:after="100"/>
      </w:pPr>
      <w:r>
        <w:rPr>
          <w:b/>
          <w:bCs/>
        </w:rPr>
        <w:t xml:space="preserve">Art. 1.2 — Non-intermediazione: </w:t>
      </w:r>
      <w:r>
        <w:t xml:space="preserve">La clausola è ben formulata con riferimento esplicito alla L. 39/1989. Si suggerisce solo di rafforzarla ulteriormente specificando che Privatio non percepisce provvigioni, non partecipa a trattative, non ha potere di rappresentanza e non determina le condizioni della compravendita. Valutare anche l’aggiunta di un richiamo all’Art. 1754 c.c. per completezza.</w:t>
      </w:r>
    </w:p>
    <w:p>
      <w:pPr>
        <w:spacing w:after="100"/>
      </w:pPr>
      <w:r>
        <w:rPr>
          <w:b/>
          <w:bCs/>
        </w:rPr>
        <w:t xml:space="preserve">Art. 4 — Diritto di rimozione: </w:t>
      </w:r>
      <w:r>
        <w:t xml:space="preserve">Completo e conforme. Il diritto di rimozione senza preavviso, penali o motivazione è un ottimo presidio a tutela del Venditore e riduce il rischio di contestazioni.</w:t>
      </w:r>
    </w:p>
    <w:p>
      <w:pPr>
        <w:spacing w:after="100"/>
      </w:pPr>
      <w:r>
        <w:rPr>
          <w:b/>
          <w:bCs/>
        </w:rPr>
        <w:t xml:space="preserve">Art. 12 — Approvazione specifica: </w:t>
      </w:r>
      <w:r>
        <w:t xml:space="preserve">La doppia sottoscrizione ai sensi degli artt. 1341-1342 c.c. è presente e copre le clausole corrette. Questo è essenziale per la validità delle clausole vessatorie nel diritto italiano.</w:t>
      </w:r>
    </w:p>
    <w:p>
      <w:pPr>
        <w:spacing w:after="100"/>
      </w:pPr>
      <w:r>
        <w:rPr>
          <w:b/>
          <w:bCs/>
        </w:rPr>
        <w:t xml:space="preserve">Privacy Policy: </w:t>
      </w:r>
      <w:r>
        <w:t xml:space="preserve">L’informativa è completa e conforme al GDPR. Copre correttamente basi giuridiche, destinatari, diritti dell’interessato e tempi di conservazione.</w:t>
      </w:r>
    </w:p>
    <w:p>
      <w:pPr>
        <w:spacing w:after="200"/>
      </w:pPr>
      <w:r>
        <w:rPr>
          <w:b/>
          <w:bCs/>
        </w:rPr>
        <w:t xml:space="preserve">Art. 11 — Accettazione digitale: </w:t>
      </w:r>
      <w:r>
        <w:t xml:space="preserve">Il meccanismo di tracciamento (IP, timestamp, versione) è solido e conforme all’art. 12 del D.Lgs. 70/2003.</w:t>
      </w:r>
    </w:p>
    <w:p>
      <w:pPr>
        <w:pStyle w:val="Heading1"/>
      </w:pPr>
      <w:r>
        <w:t xml:space="preserve">4. Strategia e Priorità</w:t>
      </w:r>
    </w:p>
    <w:p>
      <w:pPr>
        <w:pStyle w:val="Heading2"/>
      </w:pPr>
      <w:r>
        <w:t xml:space="preserve">Top 3 Azioni Immediate</w:t>
      </w:r>
    </w:p>
    <w:p>
      <w:pPr>
        <w:pStyle w:val="ListParagraph"/>
        <w:numPr>
          <w:ilvl w:val="0"/>
          <w:numId w:val="2"/>
        </w:numPr>
        <w:spacing w:after="100"/>
      </w:pPr>
      <w:r>
        <w:rPr>
          <w:b/>
          <w:bCs/>
        </w:rPr>
        <w:t xml:space="preserve">Correggere il titolo del documento </w:t>
      </w:r>
      <w:r>
        <w:t xml:space="preserve">(da “Intermediazione” a “Vetrina”) — rischio critico di riqualificazione giuridica.</w:t>
      </w:r>
    </w:p>
    <w:p>
      <w:pPr>
        <w:pStyle w:val="ListParagraph"/>
        <w:numPr>
          <w:ilvl w:val="0"/>
          <w:numId w:val="2"/>
        </w:numPr>
        <w:spacing w:after="100"/>
      </w:pPr>
      <w:r>
        <w:rPr>
          <w:b/>
          <w:bCs/>
        </w:rPr>
        <w:t xml:space="preserve">Aggiungere clausola di manleva (Art. 6-bis) </w:t>
      </w:r>
      <w:r>
        <w:t xml:space="preserve">— senza di essa, Privatio non ha strumenti contrattuali per rivalersi sul Venditore in caso di informazioni false.</w:t>
      </w:r>
    </w:p>
    <w:p>
      <w:pPr>
        <w:pStyle w:val="ListParagraph"/>
        <w:numPr>
          <w:ilvl w:val="0"/>
          <w:numId w:val="2"/>
        </w:numPr>
        <w:spacing w:after="200"/>
      </w:pPr>
      <w:r>
        <w:rPr>
          <w:b/>
          <w:bCs/>
        </w:rPr>
        <w:t xml:space="preserve">Aggiungere disclaimer su valutazioni immobiliari </w:t>
      </w:r>
      <w:r>
        <w:t xml:space="preserve">— complementare essenziale alla clausola di non-intermediazione.</w:t>
      </w:r>
    </w:p>
    <w:p>
      <w:pPr>
        <w:pStyle w:val="Heading2"/>
      </w:pPr>
      <w:r>
        <w:t xml:space="preserve">Azioni Secondarie (entro 30 giorni)</w:t>
      </w:r>
    </w:p>
    <w:p>
      <w:pPr>
        <w:pStyle w:val="ListParagraph"/>
        <w:numPr>
          <w:ilvl w:val="0"/>
          <w:numId w:val="3"/>
        </w:numPr>
        <w:spacing w:after="80"/>
      </w:pPr>
      <w:r>
        <w:t xml:space="preserve">Integrare il cap quantitativo nella limitazione di responsabilità (Art. 6)</w:t>
      </w:r>
    </w:p>
    <w:p>
      <w:pPr>
        <w:pStyle w:val="ListParagraph"/>
        <w:numPr>
          <w:ilvl w:val="0"/>
          <w:numId w:val="3"/>
        </w:numPr>
        <w:spacing w:after="80"/>
      </w:pPr>
      <w:r>
        <w:t xml:space="preserve">Implementare consenso separato per la Fase 2 (trasmissione automatica 48h)</w:t>
      </w:r>
    </w:p>
    <w:p>
      <w:pPr>
        <w:pStyle w:val="ListParagraph"/>
        <w:numPr>
          <w:ilvl w:val="0"/>
          <w:numId w:val="3"/>
        </w:numPr>
        <w:spacing w:after="80"/>
      </w:pPr>
      <w:r>
        <w:t xml:space="preserve">Estendere la licenza sui contenuti per coprire usi tecnici</w:t>
      </w:r>
    </w:p>
    <w:p>
      <w:pPr>
        <w:pStyle w:val="ListParagraph"/>
        <w:numPr>
          <w:ilvl w:val="0"/>
          <w:numId w:val="3"/>
        </w:numPr>
        <w:spacing w:after="80"/>
      </w:pPr>
      <w:r>
        <w:t xml:space="preserve">Aggiungere clausola usi vietati e sanzioni graduate</w:t>
      </w:r>
    </w:p>
    <w:p>
      <w:pPr>
        <w:pStyle w:val="ListParagraph"/>
        <w:numPr>
          <w:ilvl w:val="0"/>
          <w:numId w:val="3"/>
        </w:numPr>
        <w:spacing w:after="200"/>
      </w:pPr>
      <w:r>
        <w:t xml:space="preserve">Rafforzare esclusione responsabilità per operato agenzie</w:t>
      </w:r>
    </w:p>
    <w:p>
      <w:pPr>
        <w:pStyle w:val="Heading1"/>
      </w:pPr>
      <w:r>
        <w:t xml:space="preserve">5. Note sulla Non-Intermediazione</w:t>
      </w:r>
    </w:p>
    <w:p>
      <w:pPr>
        <w:spacing w:after="200"/>
      </w:pPr>
      <w:r>
        <w:t xml:space="preserve">La tutela di Privatio come piattaforma tecnologica (e non mediatore immobiliare) è il tema centrale della revisione. La L. 39/1989 riserva l’attività di mediazione immobiliare ai soggetti iscritti. Per evitare qualsiasi rischio di riqualificazione, si raccomanda di:
</w:t>
      </w:r>
    </w:p>
    <w:p>
      <w:pPr>
        <w:pStyle w:val="ListParagraph"/>
        <w:numPr>
          <w:ilvl w:val="0"/>
          <w:numId w:val="3"/>
        </w:numPr>
        <w:spacing w:after="80"/>
      </w:pPr>
      <w:r>
        <w:t xml:space="preserve">Eliminare ogni riferimento a “intermediazione” in tutto il documento e nel sito web</w:t>
      </w:r>
    </w:p>
    <w:p>
      <w:pPr>
        <w:pStyle w:val="ListParagraph"/>
        <w:numPr>
          <w:ilvl w:val="0"/>
          <w:numId w:val="3"/>
        </w:numPr>
        <w:spacing w:after="80"/>
      </w:pPr>
      <w:r>
        <w:t xml:space="preserve">Non utilizzare mai la parola “mediazione” se non in negativo (“non svolge mediazione”)</w:t>
      </w:r>
    </w:p>
    <w:p>
      <w:pPr>
        <w:pStyle w:val="ListParagraph"/>
        <w:numPr>
          <w:ilvl w:val="0"/>
          <w:numId w:val="3"/>
        </w:numPr>
        <w:spacing w:after="80"/>
      </w:pPr>
      <w:r>
        <w:t xml:space="preserve">Assicurarsi che la piattaforma non partecipi in alcun modo alla negoziazione del prezzo o delle condizioni</w:t>
      </w:r>
    </w:p>
    <w:p>
      <w:pPr>
        <w:pStyle w:val="ListParagraph"/>
        <w:numPr>
          <w:ilvl w:val="0"/>
          <w:numId w:val="3"/>
        </w:numPr>
        <w:spacing w:after="80"/>
      </w:pPr>
      <w:r>
        <w:t xml:space="preserve">Non percepire mai compensi commisurati al valore della compravendita (provvigioni)</w:t>
      </w:r>
    </w:p>
    <w:p>
      <w:pPr>
        <w:pStyle w:val="ListParagraph"/>
        <w:numPr>
          <w:ilvl w:val="0"/>
          <w:numId w:val="3"/>
        </w:numPr>
        <w:spacing w:after="80"/>
      </w:pPr>
      <w:r>
        <w:t xml:space="preserve">Documentare chiaramente che il modello di business si basa su abbonamenti delle agenzie, non su commissioni sulle vendite</w:t>
      </w:r>
    </w:p>
    <w:p>
      <w:pPr>
        <w:pStyle w:val="ListParagraph"/>
        <w:numPr>
          <w:ilvl w:val="0"/>
          <w:numId w:val="3"/>
        </w:numPr>
        <w:spacing w:after="200"/>
      </w:pPr>
      <w:r>
        <w:t xml:space="preserve">Valutare l’inserimento di un articolo specifico (es. Art. 1-bis) dedicato interamente alla qualificazione giuridica del servizio, con richiamo all’Art. 1754 c.c. e alla L. 39/1989</w:t>
      </w:r>
    </w:p>
    <w:p>
      <w:pPr>
        <w:spacing w:before="400"/>
      </w:pPr>
      <w:r>
        <w:rPr>
          <w:b/>
          <w:bCs/>
          <w:color w:val="C62828"/>
        </w:rPr>
        <w:t xml:space="preserve">⚠️ Disclaimer: </w:t>
      </w:r>
      <w:r>
        <w:rPr>
          <w:i/>
          <w:iCs/>
          <w:color w:val="757575"/>
        </w:rPr>
        <w:t xml:space="preserve">La presente analisi è fornita a titolo informativo e non costituisce parere legale. Si raccomanda di sottoporre il documento definitivo alla revisione di un avvocato qualificato in diritto immobiliare e commercio elettronico prima dell’utilizzo in produzione.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Pagina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6"/>
        <w:szCs w:val="16"/>
      </w:rPr>
      <w:t xml:space="preserve">REVISIONE CONTRATTUALE — CONFIDENZIALE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2026-03-20T17:08:04.886Z</dcterms:created>
  <dcterms:modified xsi:type="dcterms:W3CDTF">2026-03-20T17:08:04.886Z</dcterms:modified>
</cp:coreProperties>
</file>

<file path=docProps/custom.xml><?xml version="1.0" encoding="utf-8"?>
<Properties xmlns="http://schemas.openxmlformats.org/officeDocument/2006/custom-properties" xmlns:vt="http://schemas.openxmlformats.org/officeDocument/2006/docPropsVTypes"/>
</file>